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17FE" w14:textId="5FAB821C" w:rsidR="005B68E7" w:rsidRPr="00B04C22" w:rsidRDefault="00142A77" w:rsidP="005B68E7">
      <w:pPr>
        <w:jc w:val="both"/>
        <w:rPr>
          <w:rFonts w:ascii="Noto Sans" w:hAnsi="Noto Sans" w:cs="Noto Sans"/>
          <w:b/>
        </w:rPr>
      </w:pPr>
      <w:r w:rsidRPr="00B04C22">
        <w:rPr>
          <w:rFonts w:ascii="Noto Sans" w:hAnsi="Noto Sans" w:cs="Noto Sans"/>
          <w:b/>
        </w:rPr>
        <w:t xml:space="preserve">5.5.3 </w:t>
      </w:r>
      <w:r w:rsidR="00540B8F" w:rsidRPr="00B04C22">
        <w:rPr>
          <w:rFonts w:ascii="Noto Sans" w:hAnsi="Noto Sans" w:cs="Noto Sans"/>
          <w:b/>
        </w:rPr>
        <w:t>Cumplimiento de la Ley de Adquisiciones, Arrendamientos</w:t>
      </w:r>
      <w:r w:rsidR="00B04C22" w:rsidRPr="00B04C22">
        <w:rPr>
          <w:rFonts w:ascii="Noto Sans" w:hAnsi="Noto Sans" w:cs="Noto Sans"/>
          <w:b/>
        </w:rPr>
        <w:t xml:space="preserve"> y Servicios del Sector Público</w:t>
      </w:r>
    </w:p>
    <w:p w14:paraId="09CB5E11" w14:textId="77777777" w:rsidR="005B68E7" w:rsidRPr="00B04C22" w:rsidRDefault="005B68E7" w:rsidP="005B68E7">
      <w:pPr>
        <w:jc w:val="both"/>
        <w:rPr>
          <w:rFonts w:ascii="Noto Sans" w:hAnsi="Noto Sans" w:cs="Noto Sans"/>
          <w:b/>
        </w:rPr>
      </w:pPr>
    </w:p>
    <w:p w14:paraId="390744B3" w14:textId="13E99FEB" w:rsidR="005B68E7" w:rsidRPr="002312D8" w:rsidRDefault="005B68E7" w:rsidP="005B68E7">
      <w:pPr>
        <w:jc w:val="both"/>
        <w:rPr>
          <w:rFonts w:ascii="Noto Sans" w:hAnsi="Noto Sans" w:cs="Noto Sans"/>
          <w:b/>
          <w:sz w:val="21"/>
          <w:szCs w:val="21"/>
        </w:rPr>
      </w:pPr>
      <w:r w:rsidRPr="002312D8">
        <w:rPr>
          <w:rFonts w:ascii="Noto Sans" w:hAnsi="Noto Sans" w:cs="Noto Sans"/>
          <w:b/>
          <w:sz w:val="21"/>
          <w:szCs w:val="21"/>
        </w:rPr>
        <w:t xml:space="preserve">Cálculo y determinación del porcentaje del 30% a que se refiere el artículo </w:t>
      </w:r>
      <w:r w:rsidR="00387BE1">
        <w:rPr>
          <w:rFonts w:ascii="Noto Sans" w:hAnsi="Noto Sans" w:cs="Noto Sans"/>
          <w:b/>
          <w:sz w:val="21"/>
          <w:szCs w:val="21"/>
        </w:rPr>
        <w:t>55</w:t>
      </w:r>
      <w:r w:rsidRPr="002312D8">
        <w:rPr>
          <w:rFonts w:ascii="Noto Sans" w:hAnsi="Noto Sans" w:cs="Noto Sans"/>
          <w:b/>
          <w:sz w:val="21"/>
          <w:szCs w:val="21"/>
        </w:rPr>
        <w:t xml:space="preserve"> de la LAASSP</w:t>
      </w:r>
    </w:p>
    <w:p w14:paraId="66E34B96" w14:textId="77777777" w:rsidR="005B68E7" w:rsidRPr="002312D8" w:rsidRDefault="005B68E7" w:rsidP="005B68E7">
      <w:pPr>
        <w:jc w:val="both"/>
        <w:rPr>
          <w:rFonts w:ascii="Noto Sans" w:hAnsi="Noto Sans" w:cs="Noto Sans"/>
          <w:sz w:val="21"/>
          <w:szCs w:val="21"/>
        </w:rPr>
      </w:pPr>
    </w:p>
    <w:p w14:paraId="38D79B0D" w14:textId="7F91B81C" w:rsidR="005B68E7" w:rsidRPr="002312D8" w:rsidRDefault="005B68E7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Derivado del Presupuesto de Egresos asignado a El Colegio de la Frontera Sur y del Programa Anual de Adquisiciones, Arrendamientos y Servicios 202</w:t>
      </w:r>
      <w:r w:rsidR="00367213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</w:rPr>
        <w:t>, contemplando el capítulo 2000= Materiales y Suministros y capítulo 3000= Servicios Generales, se desprende lo siguiente:</w:t>
      </w:r>
    </w:p>
    <w:p w14:paraId="4264083B" w14:textId="77777777" w:rsidR="005B68E7" w:rsidRPr="002312D8" w:rsidRDefault="005B68E7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</w:p>
    <w:p w14:paraId="129C965A" w14:textId="1836AB3E" w:rsidR="005B68E7" w:rsidRPr="002312D8" w:rsidRDefault="005B68E7" w:rsidP="005B68E7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La determinación del porcentaje del monto ejercido de enero a</w:t>
      </w:r>
      <w:r w:rsidR="00E51F73">
        <w:rPr>
          <w:rFonts w:ascii="Noto Sans" w:hAnsi="Noto Sans" w:cs="Noto Sans"/>
          <w:sz w:val="21"/>
          <w:szCs w:val="21"/>
        </w:rPr>
        <w:t xml:space="preserve"> junio</w:t>
      </w:r>
      <w:r w:rsidRPr="002312D8">
        <w:rPr>
          <w:rFonts w:ascii="Noto Sans" w:hAnsi="Noto Sans" w:cs="Noto Sans"/>
          <w:sz w:val="21"/>
          <w:szCs w:val="21"/>
        </w:rPr>
        <w:t xml:space="preserve"> de 202</w:t>
      </w:r>
      <w:r w:rsidR="00F04CCE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</w:rPr>
        <w:t xml:space="preserve"> a que se refiere el artículo </w:t>
      </w:r>
      <w:r w:rsidR="00E51F73">
        <w:rPr>
          <w:rFonts w:ascii="Noto Sans" w:hAnsi="Noto Sans" w:cs="Noto Sans"/>
          <w:sz w:val="21"/>
          <w:szCs w:val="21"/>
        </w:rPr>
        <w:t>55</w:t>
      </w:r>
      <w:r w:rsidRPr="002312D8">
        <w:rPr>
          <w:rFonts w:ascii="Noto Sans" w:hAnsi="Noto Sans" w:cs="Noto Sans"/>
          <w:sz w:val="21"/>
          <w:szCs w:val="21"/>
        </w:rPr>
        <w:t xml:space="preserve"> de la LAASSP, se calculó de la siguiente manera:</w:t>
      </w:r>
    </w:p>
    <w:p w14:paraId="1C40C926" w14:textId="77777777" w:rsidR="005B68E7" w:rsidRPr="002312D8" w:rsidRDefault="005B68E7" w:rsidP="005B68E7">
      <w:pPr>
        <w:pStyle w:val="Prrafodelista"/>
        <w:spacing w:after="0" w:line="276" w:lineRule="auto"/>
        <w:jc w:val="both"/>
        <w:rPr>
          <w:rFonts w:ascii="Noto Sans" w:hAnsi="Noto Sans" w:cs="Noto Sans"/>
          <w:sz w:val="21"/>
          <w:szCs w:val="21"/>
        </w:rPr>
      </w:pPr>
    </w:p>
    <w:p w14:paraId="7C717118" w14:textId="5B47D00E" w:rsidR="005B68E7" w:rsidRPr="002312D8" w:rsidRDefault="005B68E7" w:rsidP="00DB1116">
      <w:pPr>
        <w:pStyle w:val="Prrafodelista"/>
        <w:numPr>
          <w:ilvl w:val="0"/>
          <w:numId w:val="6"/>
        </w:numPr>
        <w:jc w:val="both"/>
        <w:rPr>
          <w:rFonts w:ascii="Noto Sans" w:eastAsia="Times New Roman" w:hAnsi="Noto Sans" w:cs="Noto Sans"/>
          <w:sz w:val="21"/>
          <w:szCs w:val="21"/>
          <w:lang w:eastAsia="es-MX"/>
        </w:rPr>
      </w:pPr>
      <w:r w:rsidRPr="002312D8">
        <w:rPr>
          <w:rFonts w:ascii="Noto Sans" w:hAnsi="Noto Sans" w:cs="Noto Sans"/>
          <w:sz w:val="21"/>
          <w:szCs w:val="21"/>
        </w:rPr>
        <w:t xml:space="preserve">A través del procedimiento de licitación pública, se ejerció un monto de </w:t>
      </w:r>
      <w:r w:rsidRPr="002312D8">
        <w:rPr>
          <w:rFonts w:ascii="Noto Sans" w:eastAsia="Times New Roman" w:hAnsi="Noto Sans" w:cs="Noto Sans"/>
          <w:sz w:val="21"/>
          <w:szCs w:val="21"/>
          <w:lang w:eastAsia="es-MX"/>
        </w:rPr>
        <w:t>$</w:t>
      </w:r>
      <w:r w:rsidR="0074343F" w:rsidRPr="0074343F">
        <w:rPr>
          <w:rFonts w:ascii="Noto Sans" w:eastAsia="Times New Roman" w:hAnsi="Noto Sans" w:cs="Noto Sans"/>
          <w:sz w:val="21"/>
          <w:szCs w:val="21"/>
          <w:lang w:eastAsia="es-MX"/>
        </w:rPr>
        <w:t>11,529,871.45</w:t>
      </w:r>
      <w:r w:rsidR="004370D4" w:rsidRPr="004370D4">
        <w:rPr>
          <w:rFonts w:ascii="Noto Sans" w:eastAsia="Times New Roman" w:hAnsi="Noto Sans" w:cs="Noto Sans"/>
          <w:sz w:val="21"/>
          <w:szCs w:val="21"/>
          <w:lang w:eastAsia="es-MX"/>
        </w:rPr>
        <w:t xml:space="preserve"> </w:t>
      </w:r>
      <w:r w:rsidRPr="002312D8">
        <w:rPr>
          <w:rFonts w:ascii="Noto Sans" w:hAnsi="Noto Sans" w:cs="Noto Sans"/>
          <w:sz w:val="21"/>
          <w:szCs w:val="21"/>
        </w:rPr>
        <w:t xml:space="preserve">lo cual equivale al </w:t>
      </w:r>
      <w:r w:rsidR="0074343F">
        <w:rPr>
          <w:rFonts w:ascii="Noto Sans" w:hAnsi="Noto Sans" w:cs="Noto Sans"/>
          <w:sz w:val="21"/>
          <w:szCs w:val="21"/>
        </w:rPr>
        <w:t>19.9</w:t>
      </w:r>
      <w:r w:rsidR="009D5E65">
        <w:rPr>
          <w:rFonts w:ascii="Noto Sans" w:hAnsi="Noto Sans" w:cs="Noto Sans"/>
          <w:sz w:val="21"/>
          <w:szCs w:val="21"/>
        </w:rPr>
        <w:t>7</w:t>
      </w:r>
      <w:r w:rsidR="00D24CD3" w:rsidRPr="002312D8">
        <w:rPr>
          <w:rFonts w:ascii="Noto Sans" w:hAnsi="Noto Sans" w:cs="Noto Sans"/>
          <w:sz w:val="21"/>
          <w:szCs w:val="21"/>
        </w:rPr>
        <w:t>%</w:t>
      </w:r>
      <w:r w:rsidRPr="002312D8">
        <w:rPr>
          <w:rFonts w:ascii="Noto Sans" w:hAnsi="Noto Sans" w:cs="Noto Sans"/>
          <w:sz w:val="21"/>
          <w:szCs w:val="21"/>
        </w:rPr>
        <w:t xml:space="preserve"> del presupuesto; los servicios que se han contratado son: servicios de vigilancia, servicio de limpieza, seguro de personas, servicio de suministro de vales electrónicos de despensa</w:t>
      </w:r>
      <w:r w:rsidR="000A5172" w:rsidRPr="002312D8">
        <w:rPr>
          <w:rFonts w:ascii="Noto Sans" w:hAnsi="Noto Sans" w:cs="Noto Sans"/>
          <w:sz w:val="21"/>
          <w:szCs w:val="21"/>
          <w:lang w:val="es-ES"/>
        </w:rPr>
        <w:t>,</w:t>
      </w:r>
      <w:r w:rsidRPr="002312D8">
        <w:rPr>
          <w:rFonts w:ascii="Noto Sans" w:hAnsi="Noto Sans" w:cs="Noto Sans"/>
          <w:sz w:val="21"/>
          <w:szCs w:val="21"/>
        </w:rPr>
        <w:t xml:space="preserve"> servicio de combustible, reservación y expedición de boletos de avión, </w:t>
      </w:r>
      <w:r w:rsidR="00D65533" w:rsidRPr="002312D8">
        <w:rPr>
          <w:rFonts w:ascii="Noto Sans" w:hAnsi="Noto Sans" w:cs="Noto Sans"/>
          <w:sz w:val="21"/>
          <w:szCs w:val="21"/>
        </w:rPr>
        <w:t>aseguramiento integral del parque vehicular</w:t>
      </w:r>
      <w:r w:rsidRPr="002312D8">
        <w:rPr>
          <w:rFonts w:ascii="Noto Sans" w:hAnsi="Noto Sans" w:cs="Noto Sans"/>
          <w:sz w:val="21"/>
          <w:szCs w:val="21"/>
        </w:rPr>
        <w:t xml:space="preserve">. </w:t>
      </w:r>
    </w:p>
    <w:p w14:paraId="270CB210" w14:textId="77777777" w:rsidR="005B68E7" w:rsidRPr="002312D8" w:rsidRDefault="005B68E7" w:rsidP="005B68E7">
      <w:pPr>
        <w:pStyle w:val="Prrafodelista"/>
        <w:jc w:val="both"/>
        <w:rPr>
          <w:rFonts w:ascii="Noto Sans" w:hAnsi="Noto Sans" w:cs="Noto Sans"/>
          <w:sz w:val="21"/>
          <w:szCs w:val="21"/>
        </w:rPr>
      </w:pPr>
    </w:p>
    <w:p w14:paraId="2D17CB88" w14:textId="061977FF" w:rsidR="005B68E7" w:rsidRPr="002312D8" w:rsidRDefault="005B68E7" w:rsidP="005B68E7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 xml:space="preserve">A través de los casos de excepción al amparo del Artículo </w:t>
      </w:r>
      <w:r w:rsidR="00470EBE">
        <w:rPr>
          <w:rFonts w:ascii="Noto Sans" w:hAnsi="Noto Sans" w:cs="Noto Sans"/>
          <w:sz w:val="21"/>
          <w:szCs w:val="21"/>
        </w:rPr>
        <w:t>54</w:t>
      </w:r>
      <w:r w:rsidRPr="002312D8">
        <w:rPr>
          <w:rFonts w:ascii="Noto Sans" w:hAnsi="Noto Sans" w:cs="Noto Sans"/>
          <w:sz w:val="21"/>
          <w:szCs w:val="21"/>
        </w:rPr>
        <w:t>, fracción I.- Inexistencia de bienes o servicios alternativos o sustitutos técnicamente razonables. Es el caso de: la parte proporcional del contrato correspondiente al servicio de auditoría correspondiente al ejercicio fiscal 202</w:t>
      </w:r>
      <w:r w:rsidR="0079496C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  <w:lang w:val="es-ES"/>
        </w:rPr>
        <w:t>,</w:t>
      </w:r>
      <w:r w:rsidR="006C4B00" w:rsidRPr="002312D8">
        <w:rPr>
          <w:rFonts w:ascii="Noto Sans" w:hAnsi="Noto Sans" w:cs="Noto Sans"/>
          <w:sz w:val="21"/>
          <w:szCs w:val="21"/>
          <w:lang w:val="es-ES"/>
        </w:rPr>
        <w:t xml:space="preserve"> </w:t>
      </w:r>
      <w:r w:rsidR="002A751F" w:rsidRPr="002312D8">
        <w:rPr>
          <w:rFonts w:ascii="Noto Sans" w:hAnsi="Noto Sans" w:cs="Noto Sans"/>
          <w:sz w:val="21"/>
          <w:szCs w:val="21"/>
          <w:lang w:val="es-ES"/>
        </w:rPr>
        <w:t xml:space="preserve">servicio de impuesto predial </w:t>
      </w:r>
      <w:r w:rsidR="005F416F" w:rsidRPr="002312D8">
        <w:rPr>
          <w:rFonts w:ascii="Noto Sans" w:hAnsi="Noto Sans" w:cs="Noto Sans"/>
          <w:sz w:val="21"/>
          <w:szCs w:val="21"/>
          <w:lang w:val="es-ES"/>
        </w:rPr>
        <w:t>refrendo de tenencia y canje de placa del parque vehicular</w:t>
      </w:r>
      <w:r w:rsidR="00057F0C" w:rsidRPr="002312D8">
        <w:rPr>
          <w:rFonts w:ascii="Noto Sans" w:hAnsi="Noto Sans" w:cs="Noto Sans"/>
          <w:sz w:val="21"/>
          <w:szCs w:val="21"/>
        </w:rPr>
        <w:t>; fracción III.-</w:t>
      </w:r>
      <w:r w:rsidR="00C763A2" w:rsidRPr="002312D8">
        <w:rPr>
          <w:rFonts w:ascii="Noto Sans" w:hAnsi="Noto Sans" w:cs="Noto Sans"/>
          <w:sz w:val="21"/>
          <w:szCs w:val="21"/>
        </w:rPr>
        <w:t xml:space="preserve"> </w:t>
      </w:r>
      <w:r w:rsidR="00AF4651" w:rsidRPr="002312D8">
        <w:rPr>
          <w:rFonts w:ascii="Noto Sans" w:hAnsi="Noto Sans" w:cs="Noto Sans"/>
          <w:sz w:val="21"/>
          <w:szCs w:val="21"/>
        </w:rPr>
        <w:t xml:space="preserve">servicio de aseguramiento integral del parque vehicular; </w:t>
      </w:r>
      <w:r w:rsidR="00457DB4" w:rsidRPr="002312D8">
        <w:rPr>
          <w:rFonts w:ascii="Noto Sans" w:hAnsi="Noto Sans" w:cs="Noto Sans"/>
          <w:sz w:val="21"/>
          <w:szCs w:val="21"/>
        </w:rPr>
        <w:t>otros</w:t>
      </w:r>
      <w:r w:rsidR="008072C8" w:rsidRPr="002312D8">
        <w:rPr>
          <w:rFonts w:ascii="Noto Sans" w:hAnsi="Noto Sans" w:cs="Noto Sans"/>
          <w:sz w:val="21"/>
          <w:szCs w:val="21"/>
        </w:rPr>
        <w:t xml:space="preserve"> II, IV </w:t>
      </w:r>
      <w:r w:rsidR="00457DB4" w:rsidRPr="002312D8">
        <w:rPr>
          <w:rFonts w:ascii="Noto Sans" w:hAnsi="Noto Sans" w:cs="Noto Sans"/>
          <w:sz w:val="21"/>
          <w:szCs w:val="21"/>
        </w:rPr>
        <w:t>a</w:t>
      </w:r>
      <w:r w:rsidR="008072C8" w:rsidRPr="002312D8">
        <w:rPr>
          <w:rFonts w:ascii="Noto Sans" w:hAnsi="Noto Sans" w:cs="Noto Sans"/>
          <w:sz w:val="21"/>
          <w:szCs w:val="21"/>
        </w:rPr>
        <w:t xml:space="preserve"> VII </w:t>
      </w:r>
      <w:r w:rsidR="00457DB4" w:rsidRPr="002312D8">
        <w:rPr>
          <w:rFonts w:ascii="Noto Sans" w:hAnsi="Noto Sans" w:cs="Noto Sans"/>
          <w:sz w:val="21"/>
          <w:szCs w:val="21"/>
        </w:rPr>
        <w:t>y</w:t>
      </w:r>
      <w:r w:rsidR="005B0089" w:rsidRPr="002312D8">
        <w:rPr>
          <w:rFonts w:ascii="Noto Sans" w:hAnsi="Noto Sans" w:cs="Noto Sans"/>
          <w:sz w:val="21"/>
          <w:szCs w:val="21"/>
        </w:rPr>
        <w:t xml:space="preserve"> IX </w:t>
      </w:r>
      <w:r w:rsidR="00457DB4" w:rsidRPr="002312D8">
        <w:rPr>
          <w:rFonts w:ascii="Noto Sans" w:hAnsi="Noto Sans" w:cs="Noto Sans"/>
          <w:sz w:val="21"/>
          <w:szCs w:val="21"/>
        </w:rPr>
        <w:t>a</w:t>
      </w:r>
      <w:r w:rsidR="005B0089" w:rsidRPr="002312D8">
        <w:rPr>
          <w:rFonts w:ascii="Noto Sans" w:hAnsi="Noto Sans" w:cs="Noto Sans"/>
          <w:sz w:val="21"/>
          <w:szCs w:val="21"/>
        </w:rPr>
        <w:t xml:space="preserve"> XX</w:t>
      </w:r>
      <w:r w:rsidR="0010714D" w:rsidRPr="002312D8">
        <w:rPr>
          <w:rFonts w:ascii="Noto Sans" w:hAnsi="Noto Sans" w:cs="Noto Sans"/>
          <w:sz w:val="21"/>
          <w:szCs w:val="21"/>
        </w:rPr>
        <w:t xml:space="preserve">.- </w:t>
      </w:r>
      <w:r w:rsidR="00B24EEA" w:rsidRPr="002312D8">
        <w:rPr>
          <w:rFonts w:ascii="Noto Sans" w:hAnsi="Noto Sans" w:cs="Noto Sans"/>
          <w:sz w:val="21"/>
          <w:szCs w:val="21"/>
        </w:rPr>
        <w:t>servicios básicos, servicios de asesoría, consultoría, informáticos, estudios e investigaciones,</w:t>
      </w:r>
      <w:r w:rsidR="0089351B" w:rsidRPr="002312D8">
        <w:rPr>
          <w:rFonts w:ascii="Noto Sans" w:hAnsi="Noto Sans" w:cs="Noto Sans"/>
          <w:sz w:val="21"/>
          <w:szCs w:val="21"/>
        </w:rPr>
        <w:t xml:space="preserve"> </w:t>
      </w:r>
      <w:r w:rsidRPr="002312D8">
        <w:rPr>
          <w:rFonts w:ascii="Noto Sans" w:hAnsi="Noto Sans" w:cs="Noto Sans"/>
          <w:sz w:val="21"/>
          <w:szCs w:val="21"/>
        </w:rPr>
        <w:t xml:space="preserve">todo lo anterior asciende a un monto de </w:t>
      </w:r>
      <w:r w:rsidR="00386B66" w:rsidRPr="002312D8">
        <w:rPr>
          <w:rFonts w:ascii="Noto Sans" w:hAnsi="Noto Sans" w:cs="Noto Sans"/>
          <w:sz w:val="21"/>
          <w:szCs w:val="21"/>
        </w:rPr>
        <w:t>$</w:t>
      </w:r>
      <w:r w:rsidR="00AB08FF" w:rsidRPr="00AB08FF">
        <w:rPr>
          <w:rFonts w:ascii="Noto Sans" w:hAnsi="Noto Sans" w:cs="Noto Sans"/>
          <w:sz w:val="21"/>
          <w:szCs w:val="21"/>
        </w:rPr>
        <w:t xml:space="preserve">15,400,332.63 </w:t>
      </w:r>
      <w:r w:rsidRPr="002312D8">
        <w:rPr>
          <w:rFonts w:ascii="Noto Sans" w:hAnsi="Noto Sans" w:cs="Noto Sans"/>
          <w:sz w:val="21"/>
          <w:szCs w:val="21"/>
        </w:rPr>
        <w:t xml:space="preserve">lo cual corresponde al </w:t>
      </w:r>
      <w:r w:rsidR="001039D2">
        <w:rPr>
          <w:rFonts w:ascii="Noto Sans" w:hAnsi="Noto Sans" w:cs="Noto Sans"/>
          <w:sz w:val="21"/>
          <w:szCs w:val="21"/>
        </w:rPr>
        <w:t>2</w:t>
      </w:r>
      <w:r w:rsidR="00073D37">
        <w:rPr>
          <w:rFonts w:ascii="Noto Sans" w:hAnsi="Noto Sans" w:cs="Noto Sans"/>
          <w:sz w:val="21"/>
          <w:szCs w:val="21"/>
        </w:rPr>
        <w:t>6.67</w:t>
      </w:r>
      <w:r w:rsidRPr="002312D8">
        <w:rPr>
          <w:rFonts w:ascii="Noto Sans" w:hAnsi="Noto Sans" w:cs="Noto Sans"/>
          <w:sz w:val="21"/>
          <w:szCs w:val="21"/>
        </w:rPr>
        <w:t>%.</w:t>
      </w:r>
    </w:p>
    <w:p w14:paraId="04E7F155" w14:textId="77777777" w:rsidR="005B68E7" w:rsidRPr="002312D8" w:rsidRDefault="005B68E7" w:rsidP="005B68E7">
      <w:pPr>
        <w:pStyle w:val="Prrafodelista"/>
        <w:rPr>
          <w:rFonts w:ascii="Noto Sans" w:hAnsi="Noto Sans" w:cs="Noto Sans"/>
          <w:sz w:val="21"/>
          <w:szCs w:val="21"/>
        </w:rPr>
      </w:pPr>
    </w:p>
    <w:p w14:paraId="512203F3" w14:textId="743D029E" w:rsidR="005B68E7" w:rsidRDefault="005B68E7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El monto correspondiente al inciso “a” y “b” asciende a $</w:t>
      </w:r>
      <w:r w:rsidR="00271416" w:rsidRPr="00271416">
        <w:rPr>
          <w:rFonts w:ascii="Noto Sans" w:hAnsi="Noto Sans" w:cs="Noto Sans"/>
          <w:sz w:val="21"/>
          <w:szCs w:val="21"/>
        </w:rPr>
        <w:t>26,930,204.08</w:t>
      </w:r>
      <w:r w:rsidR="00271416">
        <w:rPr>
          <w:rFonts w:ascii="Noto Sans" w:hAnsi="Noto Sans" w:cs="Noto Sans"/>
          <w:sz w:val="21"/>
          <w:szCs w:val="21"/>
        </w:rPr>
        <w:t xml:space="preserve"> </w:t>
      </w:r>
      <w:r w:rsidRPr="002312D8">
        <w:rPr>
          <w:rFonts w:ascii="Noto Sans" w:hAnsi="Noto Sans" w:cs="Noto Sans"/>
          <w:sz w:val="21"/>
          <w:szCs w:val="21"/>
        </w:rPr>
        <w:t xml:space="preserve">lo que representa el </w:t>
      </w:r>
      <w:r w:rsidR="00455189">
        <w:rPr>
          <w:rFonts w:ascii="Noto Sans" w:hAnsi="Noto Sans" w:cs="Noto Sans"/>
          <w:sz w:val="21"/>
          <w:szCs w:val="21"/>
        </w:rPr>
        <w:t>4</w:t>
      </w:r>
      <w:r w:rsidR="00A41065">
        <w:rPr>
          <w:rFonts w:ascii="Noto Sans" w:hAnsi="Noto Sans" w:cs="Noto Sans"/>
          <w:sz w:val="21"/>
          <w:szCs w:val="21"/>
        </w:rPr>
        <w:t>6.64</w:t>
      </w:r>
      <w:r w:rsidRPr="002312D8">
        <w:rPr>
          <w:rFonts w:ascii="Noto Sans" w:hAnsi="Noto Sans" w:cs="Noto Sans"/>
          <w:sz w:val="21"/>
          <w:szCs w:val="21"/>
        </w:rPr>
        <w:t>% del presupuesto, y</w:t>
      </w:r>
    </w:p>
    <w:p w14:paraId="52F54E5B" w14:textId="77777777" w:rsidR="00EA6C9C" w:rsidRDefault="00EA6C9C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</w:p>
    <w:p w14:paraId="556F13A8" w14:textId="77777777" w:rsidR="00EA6C9C" w:rsidRDefault="00EA6C9C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</w:p>
    <w:p w14:paraId="60F3E09A" w14:textId="77777777" w:rsidR="00EA6C9C" w:rsidRDefault="00EA6C9C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</w:p>
    <w:p w14:paraId="1B012A02" w14:textId="77777777" w:rsidR="00EA6C9C" w:rsidRPr="002312D8" w:rsidRDefault="00EA6C9C" w:rsidP="005B68E7">
      <w:pPr>
        <w:spacing w:line="276" w:lineRule="auto"/>
        <w:jc w:val="both"/>
        <w:rPr>
          <w:rFonts w:ascii="Noto Sans" w:hAnsi="Noto Sans" w:cs="Noto Sans"/>
          <w:sz w:val="21"/>
          <w:szCs w:val="21"/>
        </w:rPr>
      </w:pPr>
    </w:p>
    <w:p w14:paraId="20FE525A" w14:textId="77777777" w:rsidR="005B68E7" w:rsidRPr="002312D8" w:rsidRDefault="005B68E7" w:rsidP="005B68E7">
      <w:pPr>
        <w:pStyle w:val="Prrafodelista"/>
        <w:spacing w:after="0" w:line="276" w:lineRule="auto"/>
        <w:ind w:left="567"/>
        <w:jc w:val="both"/>
        <w:rPr>
          <w:rFonts w:ascii="Noto Sans" w:hAnsi="Noto Sans" w:cs="Noto Sans"/>
          <w:sz w:val="21"/>
          <w:szCs w:val="21"/>
        </w:rPr>
      </w:pPr>
    </w:p>
    <w:p w14:paraId="57AA0EB3" w14:textId="5603DFB6" w:rsidR="005B68E7" w:rsidRPr="002312D8" w:rsidRDefault="005B68E7" w:rsidP="005B68E7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 xml:space="preserve"> El monto total de los procedimientos realizados al amparo del artículo </w:t>
      </w:r>
      <w:r w:rsidR="00C47167">
        <w:rPr>
          <w:rFonts w:ascii="Noto Sans" w:hAnsi="Noto Sans" w:cs="Noto Sans"/>
          <w:sz w:val="21"/>
          <w:szCs w:val="21"/>
        </w:rPr>
        <w:t>55</w:t>
      </w:r>
      <w:r w:rsidRPr="002312D8">
        <w:rPr>
          <w:rFonts w:ascii="Noto Sans" w:hAnsi="Noto Sans" w:cs="Noto Sans"/>
          <w:sz w:val="21"/>
          <w:szCs w:val="21"/>
        </w:rPr>
        <w:t xml:space="preserve"> de la LAASSP es de </w:t>
      </w:r>
      <w:r w:rsidR="00EA04E0">
        <w:rPr>
          <w:rFonts w:ascii="Noto Sans" w:hAnsi="Noto Sans" w:cs="Noto Sans"/>
          <w:sz w:val="21"/>
          <w:szCs w:val="21"/>
        </w:rPr>
        <w:t>$</w:t>
      </w:r>
      <w:r w:rsidR="00393B01" w:rsidRPr="00393B01">
        <w:rPr>
          <w:rFonts w:ascii="Noto Sans" w:hAnsi="Noto Sans" w:cs="Noto Sans"/>
          <w:sz w:val="21"/>
          <w:szCs w:val="21"/>
        </w:rPr>
        <w:t>5,354,213.78</w:t>
      </w:r>
      <w:r w:rsidR="00393B01">
        <w:rPr>
          <w:rFonts w:ascii="Noto Sans" w:hAnsi="Noto Sans" w:cs="Noto Sans"/>
          <w:sz w:val="21"/>
          <w:szCs w:val="21"/>
        </w:rPr>
        <w:t xml:space="preserve"> </w:t>
      </w:r>
      <w:r w:rsidRPr="002312D8">
        <w:rPr>
          <w:rFonts w:ascii="Noto Sans" w:hAnsi="Noto Sans" w:cs="Noto Sans"/>
          <w:sz w:val="21"/>
          <w:szCs w:val="21"/>
        </w:rPr>
        <w:t xml:space="preserve">equivalente al </w:t>
      </w:r>
      <w:r w:rsidR="00393B01">
        <w:rPr>
          <w:rFonts w:ascii="Noto Sans" w:hAnsi="Noto Sans" w:cs="Noto Sans"/>
          <w:sz w:val="21"/>
          <w:szCs w:val="21"/>
        </w:rPr>
        <w:t>9.27</w:t>
      </w:r>
      <w:r w:rsidRPr="002312D8">
        <w:rPr>
          <w:rFonts w:ascii="Noto Sans" w:hAnsi="Noto Sans" w:cs="Noto Sans"/>
          <w:sz w:val="21"/>
          <w:szCs w:val="21"/>
        </w:rPr>
        <w:t xml:space="preserve">% dentro del cual se adquirió: </w:t>
      </w:r>
      <w:r w:rsidR="00E31009" w:rsidRPr="002312D8">
        <w:rPr>
          <w:rFonts w:ascii="Noto Sans" w:hAnsi="Noto Sans" w:cs="Noto Sans"/>
          <w:sz w:val="21"/>
          <w:szCs w:val="21"/>
          <w:lang w:val="es-ES"/>
        </w:rPr>
        <w:t>materiales de administración, emisión de documentos y artículos oficiales</w:t>
      </w:r>
      <w:r w:rsidR="00E31009" w:rsidRPr="002312D8">
        <w:rPr>
          <w:rFonts w:ascii="Noto Sans" w:hAnsi="Noto Sans" w:cs="Noto Sans"/>
          <w:sz w:val="21"/>
          <w:szCs w:val="21"/>
        </w:rPr>
        <w:t xml:space="preserve">, </w:t>
      </w:r>
      <w:r w:rsidR="00E31009" w:rsidRPr="002312D8">
        <w:rPr>
          <w:rFonts w:ascii="Noto Sans" w:hAnsi="Noto Sans" w:cs="Noto Sans"/>
          <w:sz w:val="21"/>
          <w:szCs w:val="21"/>
          <w:lang w:val="es-ES"/>
        </w:rPr>
        <w:t>alimentos y utensilios</w:t>
      </w:r>
      <w:r w:rsidR="00E31009" w:rsidRPr="002312D8">
        <w:rPr>
          <w:rFonts w:ascii="Noto Sans" w:hAnsi="Noto Sans" w:cs="Noto Sans"/>
          <w:sz w:val="21"/>
          <w:szCs w:val="21"/>
        </w:rPr>
        <w:t xml:space="preserve">, </w:t>
      </w:r>
      <w:r w:rsidR="00E31009" w:rsidRPr="002312D8">
        <w:rPr>
          <w:rFonts w:ascii="Noto Sans" w:hAnsi="Noto Sans" w:cs="Noto Sans"/>
          <w:sz w:val="21"/>
          <w:szCs w:val="21"/>
          <w:lang w:val="es-ES"/>
        </w:rPr>
        <w:t>materiales y artículos de construcción y de reparación</w:t>
      </w:r>
      <w:r w:rsidR="00E31009" w:rsidRPr="002312D8">
        <w:rPr>
          <w:rFonts w:ascii="Noto Sans" w:hAnsi="Noto Sans" w:cs="Noto Sans"/>
          <w:sz w:val="21"/>
          <w:szCs w:val="21"/>
        </w:rPr>
        <w:t xml:space="preserve">, </w:t>
      </w:r>
      <w:r w:rsidR="00E31009" w:rsidRPr="002312D8">
        <w:rPr>
          <w:rFonts w:ascii="Noto Sans" w:hAnsi="Noto Sans" w:cs="Noto Sans"/>
          <w:sz w:val="21"/>
          <w:szCs w:val="21"/>
          <w:lang w:val="es-ES"/>
        </w:rPr>
        <w:t>productos químicos, farmacéuticos y de laboratorio, combustibles, lubricantes y aditivos, vestuario, blancos, prendas de protección y artículos deportivos, mercancías diversas, servicios básicos, servicios de arrendamiento, servicios de asesoría, consultoría, informáticos, estudios e investigaciones, servicios comercial, bancario, financiero, subcontratación de servicios con terceros y gastos inherentes, servicios de mantenimiento y conservación, servicios de comunicación social y servicios oficiales</w:t>
      </w:r>
      <w:r w:rsidR="00E31009" w:rsidRPr="002312D8">
        <w:rPr>
          <w:rFonts w:ascii="Noto Sans" w:hAnsi="Noto Sans" w:cs="Noto Sans"/>
          <w:sz w:val="21"/>
          <w:szCs w:val="21"/>
        </w:rPr>
        <w:t xml:space="preserve">. </w:t>
      </w:r>
    </w:p>
    <w:p w14:paraId="3202D839" w14:textId="77777777" w:rsidR="005B68E7" w:rsidRPr="002312D8" w:rsidRDefault="005B68E7" w:rsidP="005B68E7">
      <w:pPr>
        <w:pStyle w:val="Prrafodelista"/>
        <w:spacing w:after="0" w:line="276" w:lineRule="auto"/>
        <w:ind w:left="567"/>
        <w:jc w:val="both"/>
        <w:rPr>
          <w:rFonts w:ascii="Noto Sans" w:hAnsi="Noto Sans" w:cs="Noto Sans"/>
          <w:b/>
          <w:sz w:val="21"/>
          <w:szCs w:val="21"/>
          <w:u w:val="single"/>
        </w:rPr>
      </w:pPr>
    </w:p>
    <w:p w14:paraId="322DCB77" w14:textId="77777777" w:rsidR="005B68E7" w:rsidRPr="002312D8" w:rsidRDefault="005B68E7" w:rsidP="005B68E7">
      <w:pPr>
        <w:rPr>
          <w:rFonts w:ascii="Noto Sans" w:hAnsi="Noto Sans" w:cs="Noto Sans"/>
          <w:b/>
          <w:sz w:val="21"/>
          <w:szCs w:val="21"/>
        </w:rPr>
      </w:pPr>
      <w:r w:rsidRPr="002312D8">
        <w:rPr>
          <w:rFonts w:ascii="Noto Sans" w:hAnsi="Noto Sans" w:cs="Noto Sans"/>
          <w:b/>
          <w:sz w:val="21"/>
          <w:szCs w:val="21"/>
        </w:rPr>
        <w:t>Consolidación de procedimientos</w:t>
      </w:r>
    </w:p>
    <w:p w14:paraId="21E35605" w14:textId="77777777" w:rsidR="005B68E7" w:rsidRPr="002312D8" w:rsidRDefault="005B68E7" w:rsidP="005B68E7">
      <w:pPr>
        <w:rPr>
          <w:rFonts w:ascii="Noto Sans" w:hAnsi="Noto Sans" w:cs="Noto Sans"/>
          <w:b/>
          <w:sz w:val="21"/>
          <w:szCs w:val="21"/>
        </w:rPr>
      </w:pPr>
    </w:p>
    <w:p w14:paraId="2967C3BA" w14:textId="5DD04A3B" w:rsidR="005B68E7" w:rsidRPr="002312D8" w:rsidRDefault="005B68E7" w:rsidP="005B68E7">
      <w:pPr>
        <w:tabs>
          <w:tab w:val="left" w:pos="993"/>
        </w:tabs>
        <w:spacing w:line="276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El Colegio de la Frontera Sur, dentro de las disposiciones de austeridad y ajuste del gasto corriente, llevó a cabo estrategias de contratación, bajo lo siguiente:</w:t>
      </w:r>
    </w:p>
    <w:p w14:paraId="0CCC7C1B" w14:textId="77777777" w:rsidR="005B68E7" w:rsidRPr="002312D8" w:rsidRDefault="005B68E7" w:rsidP="005B68E7">
      <w:pPr>
        <w:jc w:val="both"/>
        <w:rPr>
          <w:rFonts w:ascii="Noto Sans" w:hAnsi="Noto Sans" w:cs="Noto Sans"/>
          <w:sz w:val="21"/>
          <w:szCs w:val="21"/>
        </w:rPr>
      </w:pPr>
    </w:p>
    <w:p w14:paraId="1BC1E0DE" w14:textId="77777777" w:rsidR="005B68E7" w:rsidRPr="002312D8" w:rsidRDefault="005B68E7" w:rsidP="005B68E7">
      <w:pPr>
        <w:numPr>
          <w:ilvl w:val="0"/>
          <w:numId w:val="2"/>
        </w:numPr>
        <w:spacing w:line="276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 xml:space="preserve">Compras consolidadas encabezadas por la SHCP: ECOSUR participó en la contratación consolidada de: </w:t>
      </w:r>
    </w:p>
    <w:p w14:paraId="77DC5BF1" w14:textId="77777777" w:rsidR="005B68E7" w:rsidRPr="002312D8" w:rsidRDefault="005B68E7" w:rsidP="005B68E7">
      <w:pPr>
        <w:spacing w:line="276" w:lineRule="auto"/>
        <w:ind w:left="360"/>
        <w:jc w:val="both"/>
        <w:rPr>
          <w:rFonts w:ascii="Noto Sans" w:hAnsi="Noto Sans" w:cs="Noto Sans"/>
          <w:sz w:val="21"/>
          <w:szCs w:val="21"/>
        </w:rPr>
      </w:pPr>
    </w:p>
    <w:p w14:paraId="5BC02EB3" w14:textId="3858BBEE" w:rsidR="005B68E7" w:rsidRPr="002312D8" w:rsidRDefault="005B68E7" w:rsidP="005B68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Suministro de Vales de Despensa Electrónicos, para las prestaciones mensuales del ejercicio 202</w:t>
      </w:r>
      <w:r w:rsidR="00E31009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</w:rPr>
        <w:t>.</w:t>
      </w:r>
    </w:p>
    <w:p w14:paraId="76CC767F" w14:textId="77777777" w:rsidR="005B68E7" w:rsidRPr="002312D8" w:rsidRDefault="005B68E7" w:rsidP="005B68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Servicio de Suministro de Combustible.</w:t>
      </w:r>
    </w:p>
    <w:p w14:paraId="1CEACE70" w14:textId="3C6EF7B0" w:rsidR="005B68E7" w:rsidRPr="002312D8" w:rsidRDefault="005B68E7" w:rsidP="005B68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Servicio del Aseguramiento de los bienes patrimoniales 202</w:t>
      </w:r>
      <w:r w:rsidR="00E31009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</w:rPr>
        <w:t>.</w:t>
      </w:r>
    </w:p>
    <w:p w14:paraId="76FE7287" w14:textId="7717FC3C" w:rsidR="005B68E7" w:rsidRPr="002312D8" w:rsidRDefault="005B68E7" w:rsidP="005B68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Servicio del Aseguramiento Integral del Parque Vehicular 202</w:t>
      </w:r>
      <w:r w:rsidR="00E31009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</w:rPr>
        <w:t>.</w:t>
      </w:r>
    </w:p>
    <w:p w14:paraId="3C54C2C4" w14:textId="0B0D5CB6" w:rsidR="005B68E7" w:rsidRPr="002312D8" w:rsidRDefault="005B68E7" w:rsidP="005B68E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Aseguramiento Integral de Aeronaves Tripuladas 202</w:t>
      </w:r>
      <w:r w:rsidR="00E31009" w:rsidRPr="002312D8">
        <w:rPr>
          <w:rFonts w:ascii="Noto Sans" w:hAnsi="Noto Sans" w:cs="Noto Sans"/>
          <w:sz w:val="21"/>
          <w:szCs w:val="21"/>
        </w:rPr>
        <w:t>5</w:t>
      </w:r>
      <w:r w:rsidRPr="002312D8">
        <w:rPr>
          <w:rFonts w:ascii="Noto Sans" w:hAnsi="Noto Sans" w:cs="Noto Sans"/>
          <w:sz w:val="21"/>
          <w:szCs w:val="21"/>
        </w:rPr>
        <w:t>.</w:t>
      </w:r>
    </w:p>
    <w:p w14:paraId="6805828E" w14:textId="77777777" w:rsidR="00BF1ED9" w:rsidRPr="002312D8" w:rsidRDefault="00BF1ED9" w:rsidP="00BF1ED9">
      <w:pPr>
        <w:pStyle w:val="Prrafodelista"/>
        <w:spacing w:after="0" w:line="240" w:lineRule="auto"/>
        <w:ind w:left="1440"/>
        <w:jc w:val="both"/>
        <w:rPr>
          <w:rFonts w:ascii="Noto Sans" w:hAnsi="Noto Sans" w:cs="Noto Sans"/>
          <w:sz w:val="21"/>
          <w:szCs w:val="21"/>
        </w:rPr>
      </w:pPr>
    </w:p>
    <w:p w14:paraId="6F3C8C2C" w14:textId="137F9528" w:rsidR="005B68E7" w:rsidRPr="002312D8" w:rsidRDefault="005B68E7" w:rsidP="005B68E7">
      <w:pPr>
        <w:numPr>
          <w:ilvl w:val="0"/>
          <w:numId w:val="2"/>
        </w:numPr>
        <w:spacing w:line="276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 xml:space="preserve">Compras consolidadas por Unidad Administrativa de manera interna a ECOSUR: </w:t>
      </w:r>
    </w:p>
    <w:p w14:paraId="00DA65E1" w14:textId="77777777" w:rsidR="005B68E7" w:rsidRPr="002312D8" w:rsidRDefault="005B68E7" w:rsidP="005B68E7">
      <w:pPr>
        <w:rPr>
          <w:rFonts w:ascii="Noto Sans" w:hAnsi="Noto Sans" w:cs="Noto Sans"/>
          <w:sz w:val="21"/>
          <w:szCs w:val="21"/>
        </w:rPr>
      </w:pPr>
    </w:p>
    <w:p w14:paraId="55831FCF" w14:textId="77777777" w:rsidR="005B68E7" w:rsidRPr="002312D8" w:rsidRDefault="005B68E7" w:rsidP="005B68E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Seguros de persona.</w:t>
      </w:r>
    </w:p>
    <w:p w14:paraId="22683573" w14:textId="77777777" w:rsidR="005B68E7" w:rsidRPr="002312D8" w:rsidRDefault="005B68E7" w:rsidP="005B68E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Servicios de reservación y expedición de boletos de avión.</w:t>
      </w:r>
    </w:p>
    <w:p w14:paraId="12D73547" w14:textId="77777777" w:rsidR="005B68E7" w:rsidRPr="002312D8" w:rsidRDefault="005B68E7" w:rsidP="005B68E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Servicio de limpieza.</w:t>
      </w:r>
    </w:p>
    <w:p w14:paraId="6523969E" w14:textId="77777777" w:rsidR="005B68E7" w:rsidRPr="002312D8" w:rsidRDefault="005B68E7" w:rsidP="005B68E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>Servicio de seguridad y vigilancia.</w:t>
      </w:r>
    </w:p>
    <w:p w14:paraId="21562396" w14:textId="0F8F7128" w:rsidR="005B68E7" w:rsidRPr="002312D8" w:rsidRDefault="005B68E7" w:rsidP="005B68E7">
      <w:pPr>
        <w:pStyle w:val="Prrafodelista"/>
        <w:numPr>
          <w:ilvl w:val="1"/>
          <w:numId w:val="5"/>
        </w:num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  <w:r w:rsidRPr="002312D8">
        <w:rPr>
          <w:rFonts w:ascii="Noto Sans" w:hAnsi="Noto Sans" w:cs="Noto Sans"/>
          <w:sz w:val="21"/>
          <w:szCs w:val="21"/>
        </w:rPr>
        <w:t xml:space="preserve">El Servicios de </w:t>
      </w:r>
      <w:r w:rsidR="00045112">
        <w:rPr>
          <w:rFonts w:ascii="Noto Sans" w:hAnsi="Noto Sans" w:cs="Noto Sans"/>
          <w:sz w:val="21"/>
          <w:szCs w:val="21"/>
        </w:rPr>
        <w:t>a</w:t>
      </w:r>
      <w:r w:rsidRPr="002312D8">
        <w:rPr>
          <w:rFonts w:ascii="Noto Sans" w:hAnsi="Noto Sans" w:cs="Noto Sans"/>
          <w:sz w:val="21"/>
          <w:szCs w:val="21"/>
        </w:rPr>
        <w:t xml:space="preserve">bastecimiento de </w:t>
      </w:r>
      <w:r w:rsidR="00045112">
        <w:rPr>
          <w:rFonts w:ascii="Noto Sans" w:hAnsi="Noto Sans" w:cs="Noto Sans"/>
          <w:sz w:val="21"/>
          <w:szCs w:val="21"/>
        </w:rPr>
        <w:t>c</w:t>
      </w:r>
      <w:r w:rsidRPr="002312D8">
        <w:rPr>
          <w:rFonts w:ascii="Noto Sans" w:hAnsi="Noto Sans" w:cs="Noto Sans"/>
          <w:sz w:val="21"/>
          <w:szCs w:val="21"/>
        </w:rPr>
        <w:t>ombustible.</w:t>
      </w:r>
    </w:p>
    <w:p w14:paraId="009FF276" w14:textId="77777777" w:rsidR="005B68E7" w:rsidRPr="002312D8" w:rsidRDefault="005B68E7" w:rsidP="005B68E7">
      <w:pPr>
        <w:rPr>
          <w:rFonts w:ascii="Noto Sans" w:hAnsi="Noto Sans" w:cs="Noto Sans"/>
          <w:sz w:val="21"/>
          <w:szCs w:val="21"/>
        </w:rPr>
      </w:pPr>
    </w:p>
    <w:p w14:paraId="1325387D" w14:textId="77777777" w:rsidR="005B68E7" w:rsidRPr="00142A77" w:rsidRDefault="005B68E7" w:rsidP="005B68E7">
      <w:pPr>
        <w:spacing w:line="360" w:lineRule="auto"/>
        <w:jc w:val="both"/>
        <w:rPr>
          <w:rFonts w:ascii="Noto Sans" w:hAnsi="Noto Sans" w:cs="Noto Sans"/>
          <w:sz w:val="21"/>
          <w:szCs w:val="21"/>
          <w:lang w:val="es-MX"/>
        </w:rPr>
      </w:pPr>
    </w:p>
    <w:p w14:paraId="7D123875" w14:textId="421922F0" w:rsidR="00B71039" w:rsidRPr="002312D8" w:rsidRDefault="00B71039" w:rsidP="005B68E7">
      <w:pPr>
        <w:rPr>
          <w:rFonts w:ascii="Noto Sans" w:hAnsi="Noto Sans" w:cs="Noto Sans"/>
          <w:sz w:val="21"/>
          <w:szCs w:val="21"/>
        </w:rPr>
      </w:pPr>
    </w:p>
    <w:sectPr w:rsidR="00B71039" w:rsidRPr="002312D8" w:rsidSect="00A73D65">
      <w:headerReference w:type="even" r:id="rId7"/>
      <w:headerReference w:type="default" r:id="rId8"/>
      <w:footerReference w:type="even" r:id="rId9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8A14" w14:textId="77777777" w:rsidR="008F67CB" w:rsidRDefault="008F67CB" w:rsidP="00A73D65">
      <w:r>
        <w:separator/>
      </w:r>
    </w:p>
  </w:endnote>
  <w:endnote w:type="continuationSeparator" w:id="0">
    <w:p w14:paraId="35463D39" w14:textId="77777777" w:rsidR="008F67CB" w:rsidRDefault="008F67C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3DDF9B1F">
              <wp:simplePos x="0" y="0"/>
              <wp:positionH relativeFrom="column">
                <wp:posOffset>1167130</wp:posOffset>
              </wp:positionH>
              <wp:positionV relativeFrom="paragraph">
                <wp:posOffset>-442595</wp:posOffset>
              </wp:positionV>
              <wp:extent cx="5246558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FC470" w14:textId="77777777" w:rsidR="00D66B77" w:rsidRPr="00312C54" w:rsidRDefault="00D66B77" w:rsidP="00D66B77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Centenario, Km 5.5, Col. Pacto Obrero, CP. 77014, Chetumal, Q. Roo, México. Tel: (983) 835 0440 Ext. 4501      www.ecosur.mx</w:t>
                          </w:r>
                        </w:p>
                        <w:p w14:paraId="4CDFF3AC" w14:textId="77777777" w:rsidR="00D66B77" w:rsidRPr="00FB0F2B" w:rsidRDefault="00D66B77" w:rsidP="00D66B77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4693F868" w14:textId="77777777" w:rsidR="00D66B77" w:rsidRPr="00FB0F2B" w:rsidRDefault="00D66B77" w:rsidP="00D66B77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9pt;margin-top:-34.85pt;width:413.1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" filled="f" stroked="f" strokeweight=".5pt">
              <v:textbox>
                <w:txbxContent>
                  <w:p w14:paraId="79BFC470" w14:textId="77777777" w:rsidR="00D66B77" w:rsidRPr="00312C54" w:rsidRDefault="00D66B77" w:rsidP="00D66B77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Centenario, Km 5.5, Col. Pacto Obrero, CP. 77014, Chetumal, Q. Roo, México. Tel: (983) 835 0440 Ext. 4501      www.ecosur.mx</w:t>
                    </w:r>
                  </w:p>
                  <w:p w14:paraId="4CDFF3AC" w14:textId="77777777" w:rsidR="00D66B77" w:rsidRPr="00FB0F2B" w:rsidRDefault="00D66B77" w:rsidP="00D66B77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4693F868" w14:textId="77777777" w:rsidR="00D66B77" w:rsidRPr="00FB0F2B" w:rsidRDefault="00D66B77" w:rsidP="00D66B77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6A31" w14:textId="77777777" w:rsidR="008F67CB" w:rsidRDefault="008F67CB" w:rsidP="00A73D65">
      <w:r>
        <w:separator/>
      </w:r>
    </w:p>
  </w:footnote>
  <w:footnote w:type="continuationSeparator" w:id="0">
    <w:p w14:paraId="188478AB" w14:textId="77777777" w:rsidR="008F67CB" w:rsidRDefault="008F67C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6935729B">
          <wp:simplePos x="0" y="0"/>
          <wp:positionH relativeFrom="column">
            <wp:posOffset>-1065145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64ABBA6A">
          <wp:simplePos x="0" y="0"/>
          <wp:positionH relativeFrom="column">
            <wp:posOffset>-1100455</wp:posOffset>
          </wp:positionH>
          <wp:positionV relativeFrom="paragraph">
            <wp:posOffset>-469900</wp:posOffset>
          </wp:positionV>
          <wp:extent cx="7800218" cy="1009440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8" cy="10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B54"/>
    <w:multiLevelType w:val="hybridMultilevel"/>
    <w:tmpl w:val="D3E0C096"/>
    <w:lvl w:ilvl="0" w:tplc="D4B00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90904"/>
    <w:multiLevelType w:val="hybridMultilevel"/>
    <w:tmpl w:val="64A0D5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EC9EFC90">
      <w:start w:val="1"/>
      <w:numFmt w:val="lowerLetter"/>
      <w:lvlText w:val="%2."/>
      <w:lvlJc w:val="left"/>
      <w:pPr>
        <w:ind w:left="644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E34"/>
    <w:multiLevelType w:val="hybridMultilevel"/>
    <w:tmpl w:val="3600E6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B4B94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6A1136"/>
    <w:multiLevelType w:val="hybridMultilevel"/>
    <w:tmpl w:val="0AAE16F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B57675"/>
    <w:multiLevelType w:val="hybridMultilevel"/>
    <w:tmpl w:val="8404169E"/>
    <w:lvl w:ilvl="0" w:tplc="EC9EFC9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7295"/>
    <w:multiLevelType w:val="hybridMultilevel"/>
    <w:tmpl w:val="0BB0BDE6"/>
    <w:lvl w:ilvl="0" w:tplc="BC129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547250">
      <w:start w:val="2"/>
      <w:numFmt w:val="bullet"/>
      <w:lvlText w:val="•"/>
      <w:lvlJc w:val="left"/>
      <w:pPr>
        <w:ind w:left="1770" w:hanging="690"/>
      </w:pPr>
      <w:rPr>
        <w:rFonts w:ascii="Monserrat" w:eastAsiaTheme="minorHAnsi" w:hAnsi="Monserrat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1159">
    <w:abstractNumId w:val="1"/>
  </w:num>
  <w:num w:numId="2" w16cid:durableId="318927434">
    <w:abstractNumId w:val="2"/>
  </w:num>
  <w:num w:numId="3" w16cid:durableId="1430080458">
    <w:abstractNumId w:val="0"/>
  </w:num>
  <w:num w:numId="4" w16cid:durableId="889999060">
    <w:abstractNumId w:val="4"/>
  </w:num>
  <w:num w:numId="5" w16cid:durableId="2105607612">
    <w:abstractNumId w:val="6"/>
  </w:num>
  <w:num w:numId="6" w16cid:durableId="1886987134">
    <w:abstractNumId w:val="5"/>
  </w:num>
  <w:num w:numId="7" w16cid:durableId="1206598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005D"/>
    <w:rsid w:val="00022CB2"/>
    <w:rsid w:val="00023AA0"/>
    <w:rsid w:val="0003180E"/>
    <w:rsid w:val="00034425"/>
    <w:rsid w:val="00045112"/>
    <w:rsid w:val="00057F0C"/>
    <w:rsid w:val="00060F0A"/>
    <w:rsid w:val="00073D37"/>
    <w:rsid w:val="000A13BE"/>
    <w:rsid w:val="000A46D6"/>
    <w:rsid w:val="000A5172"/>
    <w:rsid w:val="001039D2"/>
    <w:rsid w:val="0010714D"/>
    <w:rsid w:val="001245BE"/>
    <w:rsid w:val="00142A77"/>
    <w:rsid w:val="00156A3E"/>
    <w:rsid w:val="00161740"/>
    <w:rsid w:val="00180A38"/>
    <w:rsid w:val="00184325"/>
    <w:rsid w:val="001A5061"/>
    <w:rsid w:val="001D4ABF"/>
    <w:rsid w:val="001E3ECD"/>
    <w:rsid w:val="001E537B"/>
    <w:rsid w:val="002312D8"/>
    <w:rsid w:val="00245F66"/>
    <w:rsid w:val="002563D9"/>
    <w:rsid w:val="00256B1D"/>
    <w:rsid w:val="00271416"/>
    <w:rsid w:val="002871E1"/>
    <w:rsid w:val="00287588"/>
    <w:rsid w:val="0029542D"/>
    <w:rsid w:val="002A751F"/>
    <w:rsid w:val="002C293A"/>
    <w:rsid w:val="002D60F5"/>
    <w:rsid w:val="002E2142"/>
    <w:rsid w:val="002E2B5E"/>
    <w:rsid w:val="0030476A"/>
    <w:rsid w:val="0035248C"/>
    <w:rsid w:val="00360A10"/>
    <w:rsid w:val="00363222"/>
    <w:rsid w:val="00367213"/>
    <w:rsid w:val="00370465"/>
    <w:rsid w:val="00386B66"/>
    <w:rsid w:val="00387BE1"/>
    <w:rsid w:val="00393B01"/>
    <w:rsid w:val="003D416E"/>
    <w:rsid w:val="003E1335"/>
    <w:rsid w:val="003F49A8"/>
    <w:rsid w:val="00431EA2"/>
    <w:rsid w:val="004370D4"/>
    <w:rsid w:val="004543B0"/>
    <w:rsid w:val="00454479"/>
    <w:rsid w:val="00455189"/>
    <w:rsid w:val="00457DB4"/>
    <w:rsid w:val="004650DE"/>
    <w:rsid w:val="00470EBE"/>
    <w:rsid w:val="00477F45"/>
    <w:rsid w:val="0048616F"/>
    <w:rsid w:val="00487A3F"/>
    <w:rsid w:val="00494D5F"/>
    <w:rsid w:val="004A340E"/>
    <w:rsid w:val="004A4C4E"/>
    <w:rsid w:val="004B07B0"/>
    <w:rsid w:val="004B4037"/>
    <w:rsid w:val="004C787C"/>
    <w:rsid w:val="004D146C"/>
    <w:rsid w:val="00540A5D"/>
    <w:rsid w:val="00540B8F"/>
    <w:rsid w:val="00555424"/>
    <w:rsid w:val="005658C7"/>
    <w:rsid w:val="005753B0"/>
    <w:rsid w:val="00584596"/>
    <w:rsid w:val="0059748E"/>
    <w:rsid w:val="005B0089"/>
    <w:rsid w:val="005B2280"/>
    <w:rsid w:val="005B5ACA"/>
    <w:rsid w:val="005B68E7"/>
    <w:rsid w:val="005C1A7C"/>
    <w:rsid w:val="005D14D4"/>
    <w:rsid w:val="005F3347"/>
    <w:rsid w:val="005F416F"/>
    <w:rsid w:val="005F6C6D"/>
    <w:rsid w:val="005F784A"/>
    <w:rsid w:val="00614A9C"/>
    <w:rsid w:val="00616AF8"/>
    <w:rsid w:val="006176C2"/>
    <w:rsid w:val="00626EE3"/>
    <w:rsid w:val="00631601"/>
    <w:rsid w:val="00631824"/>
    <w:rsid w:val="006322C1"/>
    <w:rsid w:val="0066676F"/>
    <w:rsid w:val="00681882"/>
    <w:rsid w:val="006A0DFE"/>
    <w:rsid w:val="006A2AD0"/>
    <w:rsid w:val="006B24CD"/>
    <w:rsid w:val="006B35ED"/>
    <w:rsid w:val="006C0425"/>
    <w:rsid w:val="006C3B4E"/>
    <w:rsid w:val="006C4B00"/>
    <w:rsid w:val="00714C0D"/>
    <w:rsid w:val="00725419"/>
    <w:rsid w:val="00733712"/>
    <w:rsid w:val="007421E3"/>
    <w:rsid w:val="0074343F"/>
    <w:rsid w:val="00762CB9"/>
    <w:rsid w:val="007738F7"/>
    <w:rsid w:val="0077747E"/>
    <w:rsid w:val="0078195E"/>
    <w:rsid w:val="0079496C"/>
    <w:rsid w:val="007B09D7"/>
    <w:rsid w:val="007B74AD"/>
    <w:rsid w:val="007D77D1"/>
    <w:rsid w:val="007E5888"/>
    <w:rsid w:val="008072C8"/>
    <w:rsid w:val="00823CCF"/>
    <w:rsid w:val="00831EE7"/>
    <w:rsid w:val="00834146"/>
    <w:rsid w:val="00845185"/>
    <w:rsid w:val="008636E4"/>
    <w:rsid w:val="00864C7F"/>
    <w:rsid w:val="00886032"/>
    <w:rsid w:val="00891C01"/>
    <w:rsid w:val="0089351B"/>
    <w:rsid w:val="008A35AB"/>
    <w:rsid w:val="008D4E03"/>
    <w:rsid w:val="008F67CB"/>
    <w:rsid w:val="00904CC6"/>
    <w:rsid w:val="009066A7"/>
    <w:rsid w:val="00907283"/>
    <w:rsid w:val="00907F1C"/>
    <w:rsid w:val="00931975"/>
    <w:rsid w:val="00932C27"/>
    <w:rsid w:val="00935609"/>
    <w:rsid w:val="00937C98"/>
    <w:rsid w:val="00942415"/>
    <w:rsid w:val="00950E67"/>
    <w:rsid w:val="00973FB2"/>
    <w:rsid w:val="0097545E"/>
    <w:rsid w:val="00976253"/>
    <w:rsid w:val="00977510"/>
    <w:rsid w:val="00980036"/>
    <w:rsid w:val="009800EF"/>
    <w:rsid w:val="00991DCF"/>
    <w:rsid w:val="009938F2"/>
    <w:rsid w:val="009A5AE2"/>
    <w:rsid w:val="009B73B3"/>
    <w:rsid w:val="009C12D6"/>
    <w:rsid w:val="009D5E65"/>
    <w:rsid w:val="009F2BA1"/>
    <w:rsid w:val="00A0555C"/>
    <w:rsid w:val="00A07674"/>
    <w:rsid w:val="00A2021A"/>
    <w:rsid w:val="00A24666"/>
    <w:rsid w:val="00A301D7"/>
    <w:rsid w:val="00A314BF"/>
    <w:rsid w:val="00A363E2"/>
    <w:rsid w:val="00A41065"/>
    <w:rsid w:val="00A5108A"/>
    <w:rsid w:val="00A51FDC"/>
    <w:rsid w:val="00A56AB9"/>
    <w:rsid w:val="00A57FF1"/>
    <w:rsid w:val="00A70A35"/>
    <w:rsid w:val="00A73D65"/>
    <w:rsid w:val="00A9662E"/>
    <w:rsid w:val="00AA263D"/>
    <w:rsid w:val="00AB08FF"/>
    <w:rsid w:val="00AB125D"/>
    <w:rsid w:val="00AB54DA"/>
    <w:rsid w:val="00AF4651"/>
    <w:rsid w:val="00B04C22"/>
    <w:rsid w:val="00B13A1C"/>
    <w:rsid w:val="00B21938"/>
    <w:rsid w:val="00B24EEA"/>
    <w:rsid w:val="00B541BC"/>
    <w:rsid w:val="00B67AB0"/>
    <w:rsid w:val="00B71039"/>
    <w:rsid w:val="00B72D65"/>
    <w:rsid w:val="00B87C85"/>
    <w:rsid w:val="00BB21A6"/>
    <w:rsid w:val="00BB2DFF"/>
    <w:rsid w:val="00BC43BD"/>
    <w:rsid w:val="00BC51E0"/>
    <w:rsid w:val="00BF1ED9"/>
    <w:rsid w:val="00BF379D"/>
    <w:rsid w:val="00C02E98"/>
    <w:rsid w:val="00C1416F"/>
    <w:rsid w:val="00C163FF"/>
    <w:rsid w:val="00C20F53"/>
    <w:rsid w:val="00C23B9E"/>
    <w:rsid w:val="00C279A3"/>
    <w:rsid w:val="00C30849"/>
    <w:rsid w:val="00C37004"/>
    <w:rsid w:val="00C465FE"/>
    <w:rsid w:val="00C47167"/>
    <w:rsid w:val="00C62870"/>
    <w:rsid w:val="00C65F0F"/>
    <w:rsid w:val="00C67047"/>
    <w:rsid w:val="00C7386C"/>
    <w:rsid w:val="00C763A2"/>
    <w:rsid w:val="00C90CED"/>
    <w:rsid w:val="00C94B19"/>
    <w:rsid w:val="00CA62A8"/>
    <w:rsid w:val="00CB7D4F"/>
    <w:rsid w:val="00CD24D2"/>
    <w:rsid w:val="00CE35BE"/>
    <w:rsid w:val="00CE3E99"/>
    <w:rsid w:val="00CF23C2"/>
    <w:rsid w:val="00CF3975"/>
    <w:rsid w:val="00D1354D"/>
    <w:rsid w:val="00D2475B"/>
    <w:rsid w:val="00D24CD3"/>
    <w:rsid w:val="00D30C72"/>
    <w:rsid w:val="00D65533"/>
    <w:rsid w:val="00D66B77"/>
    <w:rsid w:val="00D84E05"/>
    <w:rsid w:val="00D863D5"/>
    <w:rsid w:val="00DB1116"/>
    <w:rsid w:val="00DB53A4"/>
    <w:rsid w:val="00DC18FA"/>
    <w:rsid w:val="00DD24CD"/>
    <w:rsid w:val="00DE3FEC"/>
    <w:rsid w:val="00DF2504"/>
    <w:rsid w:val="00E155A4"/>
    <w:rsid w:val="00E23781"/>
    <w:rsid w:val="00E31009"/>
    <w:rsid w:val="00E51F73"/>
    <w:rsid w:val="00E809E4"/>
    <w:rsid w:val="00E85B35"/>
    <w:rsid w:val="00E93867"/>
    <w:rsid w:val="00E96049"/>
    <w:rsid w:val="00EA04E0"/>
    <w:rsid w:val="00EA423B"/>
    <w:rsid w:val="00EA4C54"/>
    <w:rsid w:val="00EA6C9C"/>
    <w:rsid w:val="00EB407F"/>
    <w:rsid w:val="00EE053F"/>
    <w:rsid w:val="00F04CCE"/>
    <w:rsid w:val="00F24915"/>
    <w:rsid w:val="00F401F9"/>
    <w:rsid w:val="00F63A2B"/>
    <w:rsid w:val="00F745B2"/>
    <w:rsid w:val="00F91AC5"/>
    <w:rsid w:val="00F93856"/>
    <w:rsid w:val="00F945F2"/>
    <w:rsid w:val="00FA3FFD"/>
    <w:rsid w:val="00FC070E"/>
    <w:rsid w:val="00FC34D9"/>
    <w:rsid w:val="00FD1854"/>
    <w:rsid w:val="00FD50F9"/>
    <w:rsid w:val="00FD66C9"/>
    <w:rsid w:val="00FD754F"/>
    <w:rsid w:val="00FD75E1"/>
    <w:rsid w:val="00FE0002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aliases w:val="4 Párrafo de lista,Figuras,Dot pt,No Spacing1,List Paragraph Char Char Char,Indicator Text,List Paragraph1,Numbered Para 1,DH1"/>
    <w:basedOn w:val="Normal"/>
    <w:link w:val="PrrafodelistaCar"/>
    <w:uiPriority w:val="34"/>
    <w:qFormat/>
    <w:rsid w:val="005B68E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"/>
    <w:link w:val="Prrafodelista"/>
    <w:uiPriority w:val="34"/>
    <w:rsid w:val="005B68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174110688bd6ed21fa84c521699efbec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31665f5c323611689af4d9f38783f5b4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56A50-0EDE-4C78-8927-288D86788269}"/>
</file>

<file path=customXml/itemProps2.xml><?xml version="1.0" encoding="utf-8"?>
<ds:datastoreItem xmlns:ds="http://schemas.openxmlformats.org/officeDocument/2006/customXml" ds:itemID="{71223A10-7B99-4CE3-8186-595D0C107711}"/>
</file>

<file path=customXml/itemProps3.xml><?xml version="1.0" encoding="utf-8"?>
<ds:datastoreItem xmlns:ds="http://schemas.openxmlformats.org/officeDocument/2006/customXml" ds:itemID="{E0D85D37-6CAF-4580-90F8-A72C58118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501</Words>
  <Characters>3023</Characters>
  <Application>Microsoft Office Word</Application>
  <DocSecurity>0</DocSecurity>
  <Lines>70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Marie Claude Brunel Manse</cp:lastModifiedBy>
  <cp:revision>101</cp:revision>
  <dcterms:created xsi:type="dcterms:W3CDTF">2025-01-13T15:46:00Z</dcterms:created>
  <dcterms:modified xsi:type="dcterms:W3CDTF">2025-11-05T18:39:00Z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