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5D67" w14:textId="6A101BC2" w:rsidR="00D344EB" w:rsidRDefault="003E2FC4" w:rsidP="003E2FC4">
      <w:pPr>
        <w:pStyle w:val="Prrafodelista"/>
        <w:widowControl w:val="0"/>
        <w:numPr>
          <w:ilvl w:val="2"/>
          <w:numId w:val="22"/>
        </w:numPr>
        <w:autoSpaceDE w:val="0"/>
        <w:autoSpaceDN w:val="0"/>
        <w:adjustRightInd w:val="0"/>
        <w:spacing w:before="360" w:after="160"/>
        <w:ind w:right="284"/>
        <w:jc w:val="both"/>
        <w:rPr>
          <w:rFonts w:ascii="Noto Sans" w:hAnsi="Noto Sans" w:cs="Noto Sans"/>
          <w:b/>
        </w:rPr>
      </w:pPr>
      <w:r>
        <w:rPr>
          <w:rFonts w:ascii="Noto Sans" w:hAnsi="Noto Sans" w:cs="Noto Sans"/>
          <w:b/>
        </w:rPr>
        <w:t>Cumplimiento de los Compromisos del Gobierno</w:t>
      </w:r>
    </w:p>
    <w:p w14:paraId="4297B562" w14:textId="57BA6CB3" w:rsidR="00AB1270" w:rsidRPr="00AB1270" w:rsidRDefault="00AB1270" w:rsidP="00AD6C47">
      <w:pPr>
        <w:widowControl w:val="0"/>
        <w:autoSpaceDE w:val="0"/>
        <w:autoSpaceDN w:val="0"/>
        <w:adjustRightInd w:val="0"/>
        <w:spacing w:after="160" w:line="276" w:lineRule="auto"/>
        <w:ind w:right="284"/>
        <w:jc w:val="both"/>
        <w:rPr>
          <w:rFonts w:ascii="Noto Sans" w:hAnsi="Noto Sans" w:cs="Noto Sans"/>
          <w:bCs/>
          <w:sz w:val="22"/>
          <w:szCs w:val="22"/>
        </w:rPr>
      </w:pPr>
      <w:r w:rsidRPr="00AB1270">
        <w:rPr>
          <w:rFonts w:ascii="Noto Sans" w:hAnsi="Noto Sans" w:cs="Noto Sans"/>
          <w:bCs/>
          <w:sz w:val="22"/>
          <w:szCs w:val="22"/>
        </w:rPr>
        <w:t xml:space="preserve">Durante el primer semestre de 2025, </w:t>
      </w:r>
      <w:r w:rsidR="00AD6C47">
        <w:rPr>
          <w:rFonts w:ascii="Noto Sans" w:hAnsi="Noto Sans" w:cs="Noto Sans"/>
          <w:bCs/>
          <w:sz w:val="22"/>
          <w:szCs w:val="22"/>
        </w:rPr>
        <w:t>ECOSUR</w:t>
      </w:r>
      <w:r w:rsidRPr="00AB1270">
        <w:rPr>
          <w:rFonts w:ascii="Noto Sans" w:hAnsi="Noto Sans" w:cs="Noto Sans"/>
          <w:bCs/>
          <w:sz w:val="22"/>
          <w:szCs w:val="22"/>
        </w:rPr>
        <w:t xml:space="preserve"> ha consolidado una gestión académica y científica </w:t>
      </w:r>
      <w:r w:rsidR="00321BA1">
        <w:rPr>
          <w:rFonts w:ascii="Noto Sans" w:hAnsi="Noto Sans" w:cs="Noto Sans"/>
          <w:bCs/>
          <w:sz w:val="22"/>
          <w:szCs w:val="22"/>
        </w:rPr>
        <w:t>relacionada</w:t>
      </w:r>
      <w:r w:rsidRPr="00AB1270">
        <w:rPr>
          <w:rFonts w:ascii="Noto Sans" w:hAnsi="Noto Sans" w:cs="Noto Sans"/>
          <w:bCs/>
          <w:sz w:val="22"/>
          <w:szCs w:val="22"/>
        </w:rPr>
        <w:t xml:space="preserve"> con los compromisos del Gobierno de México para el segundo piso de la transformación. Las acciones </w:t>
      </w:r>
      <w:r w:rsidR="00B3393A">
        <w:rPr>
          <w:rFonts w:ascii="Noto Sans" w:hAnsi="Noto Sans" w:cs="Noto Sans"/>
          <w:bCs/>
          <w:sz w:val="22"/>
          <w:szCs w:val="22"/>
        </w:rPr>
        <w:t>realizadas</w:t>
      </w:r>
      <w:r w:rsidRPr="00AB1270">
        <w:rPr>
          <w:rFonts w:ascii="Noto Sans" w:hAnsi="Noto Sans" w:cs="Noto Sans"/>
          <w:bCs/>
          <w:sz w:val="22"/>
          <w:szCs w:val="22"/>
        </w:rPr>
        <w:t xml:space="preserve"> </w:t>
      </w:r>
      <w:r w:rsidR="00CC3C80">
        <w:rPr>
          <w:rFonts w:ascii="Noto Sans" w:hAnsi="Noto Sans" w:cs="Noto Sans"/>
          <w:bCs/>
          <w:sz w:val="22"/>
          <w:szCs w:val="22"/>
        </w:rPr>
        <w:t xml:space="preserve">reflejan esfuerzos de </w:t>
      </w:r>
      <w:r w:rsidRPr="00AB1270">
        <w:rPr>
          <w:rFonts w:ascii="Noto Sans" w:hAnsi="Noto Sans" w:cs="Noto Sans"/>
          <w:bCs/>
          <w:sz w:val="22"/>
          <w:szCs w:val="22"/>
        </w:rPr>
        <w:t>articulación</w:t>
      </w:r>
      <w:r w:rsidR="00CB3490">
        <w:rPr>
          <w:rFonts w:ascii="Noto Sans" w:hAnsi="Noto Sans" w:cs="Noto Sans"/>
          <w:bCs/>
          <w:sz w:val="22"/>
          <w:szCs w:val="22"/>
        </w:rPr>
        <w:t xml:space="preserve">, vinculación y colaboración para avanzar hacia el bienestar social y ambiental de la población de la Frontera Sur, </w:t>
      </w:r>
      <w:r w:rsidR="001E4166">
        <w:rPr>
          <w:rFonts w:ascii="Noto Sans" w:hAnsi="Noto Sans" w:cs="Noto Sans"/>
          <w:bCs/>
          <w:sz w:val="22"/>
          <w:szCs w:val="22"/>
        </w:rPr>
        <w:t>buscando cumplir con</w:t>
      </w:r>
      <w:r w:rsidRPr="00AB1270">
        <w:rPr>
          <w:rFonts w:ascii="Noto Sans" w:hAnsi="Noto Sans" w:cs="Noto Sans"/>
          <w:bCs/>
          <w:sz w:val="22"/>
          <w:szCs w:val="22"/>
        </w:rPr>
        <w:t xml:space="preserve"> justicia social, sostenibilidad ambiental e innovación pública, pilares del nuevo modelo de desarrollo nacional.</w:t>
      </w:r>
    </w:p>
    <w:p w14:paraId="5116439F" w14:textId="77777777"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Uno de los ejes más visibles de convergencia con los 100 compromisos federales es la República educadora, humanista y científica, que impulsa la expansión de la educación superior, la formación de nuevas generaciones de investigadores y la democratización del acceso al conocimiento. ECOSUR mantiene cinco programas de posgrado reconocidos en el Sistema Nacional de Posgrados, así como un doctorado interinstitucional en Agroecología desarrollado con otros centros públicos, que refleja la política de cooperación entre instituciones de educación e investigación. Con 452 estudiantes en total —de los cuales el 61.7% son mujeres—, la institución contribuye al compromiso gubernamental de ampliar los espacios en educación superior, promover la equidad y fortalecer la ciencia al servicio de la sociedad. Su programa de becas, las políticas de gratuidad y la articulación de tesis con actores regionales expresan el principio de educación como derecho y herramienta para el bienestar territorial.</w:t>
      </w:r>
    </w:p>
    <w:p w14:paraId="5E2D0E7D" w14:textId="0271691C"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 xml:space="preserve">En sintonía con la República rural justa y soberana, las líneas de investigación y los proyectos promueven la soberanía alimentaria, la agroecología y la producción sostenible. Los proyectos de sistemas </w:t>
      </w:r>
      <w:proofErr w:type="spellStart"/>
      <w:r w:rsidRPr="00AB1270">
        <w:rPr>
          <w:rFonts w:ascii="Noto Sans" w:hAnsi="Noto Sans" w:cs="Noto Sans"/>
          <w:bCs/>
          <w:sz w:val="22"/>
          <w:szCs w:val="22"/>
        </w:rPr>
        <w:t>socioecológicos</w:t>
      </w:r>
      <w:proofErr w:type="spellEnd"/>
      <w:r w:rsidRPr="00AB1270">
        <w:rPr>
          <w:rFonts w:ascii="Noto Sans" w:hAnsi="Noto Sans" w:cs="Noto Sans"/>
          <w:bCs/>
          <w:sz w:val="22"/>
          <w:szCs w:val="22"/>
        </w:rPr>
        <w:t xml:space="preserve"> cafetaleros, rescate de prácticas agroecológicas y fortalecimiento de capacidades locales responden a los compromisos de apoyo a pequeños productores, justicia rural y recuperación de la autosuficiencia alimentaria. Estas acciones aportan soluciones concretas a los territorios campesinos e indígenas del </w:t>
      </w:r>
      <w:proofErr w:type="gramStart"/>
      <w:r w:rsidRPr="00AB1270">
        <w:rPr>
          <w:rFonts w:ascii="Noto Sans" w:hAnsi="Noto Sans" w:cs="Noto Sans"/>
          <w:bCs/>
          <w:sz w:val="22"/>
          <w:szCs w:val="22"/>
        </w:rPr>
        <w:t>sur-sureste</w:t>
      </w:r>
      <w:proofErr w:type="gramEnd"/>
      <w:r w:rsidRPr="00AB1270">
        <w:rPr>
          <w:rFonts w:ascii="Noto Sans" w:hAnsi="Noto Sans" w:cs="Noto Sans"/>
          <w:bCs/>
          <w:sz w:val="22"/>
          <w:szCs w:val="22"/>
        </w:rPr>
        <w:t xml:space="preserve">, articulando saberes científicos y tradicionales. </w:t>
      </w:r>
    </w:p>
    <w:p w14:paraId="0191C88D" w14:textId="77777777"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 xml:space="preserve">Desde la perspectiva de la República que protege el medio ambiente y sus recursos naturales, ECOSUR se ha posicionado como referente nacional en la investigación de ecosistemas, conservación de la biodiversidad y mitigación del cambio climático. Los proyectos de monitoreo de humedales costeros, restauración de manglares, análisis del sargazo en el Caribe, así como los estudios sobre la calidad del agua y salud ambiental, </w:t>
      </w:r>
      <w:r w:rsidRPr="00AB1270">
        <w:rPr>
          <w:rFonts w:ascii="Noto Sans" w:hAnsi="Noto Sans" w:cs="Noto Sans"/>
          <w:bCs/>
          <w:sz w:val="22"/>
          <w:szCs w:val="22"/>
        </w:rPr>
        <w:lastRenderedPageBreak/>
        <w:t>contribuyen a los compromisos de reforestación, reciclaje, saneamiento de ríos y fortalecimiento de la economía circular. La visión multi, inter y transdisciplinaria de su trabajo refleja un compromiso con la sostenibilidad, en consonancia con el eje de desarrollo sustentable planteado en el Plan Nacional de Desarrollo 2025–2030.</w:t>
      </w:r>
    </w:p>
    <w:p w14:paraId="50C7755B" w14:textId="77777777"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La República sana encuentra también correspondencia en el enfoque de ECOSUR hacia la salud comunitaria y ambiental. Proyectos sobre enfermedades transmitidas por vectores, nutrición y salud mental promueven el paradigma de “Una sola salud”, integrando el bienestar humano, animal y ambiental. Estas investigaciones, junto con acciones de educación continua y talleres en comunidades rurales, fortalecen la prevención y el acceso equitativo a información científica, alineándose con la política nacional de cuidados y promoción de la salud en espacios educativos y sociales.</w:t>
      </w:r>
    </w:p>
    <w:p w14:paraId="0EEDFD61" w14:textId="66BA98D9"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 xml:space="preserve">Otro eje transversal del nuevo Plan Nacional de Desarrollo, la innovación pública para el desarrollo tecnológico </w:t>
      </w:r>
      <w:r w:rsidR="00F51491" w:rsidRPr="00AB1270">
        <w:rPr>
          <w:rFonts w:ascii="Noto Sans" w:hAnsi="Noto Sans" w:cs="Noto Sans"/>
          <w:bCs/>
          <w:sz w:val="22"/>
          <w:szCs w:val="22"/>
        </w:rPr>
        <w:t>nacional</w:t>
      </w:r>
      <w:r w:rsidRPr="00AB1270">
        <w:rPr>
          <w:rFonts w:ascii="Noto Sans" w:hAnsi="Noto Sans" w:cs="Noto Sans"/>
          <w:bCs/>
          <w:sz w:val="22"/>
          <w:szCs w:val="22"/>
        </w:rPr>
        <w:t xml:space="preserve"> se manifiesta en iniciativas</w:t>
      </w:r>
      <w:r w:rsidR="003F177F">
        <w:rPr>
          <w:rFonts w:ascii="Noto Sans" w:hAnsi="Noto Sans" w:cs="Noto Sans"/>
          <w:bCs/>
          <w:sz w:val="22"/>
          <w:szCs w:val="22"/>
        </w:rPr>
        <w:t>, aunque incipientes, de</w:t>
      </w:r>
      <w:r w:rsidRPr="00AB1270">
        <w:rPr>
          <w:rFonts w:ascii="Noto Sans" w:hAnsi="Noto Sans" w:cs="Noto Sans"/>
          <w:bCs/>
          <w:sz w:val="22"/>
          <w:szCs w:val="22"/>
        </w:rPr>
        <w:t xml:space="preserve"> transferencia tecnológica</w:t>
      </w:r>
      <w:r w:rsidR="003F177F">
        <w:rPr>
          <w:rFonts w:ascii="Noto Sans" w:hAnsi="Noto Sans" w:cs="Noto Sans"/>
          <w:bCs/>
          <w:sz w:val="22"/>
          <w:szCs w:val="22"/>
        </w:rPr>
        <w:t xml:space="preserve"> con</w:t>
      </w:r>
      <w:r w:rsidRPr="00AB1270">
        <w:rPr>
          <w:rFonts w:ascii="Noto Sans" w:hAnsi="Noto Sans" w:cs="Noto Sans"/>
          <w:bCs/>
          <w:sz w:val="22"/>
          <w:szCs w:val="22"/>
        </w:rPr>
        <w:t xml:space="preserve"> el registro de modelos de utilidad</w:t>
      </w:r>
      <w:r w:rsidR="003F177F">
        <w:rPr>
          <w:rFonts w:ascii="Noto Sans" w:hAnsi="Noto Sans" w:cs="Noto Sans"/>
          <w:bCs/>
          <w:sz w:val="22"/>
          <w:szCs w:val="22"/>
        </w:rPr>
        <w:t>, l</w:t>
      </w:r>
      <w:r w:rsidR="003F177F" w:rsidRPr="00AB1270">
        <w:rPr>
          <w:rFonts w:ascii="Noto Sans" w:hAnsi="Noto Sans" w:cs="Noto Sans"/>
          <w:bCs/>
          <w:sz w:val="22"/>
          <w:szCs w:val="22"/>
        </w:rPr>
        <w:t xml:space="preserve">a creación de una secadora de cacao, un </w:t>
      </w:r>
      <w:proofErr w:type="spellStart"/>
      <w:r w:rsidR="003F177F" w:rsidRPr="00AB1270">
        <w:rPr>
          <w:rFonts w:ascii="Noto Sans" w:hAnsi="Noto Sans" w:cs="Noto Sans"/>
          <w:bCs/>
          <w:sz w:val="22"/>
          <w:szCs w:val="22"/>
        </w:rPr>
        <w:t>gasificador</w:t>
      </w:r>
      <w:proofErr w:type="spellEnd"/>
      <w:r w:rsidR="003F177F" w:rsidRPr="00AB1270">
        <w:rPr>
          <w:rFonts w:ascii="Noto Sans" w:hAnsi="Noto Sans" w:cs="Noto Sans"/>
          <w:bCs/>
          <w:sz w:val="22"/>
          <w:szCs w:val="22"/>
        </w:rPr>
        <w:t xml:space="preserve"> para carbón vegetal y un módulo multisensorial para monitoreo lagunar </w:t>
      </w:r>
      <w:r w:rsidRPr="00AB1270">
        <w:rPr>
          <w:rFonts w:ascii="Noto Sans" w:hAnsi="Noto Sans" w:cs="Noto Sans"/>
          <w:bCs/>
          <w:sz w:val="22"/>
          <w:szCs w:val="22"/>
        </w:rPr>
        <w:t>demuestran cómo la ciencia pública puede traducirse en innovaciones útiles, sostenibles y apropiadas al contexto regional. Estas acciones cumplen con el compromiso gubernamental de impulsar la ciencia aplicada y las energías renovables como motores del bienestar colectivo.</w:t>
      </w:r>
    </w:p>
    <w:p w14:paraId="5B1E1E98" w14:textId="77777777" w:rsidR="00AB1270" w:rsidRPr="00AB1270" w:rsidRDefault="00AB1270" w:rsidP="00AD6C47">
      <w:pPr>
        <w:widowControl w:val="0"/>
        <w:autoSpaceDE w:val="0"/>
        <w:autoSpaceDN w:val="0"/>
        <w:adjustRightInd w:val="0"/>
        <w:spacing w:before="360" w:after="160" w:line="276" w:lineRule="auto"/>
        <w:ind w:right="284"/>
        <w:jc w:val="both"/>
        <w:rPr>
          <w:rFonts w:ascii="Noto Sans" w:hAnsi="Noto Sans" w:cs="Noto Sans"/>
          <w:bCs/>
          <w:sz w:val="22"/>
          <w:szCs w:val="22"/>
        </w:rPr>
      </w:pPr>
      <w:r w:rsidRPr="00AB1270">
        <w:rPr>
          <w:rFonts w:ascii="Noto Sans" w:hAnsi="Noto Sans" w:cs="Noto Sans"/>
          <w:bCs/>
          <w:sz w:val="22"/>
          <w:szCs w:val="22"/>
        </w:rPr>
        <w:t xml:space="preserve">Finalmente, la República cultural y lectora tiene eco en la labor de apropiación social del conocimiento que ECOSUR ha fortalecido en 2025. La amplia oferta de educación continua, la edición de revistas como </w:t>
      </w:r>
      <w:proofErr w:type="spellStart"/>
      <w:r w:rsidRPr="00AB1270">
        <w:rPr>
          <w:rFonts w:ascii="Noto Sans" w:hAnsi="Noto Sans" w:cs="Noto Sans"/>
          <w:bCs/>
          <w:sz w:val="22"/>
          <w:szCs w:val="22"/>
        </w:rPr>
        <w:t>Ecofronteras</w:t>
      </w:r>
      <w:proofErr w:type="spellEnd"/>
      <w:r w:rsidRPr="00AB1270">
        <w:rPr>
          <w:rFonts w:ascii="Noto Sans" w:hAnsi="Noto Sans" w:cs="Noto Sans"/>
          <w:bCs/>
          <w:sz w:val="22"/>
          <w:szCs w:val="22"/>
        </w:rPr>
        <w:t xml:space="preserve"> y Sociedad y Ambiente, el programa de divulgación Voces de la Ciencia desde el Sur Mexicano y la inclusión lingüística mediante traducciones al </w:t>
      </w:r>
      <w:proofErr w:type="spellStart"/>
      <w:r w:rsidRPr="002A1D95">
        <w:rPr>
          <w:rFonts w:ascii="Noto Sans" w:hAnsi="Noto Sans" w:cs="Noto Sans"/>
          <w:bCs/>
          <w:i/>
          <w:iCs/>
          <w:sz w:val="22"/>
          <w:szCs w:val="22"/>
        </w:rPr>
        <w:t>tsotsil</w:t>
      </w:r>
      <w:proofErr w:type="spellEnd"/>
      <w:r w:rsidRPr="00AB1270">
        <w:rPr>
          <w:rFonts w:ascii="Noto Sans" w:hAnsi="Noto Sans" w:cs="Noto Sans"/>
          <w:bCs/>
          <w:sz w:val="22"/>
          <w:szCs w:val="22"/>
        </w:rPr>
        <w:t xml:space="preserve"> y maya yucateco, dan cuenta de una política científica incluyente, culturalmente pertinente y comprometida con la diversidad. Estos esfuerzos contribuyen a la construcción de una ciudadanía científica informada y participativa, en coherencia con los principios de igualdad, justicia y derechos culturales promovidos por el Gobierno de México.</w:t>
      </w:r>
    </w:p>
    <w:p w14:paraId="317A75C1" w14:textId="77777777" w:rsidR="00FE5496" w:rsidRDefault="00FE5496" w:rsidP="00AF5BDE">
      <w:pPr>
        <w:rPr>
          <w:rFonts w:ascii="Noto Sans" w:hAnsi="Noto Sans" w:cs="Noto Sans"/>
          <w:noProof/>
          <w:sz w:val="20"/>
          <w:szCs w:val="20"/>
        </w:rPr>
      </w:pPr>
    </w:p>
    <w:p w14:paraId="13C5C2A4" w14:textId="77777777" w:rsidR="00CF0C6E" w:rsidRDefault="00CF0C6E" w:rsidP="00161CA2">
      <w:pPr>
        <w:jc w:val="both"/>
        <w:rPr>
          <w:rFonts w:ascii="Noto Sans" w:hAnsi="Noto Sans" w:cs="Noto Sans"/>
          <w:lang w:val="es-ES_tradnl"/>
        </w:rPr>
      </w:pPr>
    </w:p>
    <w:p w14:paraId="7D23611C" w14:textId="44AA4644" w:rsidR="00CF0C6E" w:rsidRDefault="00CF0C6E" w:rsidP="00161CA2">
      <w:pPr>
        <w:jc w:val="both"/>
        <w:rPr>
          <w:rFonts w:ascii="Noto Sans" w:eastAsia="Arial" w:hAnsi="Noto Sans" w:cs="Noto Sans"/>
          <w:kern w:val="2"/>
          <w:sz w:val="20"/>
          <w:szCs w:val="20"/>
          <w:lang w:val="es-MX"/>
          <w14:ligatures w14:val="standardContextual"/>
        </w:rPr>
      </w:pPr>
    </w:p>
    <w:p w14:paraId="19C051AE" w14:textId="77777777" w:rsidR="004B31B2" w:rsidRDefault="004B31B2" w:rsidP="00161CA2">
      <w:pPr>
        <w:jc w:val="both"/>
        <w:rPr>
          <w:rFonts w:ascii="Noto Sans" w:hAnsi="Noto Sans" w:cs="Noto Sans"/>
          <w:sz w:val="20"/>
          <w:szCs w:val="20"/>
          <w:lang w:val="es-ES_tradnl"/>
        </w:rPr>
      </w:pPr>
    </w:p>
    <w:sectPr w:rsidR="004B31B2" w:rsidSect="00CF4044">
      <w:headerReference w:type="even" r:id="rId8"/>
      <w:headerReference w:type="default" r:id="rId9"/>
      <w:footerReference w:type="even" r:id="rId10"/>
      <w:footerReference w:type="default" r:id="rId11"/>
      <w:pgSz w:w="12240" w:h="15840"/>
      <w:pgMar w:top="1843" w:right="1467" w:bottom="170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BBB9" w14:textId="77777777" w:rsidR="00FE585D" w:rsidRDefault="00FE585D" w:rsidP="00A73D65">
      <w:r>
        <w:separator/>
      </w:r>
    </w:p>
  </w:endnote>
  <w:endnote w:type="continuationSeparator" w:id="0">
    <w:p w14:paraId="65B098C0" w14:textId="77777777" w:rsidR="00FE585D" w:rsidRDefault="00FE58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68BFEB3B" w:rsidR="00FD1854" w:rsidRDefault="00B942FB">
    <w:pPr>
      <w:pStyle w:val="Piedepgina"/>
    </w:pPr>
    <w:r>
      <w:rPr>
        <w:noProof/>
      </w:rPr>
      <mc:AlternateContent>
        <mc:Choice Requires="wps">
          <w:drawing>
            <wp:anchor distT="0" distB="0" distL="114300" distR="114300" simplePos="0" relativeHeight="251671552" behindDoc="0" locked="0" layoutInCell="1" allowOverlap="1" wp14:anchorId="25B0263B" wp14:editId="6C664615">
              <wp:simplePos x="0" y="0"/>
              <wp:positionH relativeFrom="column">
                <wp:posOffset>1464945</wp:posOffset>
              </wp:positionH>
              <wp:positionV relativeFrom="paragraph">
                <wp:posOffset>-359410</wp:posOffset>
              </wp:positionV>
              <wp:extent cx="5075339" cy="213432"/>
              <wp:effectExtent l="0" t="0" r="0" b="0"/>
              <wp:wrapNone/>
              <wp:docPr id="517312833"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0263B" id="_x0000_t202" coordsize="21600,21600" o:spt="202" path="m,l,21600r21600,l21600,xe">
              <v:stroke joinstyle="miter"/>
              <v:path gradientshapeok="t" o:connecttype="rect"/>
            </v:shapetype>
            <v:shape id="Cuadro de texto 3" o:spid="_x0000_s1026" type="#_x0000_t202" style="position:absolute;margin-left:115.35pt;margin-top:-28.3pt;width:399.6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l8Fw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" filled="f" stroked="f" strokeweight=".5pt">
              <v:textbox>
                <w:txbxContent>
                  <w:p w14:paraId="6CB10BEC" w14:textId="77777777" w:rsidR="00B942FB" w:rsidRPr="004D4BF4" w:rsidRDefault="00B942FB" w:rsidP="00B942FB">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 xml:space="preserve">Av. Insurgentes Sur 1582, Col. Crédito Constructor, </w:t>
                    </w:r>
                    <w:r>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 53227700   www.secihti.mx</w:t>
                    </w:r>
                  </w:p>
                  <w:p w14:paraId="5F234FF9" w14:textId="77777777" w:rsidR="00B942FB" w:rsidRPr="004D4BF4" w:rsidRDefault="00B942FB" w:rsidP="00B942FB">
                    <w:pPr>
                      <w:jc w:val="both"/>
                      <w:rPr>
                        <w:rFonts w:ascii="Noto Sans Medium" w:hAnsi="Noto Sans Medium" w:cs="Noto Sans Medium"/>
                        <w:color w:val="4D182A"/>
                        <w:sz w:val="13"/>
                        <w:szCs w:val="13"/>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43A9" w14:textId="51BCB32B" w:rsidR="00A63D3E" w:rsidRDefault="00A63D3E">
    <w:pPr>
      <w:pStyle w:val="Piedepgina"/>
    </w:pPr>
    <w:r>
      <w:rPr>
        <w:noProof/>
      </w:rPr>
      <mc:AlternateContent>
        <mc:Choice Requires="wps">
          <w:drawing>
            <wp:anchor distT="0" distB="0" distL="114300" distR="114300" simplePos="0" relativeHeight="251667456" behindDoc="0" locked="0" layoutInCell="1" allowOverlap="1" wp14:anchorId="3D477591" wp14:editId="75F1A93E">
              <wp:simplePos x="0" y="0"/>
              <wp:positionH relativeFrom="column">
                <wp:posOffset>1513840</wp:posOffset>
              </wp:positionH>
              <wp:positionV relativeFrom="paragraph">
                <wp:posOffset>-344805</wp:posOffset>
              </wp:positionV>
              <wp:extent cx="5075339" cy="21343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075339" cy="213432"/>
                      </a:xfrm>
                      <a:prstGeom prst="rect">
                        <a:avLst/>
                      </a:prstGeom>
                      <a:noFill/>
                      <a:ln w="6350">
                        <a:noFill/>
                      </a:ln>
                    </wps:spPr>
                    <wps:txb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19.2pt;margin-top:-27.15pt;width:399.6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rLGQ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" filled="f" stroked="f" strokeweight=".5pt">
              <v:textbox>
                <w:txbxContent>
                  <w:p w14:paraId="06881E69" w14:textId="7E6AA185" w:rsidR="00A63D3E" w:rsidRPr="004D4BF4" w:rsidRDefault="00A63D3E" w:rsidP="004D4BF4">
                    <w:pPr>
                      <w:jc w:val="both"/>
                      <w:rPr>
                        <w:rFonts w:ascii="Noto Sans Medium" w:hAnsi="Noto Sans Medium" w:cs="Noto Sans Medium"/>
                        <w:color w:val="4D182A"/>
                        <w:sz w:val="13"/>
                        <w:szCs w:val="13"/>
                      </w:rPr>
                    </w:pPr>
                    <w:r w:rsidRPr="004D4BF4">
                      <w:rPr>
                        <w:rFonts w:ascii="Noto Sans Medium" w:hAnsi="Noto Sans Medium" w:cs="Noto Sans Medium"/>
                        <w:color w:val="4D182A"/>
                        <w:sz w:val="13"/>
                        <w:szCs w:val="13"/>
                      </w:rPr>
                      <w:t>Av. Insurgentes Sur</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1582, Col. Crédito Constructor,</w:t>
                    </w:r>
                    <w:r w:rsidR="004D4BF4" w:rsidRPr="004D4BF4">
                      <w:rPr>
                        <w:rFonts w:ascii="Noto Sans Medium" w:hAnsi="Noto Sans Medium" w:cs="Noto Sans Medium"/>
                        <w:color w:val="4D182A"/>
                        <w:sz w:val="13"/>
                        <w:szCs w:val="13"/>
                      </w:rPr>
                      <w:t xml:space="preserve"> </w:t>
                    </w:r>
                    <w:r w:rsidR="00B70207">
                      <w:rPr>
                        <w:rFonts w:ascii="Noto Sans Medium" w:hAnsi="Noto Sans Medium" w:cs="Noto Sans Medium"/>
                        <w:color w:val="4D182A"/>
                        <w:sz w:val="13"/>
                        <w:szCs w:val="13"/>
                      </w:rPr>
                      <w:t xml:space="preserve">C.P. </w:t>
                    </w:r>
                    <w:r w:rsidRPr="004D4BF4">
                      <w:rPr>
                        <w:rFonts w:ascii="Noto Sans Medium" w:hAnsi="Noto Sans Medium" w:cs="Noto Sans Medium"/>
                        <w:color w:val="4D182A"/>
                        <w:sz w:val="13"/>
                        <w:szCs w:val="13"/>
                      </w:rPr>
                      <w:t>03940, Benito Juárez, Ciudad de México. 55</w:t>
                    </w:r>
                    <w:r w:rsidR="004D4BF4" w:rsidRPr="004D4BF4">
                      <w:rPr>
                        <w:rFonts w:ascii="Noto Sans Medium" w:hAnsi="Noto Sans Medium" w:cs="Noto Sans Medium"/>
                        <w:color w:val="4D182A"/>
                        <w:sz w:val="13"/>
                        <w:szCs w:val="13"/>
                      </w:rPr>
                      <w:t xml:space="preserve"> </w:t>
                    </w:r>
                    <w:r w:rsidRPr="004D4BF4">
                      <w:rPr>
                        <w:rFonts w:ascii="Noto Sans Medium" w:hAnsi="Noto Sans Medium" w:cs="Noto Sans Medium"/>
                        <w:color w:val="4D182A"/>
                        <w:sz w:val="13"/>
                        <w:szCs w:val="13"/>
                      </w:rPr>
                      <w:t>53227700   www.secihti.mx</w:t>
                    </w:r>
                  </w:p>
                  <w:p w14:paraId="2F0351E0" w14:textId="77777777" w:rsidR="00A63D3E" w:rsidRPr="004D4BF4" w:rsidRDefault="00A63D3E" w:rsidP="004D4BF4">
                    <w:pPr>
                      <w:jc w:val="both"/>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535E" w14:textId="77777777" w:rsidR="00FE585D" w:rsidRDefault="00FE585D" w:rsidP="00A73D65">
      <w:r>
        <w:separator/>
      </w:r>
    </w:p>
  </w:footnote>
  <w:footnote w:type="continuationSeparator" w:id="0">
    <w:p w14:paraId="54C8094D" w14:textId="77777777" w:rsidR="00FE585D" w:rsidRDefault="00FE58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47A349EC" w:rsidR="003F49A8" w:rsidRDefault="009C602F">
    <w:pPr>
      <w:pStyle w:val="Encabezado"/>
    </w:pPr>
    <w:r>
      <w:rPr>
        <w:noProof/>
      </w:rPr>
      <w:drawing>
        <wp:anchor distT="0" distB="0" distL="114300" distR="114300" simplePos="0" relativeHeight="251669504" behindDoc="1" locked="0" layoutInCell="1" allowOverlap="1" wp14:anchorId="5E57AAD0" wp14:editId="35E189BD">
          <wp:simplePos x="0" y="0"/>
          <wp:positionH relativeFrom="margin">
            <wp:align>center</wp:align>
          </wp:positionH>
          <wp:positionV relativeFrom="paragraph">
            <wp:posOffset>-696595</wp:posOffset>
          </wp:positionV>
          <wp:extent cx="7799705" cy="1042035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1" cy="104207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1549AE95" w:rsidR="00A73D65" w:rsidRPr="00B67AB0" w:rsidRDefault="00384ECA" w:rsidP="00B67AB0">
    <w:pPr>
      <w:pStyle w:val="Encabezado"/>
    </w:pPr>
    <w:r>
      <w:rPr>
        <w:noProof/>
      </w:rPr>
      <w:drawing>
        <wp:anchor distT="0" distB="0" distL="114300" distR="114300" simplePos="0" relativeHeight="251672576" behindDoc="0" locked="0" layoutInCell="1" allowOverlap="1" wp14:anchorId="06B7837F" wp14:editId="6C5EB816">
          <wp:simplePos x="0" y="0"/>
          <wp:positionH relativeFrom="column">
            <wp:posOffset>3681812</wp:posOffset>
          </wp:positionH>
          <wp:positionV relativeFrom="paragraph">
            <wp:posOffset>-68194</wp:posOffset>
          </wp:positionV>
          <wp:extent cx="444672" cy="544065"/>
          <wp:effectExtent l="0" t="0" r="0" b="8890"/>
          <wp:wrapNone/>
          <wp:docPr id="2751736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672" cy="544065"/>
                  </a:xfrm>
                  <a:prstGeom prst="rect">
                    <a:avLst/>
                  </a:prstGeom>
                  <a:noFill/>
                </pic:spPr>
              </pic:pic>
            </a:graphicData>
          </a:graphic>
          <wp14:sizeRelH relativeFrom="page">
            <wp14:pctWidth>0</wp14:pctWidth>
          </wp14:sizeRelH>
          <wp14:sizeRelV relativeFrom="page">
            <wp14:pctHeight>0</wp14:pctHeight>
          </wp14:sizeRelV>
        </wp:anchor>
      </w:drawing>
    </w:r>
    <w:r w:rsidR="00B67AB0">
      <w:rPr>
        <w:noProof/>
      </w:rPr>
      <w:drawing>
        <wp:anchor distT="0" distB="0" distL="114300" distR="114300" simplePos="0" relativeHeight="251665408" behindDoc="1" locked="0" layoutInCell="1" allowOverlap="1" wp14:anchorId="747A1638" wp14:editId="0A2F5A97">
          <wp:simplePos x="0" y="0"/>
          <wp:positionH relativeFrom="page">
            <wp:align>right</wp:align>
          </wp:positionH>
          <wp:positionV relativeFrom="paragraph">
            <wp:posOffset>-751840</wp:posOffset>
          </wp:positionV>
          <wp:extent cx="7799705" cy="105156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2">
                    <a:extLst>
                      <a:ext uri="{28A0092B-C50C-407E-A947-70E740481C1C}">
                        <a14:useLocalDpi xmlns:a14="http://schemas.microsoft.com/office/drawing/2010/main" val="0"/>
                      </a:ext>
                    </a:extLst>
                  </a:blip>
                  <a:stretch>
                    <a:fillRect/>
                  </a:stretch>
                </pic:blipFill>
                <pic:spPr>
                  <a:xfrm>
                    <a:off x="0" y="0"/>
                    <a:ext cx="7799705" cy="1051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C6"/>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15:restartNumberingAfterBreak="0">
    <w:nsid w:val="07156476"/>
    <w:multiLevelType w:val="hybridMultilevel"/>
    <w:tmpl w:val="28BE542E"/>
    <w:lvl w:ilvl="0" w:tplc="9B1E462C">
      <w:start w:val="1"/>
      <w:numFmt w:val="bullet"/>
      <w:lvlText w:val=""/>
      <w:lvlJc w:val="left"/>
      <w:pPr>
        <w:ind w:left="1077" w:hanging="360"/>
      </w:pPr>
      <w:rPr>
        <w:rFonts w:ascii="Wingdings" w:hAnsi="Wingdings" w:hint="default"/>
        <w:color w:val="003B60"/>
      </w:rPr>
    </w:lvl>
    <w:lvl w:ilvl="1" w:tplc="DF5EA07E">
      <w:start w:val="1"/>
      <w:numFmt w:val="bullet"/>
      <w:lvlText w:val="¢"/>
      <w:lvlJc w:val="left"/>
      <w:pPr>
        <w:ind w:left="1797" w:hanging="360"/>
      </w:pPr>
      <w:rPr>
        <w:rFonts w:ascii="Wingdings" w:hAnsi="Wingdings" w:hint="default"/>
        <w:color w:val="404040" w:themeColor="text1" w:themeTint="BF"/>
        <w:sz w:val="18"/>
        <w:szCs w:val="18"/>
      </w:rPr>
    </w:lvl>
    <w:lvl w:ilvl="2" w:tplc="080A0005">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 w15:restartNumberingAfterBreak="0">
    <w:nsid w:val="0E5E5EF2"/>
    <w:multiLevelType w:val="hybridMultilevel"/>
    <w:tmpl w:val="637E330E"/>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9E7E87"/>
    <w:multiLevelType w:val="multilevel"/>
    <w:tmpl w:val="39B89D7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48D2A50"/>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1CCB579F"/>
    <w:multiLevelType w:val="multilevel"/>
    <w:tmpl w:val="6712AC14"/>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C33786"/>
    <w:multiLevelType w:val="multilevel"/>
    <w:tmpl w:val="A24E36E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F001CC"/>
    <w:multiLevelType w:val="multilevel"/>
    <w:tmpl w:val="5BC0560C"/>
    <w:lvl w:ilvl="0">
      <w:start w:val="5"/>
      <w:numFmt w:val="decimal"/>
      <w:lvlText w:val="%1"/>
      <w:lvlJc w:val="left"/>
      <w:pPr>
        <w:ind w:left="360" w:hanging="360"/>
      </w:pPr>
      <w:rPr>
        <w:rFonts w:hint="default"/>
      </w:rPr>
    </w:lvl>
    <w:lvl w:ilvl="1">
      <w:start w:val="5"/>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290A1D6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BB85C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BD418D1"/>
    <w:multiLevelType w:val="multilevel"/>
    <w:tmpl w:val="7464B802"/>
    <w:lvl w:ilvl="0">
      <w:start w:val="5"/>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B9D3DB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E186C0A"/>
    <w:multiLevelType w:val="multilevel"/>
    <w:tmpl w:val="18BAE998"/>
    <w:lvl w:ilvl="0">
      <w:start w:val="5"/>
      <w:numFmt w:val="decimal"/>
      <w:lvlText w:val="%1"/>
      <w:lvlJc w:val="left"/>
      <w:pPr>
        <w:ind w:left="480" w:hanging="480"/>
      </w:pPr>
      <w:rPr>
        <w:rFonts w:hint="default"/>
      </w:rPr>
    </w:lvl>
    <w:lvl w:ilvl="1">
      <w:start w:val="5"/>
      <w:numFmt w:val="decimal"/>
      <w:lvlText w:val="%1.%2"/>
      <w:lvlJc w:val="left"/>
      <w:pPr>
        <w:ind w:left="1266" w:hanging="480"/>
      </w:pPr>
      <w:rPr>
        <w:rFonts w:hint="default"/>
      </w:rPr>
    </w:lvl>
    <w:lvl w:ilvl="2">
      <w:start w:val="5"/>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48D54853"/>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495873FE"/>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5" w15:restartNumberingAfterBreak="0">
    <w:nsid w:val="4AEC7D9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4F065DC4"/>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56E311BC"/>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69F77B21"/>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6D005AE4"/>
    <w:multiLevelType w:val="hybridMultilevel"/>
    <w:tmpl w:val="C6903132"/>
    <w:lvl w:ilvl="0" w:tplc="B1964F90">
      <w:start w:val="4"/>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0" w15:restartNumberingAfterBreak="0">
    <w:nsid w:val="763B0C8F"/>
    <w:multiLevelType w:val="hybridMultilevel"/>
    <w:tmpl w:val="484E68F8"/>
    <w:lvl w:ilvl="0" w:tplc="080A0017">
      <w:start w:val="1"/>
      <w:numFmt w:val="lowerLetter"/>
      <w:lvlText w:val="%1)"/>
      <w:lvlJc w:val="left"/>
      <w:pPr>
        <w:ind w:left="1854" w:hanging="360"/>
      </w:pPr>
      <w:rPr>
        <w:rFont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7E100256"/>
    <w:multiLevelType w:val="hybridMultilevel"/>
    <w:tmpl w:val="0DA0196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5009959">
    <w:abstractNumId w:val="14"/>
  </w:num>
  <w:num w:numId="2" w16cid:durableId="1215774906">
    <w:abstractNumId w:val="20"/>
  </w:num>
  <w:num w:numId="3" w16cid:durableId="482241137">
    <w:abstractNumId w:val="13"/>
  </w:num>
  <w:num w:numId="4" w16cid:durableId="2249468">
    <w:abstractNumId w:val="11"/>
  </w:num>
  <w:num w:numId="5" w16cid:durableId="742069330">
    <w:abstractNumId w:val="17"/>
  </w:num>
  <w:num w:numId="6" w16cid:durableId="1468281550">
    <w:abstractNumId w:val="9"/>
  </w:num>
  <w:num w:numId="7" w16cid:durableId="858010479">
    <w:abstractNumId w:val="18"/>
  </w:num>
  <w:num w:numId="8" w16cid:durableId="1615751285">
    <w:abstractNumId w:val="16"/>
  </w:num>
  <w:num w:numId="9" w16cid:durableId="1908878356">
    <w:abstractNumId w:val="4"/>
  </w:num>
  <w:num w:numId="10" w16cid:durableId="1853374935">
    <w:abstractNumId w:val="15"/>
  </w:num>
  <w:num w:numId="11" w16cid:durableId="2032339576">
    <w:abstractNumId w:val="8"/>
  </w:num>
  <w:num w:numId="12" w16cid:durableId="996687618">
    <w:abstractNumId w:val="0"/>
  </w:num>
  <w:num w:numId="13" w16cid:durableId="552425018">
    <w:abstractNumId w:val="1"/>
  </w:num>
  <w:num w:numId="14" w16cid:durableId="802889789">
    <w:abstractNumId w:val="3"/>
  </w:num>
  <w:num w:numId="15" w16cid:durableId="1996251815">
    <w:abstractNumId w:val="7"/>
  </w:num>
  <w:num w:numId="16" w16cid:durableId="2141344099">
    <w:abstractNumId w:val="12"/>
  </w:num>
  <w:num w:numId="17" w16cid:durableId="1071387023">
    <w:abstractNumId w:val="19"/>
  </w:num>
  <w:num w:numId="18" w16cid:durableId="1991442454">
    <w:abstractNumId w:val="21"/>
  </w:num>
  <w:num w:numId="19" w16cid:durableId="789973960">
    <w:abstractNumId w:val="2"/>
  </w:num>
  <w:num w:numId="20" w16cid:durableId="1798141388">
    <w:abstractNumId w:val="6"/>
  </w:num>
  <w:num w:numId="21" w16cid:durableId="1981686766">
    <w:abstractNumId w:val="5"/>
  </w:num>
  <w:num w:numId="22" w16cid:durableId="16057211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12F"/>
    <w:rsid w:val="000016F7"/>
    <w:rsid w:val="00007765"/>
    <w:rsid w:val="00007C78"/>
    <w:rsid w:val="00012A2F"/>
    <w:rsid w:val="00013E2F"/>
    <w:rsid w:val="000205E7"/>
    <w:rsid w:val="00023AA0"/>
    <w:rsid w:val="0003039A"/>
    <w:rsid w:val="00033C74"/>
    <w:rsid w:val="00034101"/>
    <w:rsid w:val="00034412"/>
    <w:rsid w:val="00035177"/>
    <w:rsid w:val="00035BF6"/>
    <w:rsid w:val="0003602C"/>
    <w:rsid w:val="00041353"/>
    <w:rsid w:val="000423BE"/>
    <w:rsid w:val="00042C72"/>
    <w:rsid w:val="000469A8"/>
    <w:rsid w:val="000469FA"/>
    <w:rsid w:val="00055F43"/>
    <w:rsid w:val="00057F92"/>
    <w:rsid w:val="00060DF3"/>
    <w:rsid w:val="00070982"/>
    <w:rsid w:val="00075929"/>
    <w:rsid w:val="000817AD"/>
    <w:rsid w:val="0008680C"/>
    <w:rsid w:val="000938A6"/>
    <w:rsid w:val="00097206"/>
    <w:rsid w:val="000B012A"/>
    <w:rsid w:val="000B0883"/>
    <w:rsid w:val="000B1F93"/>
    <w:rsid w:val="000D2D6C"/>
    <w:rsid w:val="000E3024"/>
    <w:rsid w:val="000E6EB0"/>
    <w:rsid w:val="000F5D31"/>
    <w:rsid w:val="000F7769"/>
    <w:rsid w:val="000F7AF9"/>
    <w:rsid w:val="00104461"/>
    <w:rsid w:val="00106103"/>
    <w:rsid w:val="00112FDF"/>
    <w:rsid w:val="00116ADD"/>
    <w:rsid w:val="001205B4"/>
    <w:rsid w:val="001353D0"/>
    <w:rsid w:val="00135A0D"/>
    <w:rsid w:val="0014127E"/>
    <w:rsid w:val="001412F9"/>
    <w:rsid w:val="00150215"/>
    <w:rsid w:val="00156A3E"/>
    <w:rsid w:val="00161740"/>
    <w:rsid w:val="00161CA2"/>
    <w:rsid w:val="0016350C"/>
    <w:rsid w:val="001741EA"/>
    <w:rsid w:val="00180A38"/>
    <w:rsid w:val="001839A1"/>
    <w:rsid w:val="00184325"/>
    <w:rsid w:val="00184EF4"/>
    <w:rsid w:val="00191345"/>
    <w:rsid w:val="00192E55"/>
    <w:rsid w:val="00195FEB"/>
    <w:rsid w:val="001A2B8F"/>
    <w:rsid w:val="001A2F78"/>
    <w:rsid w:val="001A5025"/>
    <w:rsid w:val="001A64F4"/>
    <w:rsid w:val="001C3063"/>
    <w:rsid w:val="001C5F04"/>
    <w:rsid w:val="001D62DA"/>
    <w:rsid w:val="001E215F"/>
    <w:rsid w:val="001E4166"/>
    <w:rsid w:val="001F3602"/>
    <w:rsid w:val="001F4F48"/>
    <w:rsid w:val="001F55DA"/>
    <w:rsid w:val="002007D4"/>
    <w:rsid w:val="002070E5"/>
    <w:rsid w:val="0021168B"/>
    <w:rsid w:val="00213873"/>
    <w:rsid w:val="002142A2"/>
    <w:rsid w:val="00217CE3"/>
    <w:rsid w:val="00224020"/>
    <w:rsid w:val="002367B8"/>
    <w:rsid w:val="0024013F"/>
    <w:rsid w:val="00242A52"/>
    <w:rsid w:val="002455A0"/>
    <w:rsid w:val="002464CD"/>
    <w:rsid w:val="00255A38"/>
    <w:rsid w:val="00256B1D"/>
    <w:rsid w:val="00261F41"/>
    <w:rsid w:val="00265474"/>
    <w:rsid w:val="002717D3"/>
    <w:rsid w:val="00273378"/>
    <w:rsid w:val="00273FF9"/>
    <w:rsid w:val="002856C6"/>
    <w:rsid w:val="00286845"/>
    <w:rsid w:val="002870B3"/>
    <w:rsid w:val="002871E1"/>
    <w:rsid w:val="00290A5C"/>
    <w:rsid w:val="0029125B"/>
    <w:rsid w:val="0029237F"/>
    <w:rsid w:val="0029542D"/>
    <w:rsid w:val="002A1D95"/>
    <w:rsid w:val="002A2E7B"/>
    <w:rsid w:val="002A4AEF"/>
    <w:rsid w:val="002C293A"/>
    <w:rsid w:val="002C3E92"/>
    <w:rsid w:val="002D3A63"/>
    <w:rsid w:val="002D60F5"/>
    <w:rsid w:val="002E0A43"/>
    <w:rsid w:val="002E0D3A"/>
    <w:rsid w:val="002E1C43"/>
    <w:rsid w:val="002E2142"/>
    <w:rsid w:val="002F1877"/>
    <w:rsid w:val="0030476A"/>
    <w:rsid w:val="00305BE6"/>
    <w:rsid w:val="0031066C"/>
    <w:rsid w:val="003131B5"/>
    <w:rsid w:val="00316A07"/>
    <w:rsid w:val="00321BA1"/>
    <w:rsid w:val="00324B7F"/>
    <w:rsid w:val="00324CE8"/>
    <w:rsid w:val="00326C0B"/>
    <w:rsid w:val="00332D1B"/>
    <w:rsid w:val="003334A3"/>
    <w:rsid w:val="00334B8B"/>
    <w:rsid w:val="0034281E"/>
    <w:rsid w:val="00342A9A"/>
    <w:rsid w:val="00351098"/>
    <w:rsid w:val="0035794D"/>
    <w:rsid w:val="00363222"/>
    <w:rsid w:val="00363D42"/>
    <w:rsid w:val="00365CEA"/>
    <w:rsid w:val="00366A59"/>
    <w:rsid w:val="0036711C"/>
    <w:rsid w:val="00370465"/>
    <w:rsid w:val="003800D4"/>
    <w:rsid w:val="00384ECA"/>
    <w:rsid w:val="00385385"/>
    <w:rsid w:val="003865C2"/>
    <w:rsid w:val="00387A1C"/>
    <w:rsid w:val="00396139"/>
    <w:rsid w:val="003D416E"/>
    <w:rsid w:val="003D6640"/>
    <w:rsid w:val="003E1335"/>
    <w:rsid w:val="003E2FC4"/>
    <w:rsid w:val="003E469F"/>
    <w:rsid w:val="003E692B"/>
    <w:rsid w:val="003F177F"/>
    <w:rsid w:val="003F46CC"/>
    <w:rsid w:val="003F49A8"/>
    <w:rsid w:val="003F57FA"/>
    <w:rsid w:val="00402CEB"/>
    <w:rsid w:val="0042037E"/>
    <w:rsid w:val="0042368C"/>
    <w:rsid w:val="00427862"/>
    <w:rsid w:val="00432695"/>
    <w:rsid w:val="004339B8"/>
    <w:rsid w:val="00436F53"/>
    <w:rsid w:val="004378DD"/>
    <w:rsid w:val="004479F5"/>
    <w:rsid w:val="00454479"/>
    <w:rsid w:val="00455607"/>
    <w:rsid w:val="00457F2E"/>
    <w:rsid w:val="00460AF5"/>
    <w:rsid w:val="00460B99"/>
    <w:rsid w:val="00477F45"/>
    <w:rsid w:val="004814E1"/>
    <w:rsid w:val="00483507"/>
    <w:rsid w:val="004912CE"/>
    <w:rsid w:val="0049178E"/>
    <w:rsid w:val="00497A4A"/>
    <w:rsid w:val="004A31EA"/>
    <w:rsid w:val="004A4C4E"/>
    <w:rsid w:val="004A513B"/>
    <w:rsid w:val="004B31B2"/>
    <w:rsid w:val="004B4522"/>
    <w:rsid w:val="004C1378"/>
    <w:rsid w:val="004C1E75"/>
    <w:rsid w:val="004D0D09"/>
    <w:rsid w:val="004D146C"/>
    <w:rsid w:val="004D4BF4"/>
    <w:rsid w:val="004E13A8"/>
    <w:rsid w:val="004E307F"/>
    <w:rsid w:val="004F0C09"/>
    <w:rsid w:val="004F5209"/>
    <w:rsid w:val="00502EFF"/>
    <w:rsid w:val="00504228"/>
    <w:rsid w:val="0051219E"/>
    <w:rsid w:val="00512FF7"/>
    <w:rsid w:val="005244BF"/>
    <w:rsid w:val="00526051"/>
    <w:rsid w:val="00533F1D"/>
    <w:rsid w:val="005378AF"/>
    <w:rsid w:val="00540835"/>
    <w:rsid w:val="005523EA"/>
    <w:rsid w:val="00553EB1"/>
    <w:rsid w:val="00554648"/>
    <w:rsid w:val="0055740F"/>
    <w:rsid w:val="0055776F"/>
    <w:rsid w:val="005632A5"/>
    <w:rsid w:val="0056771B"/>
    <w:rsid w:val="00594851"/>
    <w:rsid w:val="00596DD5"/>
    <w:rsid w:val="005A6BEA"/>
    <w:rsid w:val="005B09B4"/>
    <w:rsid w:val="005B1F63"/>
    <w:rsid w:val="005B516B"/>
    <w:rsid w:val="005B6015"/>
    <w:rsid w:val="005C1A7C"/>
    <w:rsid w:val="005C2F24"/>
    <w:rsid w:val="005C48D2"/>
    <w:rsid w:val="005D14D4"/>
    <w:rsid w:val="005D35E6"/>
    <w:rsid w:val="005E7E6E"/>
    <w:rsid w:val="005F22B2"/>
    <w:rsid w:val="005F3347"/>
    <w:rsid w:val="005F3835"/>
    <w:rsid w:val="005F6B97"/>
    <w:rsid w:val="00603671"/>
    <w:rsid w:val="00605C78"/>
    <w:rsid w:val="00626EE3"/>
    <w:rsid w:val="00630FE2"/>
    <w:rsid w:val="00631824"/>
    <w:rsid w:val="006322C1"/>
    <w:rsid w:val="00652BD4"/>
    <w:rsid w:val="00652CCC"/>
    <w:rsid w:val="00657C37"/>
    <w:rsid w:val="00662BBD"/>
    <w:rsid w:val="00663BB7"/>
    <w:rsid w:val="00681882"/>
    <w:rsid w:val="00683E59"/>
    <w:rsid w:val="006A1E9A"/>
    <w:rsid w:val="006A5549"/>
    <w:rsid w:val="006B36CA"/>
    <w:rsid w:val="006C0425"/>
    <w:rsid w:val="006C3B4E"/>
    <w:rsid w:val="006C6305"/>
    <w:rsid w:val="006D6575"/>
    <w:rsid w:val="006F19AE"/>
    <w:rsid w:val="00706456"/>
    <w:rsid w:val="00706680"/>
    <w:rsid w:val="00711481"/>
    <w:rsid w:val="00714074"/>
    <w:rsid w:val="00714C0D"/>
    <w:rsid w:val="00720A42"/>
    <w:rsid w:val="007276CC"/>
    <w:rsid w:val="00733EDF"/>
    <w:rsid w:val="007347BD"/>
    <w:rsid w:val="007372D1"/>
    <w:rsid w:val="007375F5"/>
    <w:rsid w:val="00737D57"/>
    <w:rsid w:val="00737F08"/>
    <w:rsid w:val="007421E3"/>
    <w:rsid w:val="007553B1"/>
    <w:rsid w:val="0077033E"/>
    <w:rsid w:val="00770661"/>
    <w:rsid w:val="007738F7"/>
    <w:rsid w:val="0078195E"/>
    <w:rsid w:val="00781FB0"/>
    <w:rsid w:val="00793649"/>
    <w:rsid w:val="007956BE"/>
    <w:rsid w:val="007A113F"/>
    <w:rsid w:val="007A6467"/>
    <w:rsid w:val="007B74AD"/>
    <w:rsid w:val="007C0A8C"/>
    <w:rsid w:val="007C2F20"/>
    <w:rsid w:val="007C30F7"/>
    <w:rsid w:val="007C4073"/>
    <w:rsid w:val="007D2C2A"/>
    <w:rsid w:val="007D558C"/>
    <w:rsid w:val="007D633A"/>
    <w:rsid w:val="007D77D1"/>
    <w:rsid w:val="007D79E9"/>
    <w:rsid w:val="007E235C"/>
    <w:rsid w:val="007E5888"/>
    <w:rsid w:val="007E740D"/>
    <w:rsid w:val="007F19CA"/>
    <w:rsid w:val="007F380F"/>
    <w:rsid w:val="007F42D2"/>
    <w:rsid w:val="007F6A68"/>
    <w:rsid w:val="00804DDD"/>
    <w:rsid w:val="00811DC9"/>
    <w:rsid w:val="00813F2A"/>
    <w:rsid w:val="00822E62"/>
    <w:rsid w:val="00831EE7"/>
    <w:rsid w:val="00834146"/>
    <w:rsid w:val="008355B8"/>
    <w:rsid w:val="00837D4F"/>
    <w:rsid w:val="00841318"/>
    <w:rsid w:val="00842025"/>
    <w:rsid w:val="008429EF"/>
    <w:rsid w:val="00842FF7"/>
    <w:rsid w:val="00847096"/>
    <w:rsid w:val="0085033F"/>
    <w:rsid w:val="008552B0"/>
    <w:rsid w:val="00857B2E"/>
    <w:rsid w:val="00861719"/>
    <w:rsid w:val="008635E8"/>
    <w:rsid w:val="00870645"/>
    <w:rsid w:val="00873631"/>
    <w:rsid w:val="00877936"/>
    <w:rsid w:val="00886E79"/>
    <w:rsid w:val="008A3251"/>
    <w:rsid w:val="008A32A7"/>
    <w:rsid w:val="008A6E50"/>
    <w:rsid w:val="008D757F"/>
    <w:rsid w:val="008E266B"/>
    <w:rsid w:val="008E3302"/>
    <w:rsid w:val="008E6B9E"/>
    <w:rsid w:val="008F338D"/>
    <w:rsid w:val="00903DE5"/>
    <w:rsid w:val="00904825"/>
    <w:rsid w:val="00904CC6"/>
    <w:rsid w:val="009066A7"/>
    <w:rsid w:val="00906978"/>
    <w:rsid w:val="00907F1C"/>
    <w:rsid w:val="00913067"/>
    <w:rsid w:val="00932BA0"/>
    <w:rsid w:val="00932C27"/>
    <w:rsid w:val="00936564"/>
    <w:rsid w:val="00937C98"/>
    <w:rsid w:val="00942415"/>
    <w:rsid w:val="0094503D"/>
    <w:rsid w:val="00945B89"/>
    <w:rsid w:val="00953FC4"/>
    <w:rsid w:val="009618A2"/>
    <w:rsid w:val="00972E7E"/>
    <w:rsid w:val="00973FB2"/>
    <w:rsid w:val="00976253"/>
    <w:rsid w:val="00986ACE"/>
    <w:rsid w:val="00991DCF"/>
    <w:rsid w:val="0099633C"/>
    <w:rsid w:val="009A4A3E"/>
    <w:rsid w:val="009A6D85"/>
    <w:rsid w:val="009B73B3"/>
    <w:rsid w:val="009C12D6"/>
    <w:rsid w:val="009C602F"/>
    <w:rsid w:val="009E063E"/>
    <w:rsid w:val="009E47C2"/>
    <w:rsid w:val="009E550D"/>
    <w:rsid w:val="009F1035"/>
    <w:rsid w:val="009F2BA1"/>
    <w:rsid w:val="009F6CAC"/>
    <w:rsid w:val="009F7DD5"/>
    <w:rsid w:val="00A04166"/>
    <w:rsid w:val="00A0555C"/>
    <w:rsid w:val="00A05B35"/>
    <w:rsid w:val="00A05FEB"/>
    <w:rsid w:val="00A07674"/>
    <w:rsid w:val="00A07ABC"/>
    <w:rsid w:val="00A11EF6"/>
    <w:rsid w:val="00A135A7"/>
    <w:rsid w:val="00A13E69"/>
    <w:rsid w:val="00A160BF"/>
    <w:rsid w:val="00A17BE4"/>
    <w:rsid w:val="00A20E71"/>
    <w:rsid w:val="00A228EE"/>
    <w:rsid w:val="00A301D7"/>
    <w:rsid w:val="00A313A9"/>
    <w:rsid w:val="00A314BF"/>
    <w:rsid w:val="00A31A13"/>
    <w:rsid w:val="00A34D7E"/>
    <w:rsid w:val="00A4024E"/>
    <w:rsid w:val="00A403F4"/>
    <w:rsid w:val="00A45421"/>
    <w:rsid w:val="00A468DE"/>
    <w:rsid w:val="00A514C9"/>
    <w:rsid w:val="00A518B9"/>
    <w:rsid w:val="00A57443"/>
    <w:rsid w:val="00A57FF1"/>
    <w:rsid w:val="00A60C77"/>
    <w:rsid w:val="00A63D3E"/>
    <w:rsid w:val="00A65462"/>
    <w:rsid w:val="00A671C6"/>
    <w:rsid w:val="00A73D65"/>
    <w:rsid w:val="00A76E14"/>
    <w:rsid w:val="00A8003E"/>
    <w:rsid w:val="00A808CC"/>
    <w:rsid w:val="00A85F38"/>
    <w:rsid w:val="00AA1ACE"/>
    <w:rsid w:val="00AB125D"/>
    <w:rsid w:val="00AB1270"/>
    <w:rsid w:val="00AC0018"/>
    <w:rsid w:val="00AC086A"/>
    <w:rsid w:val="00AD6C47"/>
    <w:rsid w:val="00AE0E23"/>
    <w:rsid w:val="00AE0FB8"/>
    <w:rsid w:val="00AE172C"/>
    <w:rsid w:val="00AE2557"/>
    <w:rsid w:val="00AE7316"/>
    <w:rsid w:val="00AF5BDE"/>
    <w:rsid w:val="00B0460F"/>
    <w:rsid w:val="00B05BAB"/>
    <w:rsid w:val="00B11350"/>
    <w:rsid w:val="00B136C6"/>
    <w:rsid w:val="00B21938"/>
    <w:rsid w:val="00B3393A"/>
    <w:rsid w:val="00B34DD4"/>
    <w:rsid w:val="00B34E23"/>
    <w:rsid w:val="00B35CDF"/>
    <w:rsid w:val="00B4351D"/>
    <w:rsid w:val="00B45ED3"/>
    <w:rsid w:val="00B47E64"/>
    <w:rsid w:val="00B51AD6"/>
    <w:rsid w:val="00B541BC"/>
    <w:rsid w:val="00B67AB0"/>
    <w:rsid w:val="00B70207"/>
    <w:rsid w:val="00B71373"/>
    <w:rsid w:val="00B72D65"/>
    <w:rsid w:val="00B75285"/>
    <w:rsid w:val="00B84F01"/>
    <w:rsid w:val="00B853BC"/>
    <w:rsid w:val="00B868DA"/>
    <w:rsid w:val="00B8790F"/>
    <w:rsid w:val="00B87C85"/>
    <w:rsid w:val="00B942FB"/>
    <w:rsid w:val="00B95150"/>
    <w:rsid w:val="00BA73EE"/>
    <w:rsid w:val="00BB21A6"/>
    <w:rsid w:val="00BB2DFF"/>
    <w:rsid w:val="00BB7A9A"/>
    <w:rsid w:val="00BC43BD"/>
    <w:rsid w:val="00BC465C"/>
    <w:rsid w:val="00BC4A8C"/>
    <w:rsid w:val="00BC4C6B"/>
    <w:rsid w:val="00BC68FE"/>
    <w:rsid w:val="00BC7C00"/>
    <w:rsid w:val="00BD446A"/>
    <w:rsid w:val="00BE1F63"/>
    <w:rsid w:val="00BE46DD"/>
    <w:rsid w:val="00BF0E4D"/>
    <w:rsid w:val="00BF52CA"/>
    <w:rsid w:val="00C02E98"/>
    <w:rsid w:val="00C10174"/>
    <w:rsid w:val="00C12747"/>
    <w:rsid w:val="00C23B9E"/>
    <w:rsid w:val="00C279A3"/>
    <w:rsid w:val="00C30849"/>
    <w:rsid w:val="00C33C5D"/>
    <w:rsid w:val="00C35AC1"/>
    <w:rsid w:val="00C42C9D"/>
    <w:rsid w:val="00C43AA9"/>
    <w:rsid w:val="00C465FE"/>
    <w:rsid w:val="00C47DE0"/>
    <w:rsid w:val="00C51709"/>
    <w:rsid w:val="00C51C5F"/>
    <w:rsid w:val="00C67047"/>
    <w:rsid w:val="00C71C1F"/>
    <w:rsid w:val="00C838EB"/>
    <w:rsid w:val="00C90CED"/>
    <w:rsid w:val="00CA0BEF"/>
    <w:rsid w:val="00CA14E2"/>
    <w:rsid w:val="00CA16CB"/>
    <w:rsid w:val="00CA41C7"/>
    <w:rsid w:val="00CB3490"/>
    <w:rsid w:val="00CB4E0B"/>
    <w:rsid w:val="00CB7D4F"/>
    <w:rsid w:val="00CC0C68"/>
    <w:rsid w:val="00CC2DFD"/>
    <w:rsid w:val="00CC3C80"/>
    <w:rsid w:val="00CD05AE"/>
    <w:rsid w:val="00CD0B5D"/>
    <w:rsid w:val="00CD53BB"/>
    <w:rsid w:val="00CD5F1A"/>
    <w:rsid w:val="00CD7310"/>
    <w:rsid w:val="00CE3E99"/>
    <w:rsid w:val="00CE5D9E"/>
    <w:rsid w:val="00CF03B4"/>
    <w:rsid w:val="00CF0C6E"/>
    <w:rsid w:val="00CF11ED"/>
    <w:rsid w:val="00CF4044"/>
    <w:rsid w:val="00CF4D69"/>
    <w:rsid w:val="00D04431"/>
    <w:rsid w:val="00D076F0"/>
    <w:rsid w:val="00D1103A"/>
    <w:rsid w:val="00D1354D"/>
    <w:rsid w:val="00D13CA1"/>
    <w:rsid w:val="00D23032"/>
    <w:rsid w:val="00D30D80"/>
    <w:rsid w:val="00D335E2"/>
    <w:rsid w:val="00D344EB"/>
    <w:rsid w:val="00D350E4"/>
    <w:rsid w:val="00D3657E"/>
    <w:rsid w:val="00D458CC"/>
    <w:rsid w:val="00D45EDD"/>
    <w:rsid w:val="00D479D4"/>
    <w:rsid w:val="00D54F97"/>
    <w:rsid w:val="00D551BD"/>
    <w:rsid w:val="00D56A29"/>
    <w:rsid w:val="00D666AC"/>
    <w:rsid w:val="00D66758"/>
    <w:rsid w:val="00D72DE4"/>
    <w:rsid w:val="00D73349"/>
    <w:rsid w:val="00D75B9A"/>
    <w:rsid w:val="00D84E05"/>
    <w:rsid w:val="00DA4B56"/>
    <w:rsid w:val="00DB53A4"/>
    <w:rsid w:val="00DC18FA"/>
    <w:rsid w:val="00DD2DED"/>
    <w:rsid w:val="00DD5460"/>
    <w:rsid w:val="00DD58EC"/>
    <w:rsid w:val="00DE34A0"/>
    <w:rsid w:val="00DE351D"/>
    <w:rsid w:val="00DE6E86"/>
    <w:rsid w:val="00DF65BF"/>
    <w:rsid w:val="00DF7402"/>
    <w:rsid w:val="00E155A4"/>
    <w:rsid w:val="00E15C8B"/>
    <w:rsid w:val="00E15CAB"/>
    <w:rsid w:val="00E228AA"/>
    <w:rsid w:val="00E3053B"/>
    <w:rsid w:val="00E431D6"/>
    <w:rsid w:val="00E434D2"/>
    <w:rsid w:val="00E4758D"/>
    <w:rsid w:val="00E53588"/>
    <w:rsid w:val="00E5392D"/>
    <w:rsid w:val="00E57D17"/>
    <w:rsid w:val="00E746BD"/>
    <w:rsid w:val="00E74A05"/>
    <w:rsid w:val="00E77341"/>
    <w:rsid w:val="00E8297D"/>
    <w:rsid w:val="00E93867"/>
    <w:rsid w:val="00EA348B"/>
    <w:rsid w:val="00EA5952"/>
    <w:rsid w:val="00EA7EEA"/>
    <w:rsid w:val="00EB01BE"/>
    <w:rsid w:val="00EB1445"/>
    <w:rsid w:val="00EB23BF"/>
    <w:rsid w:val="00EB3811"/>
    <w:rsid w:val="00EB407F"/>
    <w:rsid w:val="00EB6013"/>
    <w:rsid w:val="00EC25CE"/>
    <w:rsid w:val="00EC7133"/>
    <w:rsid w:val="00ED3397"/>
    <w:rsid w:val="00EE053F"/>
    <w:rsid w:val="00EE68FB"/>
    <w:rsid w:val="00EE7ADE"/>
    <w:rsid w:val="00EF332E"/>
    <w:rsid w:val="00EF637F"/>
    <w:rsid w:val="00EF76CA"/>
    <w:rsid w:val="00F02C0A"/>
    <w:rsid w:val="00F06F57"/>
    <w:rsid w:val="00F10BA3"/>
    <w:rsid w:val="00F13A86"/>
    <w:rsid w:val="00F16A92"/>
    <w:rsid w:val="00F21D30"/>
    <w:rsid w:val="00F24915"/>
    <w:rsid w:val="00F267BD"/>
    <w:rsid w:val="00F30647"/>
    <w:rsid w:val="00F3312F"/>
    <w:rsid w:val="00F339B3"/>
    <w:rsid w:val="00F35DEC"/>
    <w:rsid w:val="00F401F9"/>
    <w:rsid w:val="00F47538"/>
    <w:rsid w:val="00F50533"/>
    <w:rsid w:val="00F51491"/>
    <w:rsid w:val="00F56634"/>
    <w:rsid w:val="00F61C83"/>
    <w:rsid w:val="00F70A0E"/>
    <w:rsid w:val="00F745B2"/>
    <w:rsid w:val="00F75B68"/>
    <w:rsid w:val="00F835EC"/>
    <w:rsid w:val="00F8403F"/>
    <w:rsid w:val="00F936BD"/>
    <w:rsid w:val="00F945F2"/>
    <w:rsid w:val="00F95E8B"/>
    <w:rsid w:val="00F9649B"/>
    <w:rsid w:val="00FA1135"/>
    <w:rsid w:val="00FA2B9C"/>
    <w:rsid w:val="00FB5BE3"/>
    <w:rsid w:val="00FB6BA2"/>
    <w:rsid w:val="00FC2A0A"/>
    <w:rsid w:val="00FC34D9"/>
    <w:rsid w:val="00FD1854"/>
    <w:rsid w:val="00FD754F"/>
    <w:rsid w:val="00FD75E1"/>
    <w:rsid w:val="00FE5496"/>
    <w:rsid w:val="00FE585D"/>
    <w:rsid w:val="00FF06FA"/>
    <w:rsid w:val="00FF3593"/>
    <w:rsid w:val="00FF4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E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inespaciado">
    <w:name w:val="No Spacing"/>
    <w:uiPriority w:val="1"/>
    <w:qFormat/>
    <w:rsid w:val="005378AF"/>
    <w:rPr>
      <w:rFonts w:eastAsiaTheme="minorEastAsia"/>
      <w:lang w:val="es-ES"/>
    </w:rPr>
  </w:style>
  <w:style w:type="paragraph" w:styleId="Prrafodelista">
    <w:name w:val="List Paragraph"/>
    <w:aliases w:val="4 Párrafo de lista,Figuras,Dot pt,No Spacing1,List Paragraph Char Char Char,Indicator Text,List Paragraph1,Numbered Para 1,DH1,lp1,Bullet List,FooterText,numbered,Paragraphe de liste1,Bulletr List Paragraph,列出段落,列出段落1,Listas,List Parag"/>
    <w:basedOn w:val="Normal"/>
    <w:link w:val="PrrafodelistaCar"/>
    <w:uiPriority w:val="34"/>
    <w:qFormat/>
    <w:rsid w:val="007553B1"/>
    <w:pPr>
      <w:ind w:left="720"/>
      <w:contextualSpacing/>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Bullet List Car,FooterText Car,numbered Car,列出段落 Car"/>
    <w:link w:val="Prrafodelista"/>
    <w:uiPriority w:val="34"/>
    <w:qFormat/>
    <w:rsid w:val="00AE7316"/>
    <w:rPr>
      <w:rFonts w:eastAsiaTheme="minorEastAsia"/>
      <w:lang w:val="es-ES"/>
    </w:rPr>
  </w:style>
  <w:style w:type="table" w:styleId="Tabladelista4">
    <w:name w:val="List Table 4"/>
    <w:basedOn w:val="Tablanormal"/>
    <w:uiPriority w:val="49"/>
    <w:rsid w:val="00A40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8E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CF0C6E"/>
    <w:rPr>
      <w:rFonts w:eastAsia="Aptos"/>
      <w:kern w:val="2"/>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61BC454D65AC43B68839C4B24746EB" ma:contentTypeVersion="4" ma:contentTypeDescription="Create a new document." ma:contentTypeScope="" ma:versionID="174110688bd6ed21fa84c521699efbec">
  <xsd:schema xmlns:xsd="http://www.w3.org/2001/XMLSchema" xmlns:xs="http://www.w3.org/2001/XMLSchema" xmlns:p="http://schemas.microsoft.com/office/2006/metadata/properties" xmlns:ns2="934de279-a636-46ad-b9b5-e1ceb6328101" targetNamespace="http://schemas.microsoft.com/office/2006/metadata/properties" ma:root="true" ma:fieldsID="31665f5c323611689af4d9f38783f5b4"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22A5C-535E-4FF4-80A0-F6A938D16AE4}">
  <ds:schemaRefs>
    <ds:schemaRef ds:uri="http://schemas.openxmlformats.org/officeDocument/2006/bibliography"/>
  </ds:schemaRefs>
</ds:datastoreItem>
</file>

<file path=customXml/itemProps2.xml><?xml version="1.0" encoding="utf-8"?>
<ds:datastoreItem xmlns:ds="http://schemas.openxmlformats.org/officeDocument/2006/customXml" ds:itemID="{EFE545A5-FA9F-40CA-A985-4535491173AD}"/>
</file>

<file path=customXml/itemProps3.xml><?xml version="1.0" encoding="utf-8"?>
<ds:datastoreItem xmlns:ds="http://schemas.openxmlformats.org/officeDocument/2006/customXml" ds:itemID="{1D2DC96A-A4AC-41CE-8A6F-612D84592297}"/>
</file>

<file path=customXml/itemProps4.xml><?xml version="1.0" encoding="utf-8"?>
<ds:datastoreItem xmlns:ds="http://schemas.openxmlformats.org/officeDocument/2006/customXml" ds:itemID="{363856D7-252F-4DF5-AA3F-3420BDC01F7A}"/>
</file>

<file path=docProps/app.xml><?xml version="1.0" encoding="utf-8"?>
<Properties xmlns="http://schemas.openxmlformats.org/officeDocument/2006/extended-properties" xmlns:vt="http://schemas.openxmlformats.org/officeDocument/2006/docPropsVTypes">
  <Template>Normal</Template>
  <TotalTime>16</TotalTime>
  <Pages>2</Pages>
  <Words>687</Words>
  <Characters>4132</Characters>
  <Application>Microsoft Office Word</Application>
  <DocSecurity>0</DocSecurity>
  <Lines>62</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Marie Claude Brunel Manse</cp:lastModifiedBy>
  <cp:revision>19</cp:revision>
  <cp:lastPrinted>2025-10-29T17:22:00Z</cp:lastPrinted>
  <dcterms:created xsi:type="dcterms:W3CDTF">2025-11-05T15:15:00Z</dcterms:created>
  <dcterms:modified xsi:type="dcterms:W3CDTF">2025-11-05T18:33:00Z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