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4315" w14:textId="059B7A1E" w:rsidR="00007765" w:rsidRDefault="00533F1D" w:rsidP="007E3D8A">
      <w:pPr>
        <w:pStyle w:val="Prrafodelista"/>
        <w:widowControl w:val="0"/>
        <w:numPr>
          <w:ilvl w:val="0"/>
          <w:numId w:val="17"/>
        </w:numPr>
        <w:autoSpaceDE w:val="0"/>
        <w:autoSpaceDN w:val="0"/>
        <w:adjustRightInd w:val="0"/>
        <w:spacing w:after="160"/>
        <w:ind w:left="709" w:right="284"/>
        <w:jc w:val="both"/>
        <w:rPr>
          <w:rFonts w:ascii="Noto Sans" w:hAnsi="Noto Sans" w:cs="Noto Sans"/>
          <w:b/>
        </w:rPr>
      </w:pPr>
      <w:r w:rsidRPr="0055776F">
        <w:rPr>
          <w:rFonts w:ascii="Noto Sans" w:hAnsi="Noto Sans" w:cs="Noto Sans"/>
          <w:b/>
        </w:rPr>
        <w:t xml:space="preserve">Informe sobre el </w:t>
      </w:r>
      <w:r w:rsidR="00D56A29" w:rsidRPr="0055776F">
        <w:rPr>
          <w:rFonts w:ascii="Noto Sans" w:hAnsi="Noto Sans" w:cs="Noto Sans"/>
          <w:b/>
        </w:rPr>
        <w:t>cumplimiento de los acuerdos previos adoptados por el Órgano de Gobierno, así como las recomendaciones y solicitudes</w:t>
      </w:r>
      <w:r w:rsidR="005A6BEA" w:rsidRPr="0055776F">
        <w:rPr>
          <w:rFonts w:ascii="Noto Sans" w:hAnsi="Noto Sans" w:cs="Noto Sans"/>
          <w:b/>
        </w:rPr>
        <w:t xml:space="preserve"> planteadas por las personas consejeras, la SABG y el CEE de ECOSUR</w:t>
      </w:r>
    </w:p>
    <w:p w14:paraId="1381AAC5" w14:textId="77777777" w:rsidR="00353B7D" w:rsidRPr="00353B7D" w:rsidRDefault="00353B7D" w:rsidP="00353B7D">
      <w:pPr>
        <w:pStyle w:val="Prrafodelista"/>
        <w:widowControl w:val="0"/>
        <w:autoSpaceDE w:val="0"/>
        <w:autoSpaceDN w:val="0"/>
        <w:adjustRightInd w:val="0"/>
        <w:spacing w:after="160"/>
        <w:ind w:left="709" w:right="284"/>
        <w:jc w:val="both"/>
        <w:rPr>
          <w:rFonts w:ascii="Noto Sans" w:hAnsi="Noto Sans" w:cs="Noto Sans"/>
          <w:b/>
        </w:rPr>
      </w:pPr>
    </w:p>
    <w:p w14:paraId="3C09E239" w14:textId="6641C181" w:rsidR="00C51709" w:rsidRPr="00353B7D" w:rsidRDefault="005C48D2" w:rsidP="00C51709">
      <w:pPr>
        <w:pStyle w:val="Prrafodelista"/>
        <w:numPr>
          <w:ilvl w:val="0"/>
          <w:numId w:val="18"/>
        </w:numPr>
        <w:spacing w:after="240"/>
        <w:rPr>
          <w:rFonts w:ascii="Noto Sans" w:hAnsi="Noto Sans" w:cs="Noto Sans"/>
          <w:sz w:val="22"/>
          <w:szCs w:val="22"/>
        </w:rPr>
      </w:pPr>
      <w:r w:rsidRPr="00353B7D">
        <w:rPr>
          <w:rFonts w:ascii="Noto Sans" w:hAnsi="Noto Sans" w:cs="Noto Sans"/>
          <w:sz w:val="22"/>
          <w:szCs w:val="22"/>
        </w:rPr>
        <w:t>Breve Resumen del número de sesiones ordinarias y extraordinarias durante el primer semestre 2025</w:t>
      </w:r>
    </w:p>
    <w:p w14:paraId="0341F536" w14:textId="6BB107FD" w:rsidR="00C51709" w:rsidRPr="00353B7D" w:rsidRDefault="0035794D" w:rsidP="007D558C">
      <w:pPr>
        <w:ind w:left="708"/>
        <w:jc w:val="both"/>
        <w:rPr>
          <w:rFonts w:ascii="Noto Sans" w:hAnsi="Noto Sans" w:cs="Noto Sans"/>
          <w:sz w:val="22"/>
          <w:szCs w:val="22"/>
        </w:rPr>
      </w:pPr>
      <w:r w:rsidRPr="00353B7D">
        <w:rPr>
          <w:rFonts w:ascii="Noto Sans" w:hAnsi="Noto Sans" w:cs="Noto Sans"/>
          <w:sz w:val="22"/>
          <w:szCs w:val="22"/>
        </w:rPr>
        <w:t>En el primer semestre de 2025, la Junta de Gobierno de ECOSUR se reun</w:t>
      </w:r>
      <w:r w:rsidR="00657C37" w:rsidRPr="00353B7D">
        <w:rPr>
          <w:rFonts w:ascii="Noto Sans" w:hAnsi="Noto Sans" w:cs="Noto Sans"/>
          <w:sz w:val="22"/>
          <w:szCs w:val="22"/>
        </w:rPr>
        <w:t>ió solo una vez</w:t>
      </w:r>
      <w:r w:rsidR="00EC25CE" w:rsidRPr="00353B7D">
        <w:rPr>
          <w:rFonts w:ascii="Noto Sans" w:hAnsi="Noto Sans" w:cs="Noto Sans"/>
          <w:sz w:val="22"/>
          <w:szCs w:val="22"/>
        </w:rPr>
        <w:t>,</w:t>
      </w:r>
      <w:r w:rsidR="00657C37" w:rsidRPr="00353B7D">
        <w:rPr>
          <w:rFonts w:ascii="Noto Sans" w:hAnsi="Noto Sans" w:cs="Noto Sans"/>
          <w:sz w:val="22"/>
          <w:szCs w:val="22"/>
        </w:rPr>
        <w:t xml:space="preserve"> para la primera sesión ordinaria 2025, que se llevó a cabo de forma </w:t>
      </w:r>
      <w:r w:rsidR="00EC25CE" w:rsidRPr="00353B7D">
        <w:rPr>
          <w:rFonts w:ascii="Noto Sans" w:hAnsi="Noto Sans" w:cs="Noto Sans"/>
          <w:sz w:val="22"/>
          <w:szCs w:val="22"/>
        </w:rPr>
        <w:t>presencial y en línea el pasado 8 de julio.</w:t>
      </w:r>
      <w:r w:rsidR="00EE68FB" w:rsidRPr="00353B7D">
        <w:rPr>
          <w:rFonts w:ascii="Noto Sans" w:hAnsi="Noto Sans" w:cs="Noto Sans"/>
          <w:sz w:val="22"/>
          <w:szCs w:val="22"/>
        </w:rPr>
        <w:t xml:space="preserve"> En ella estuvieron presentes 13 de las 15 personas consejeras.</w:t>
      </w:r>
    </w:p>
    <w:p w14:paraId="06175D82" w14:textId="77777777" w:rsidR="007D558C" w:rsidRDefault="007D558C" w:rsidP="00C33C5D">
      <w:pPr>
        <w:jc w:val="both"/>
        <w:rPr>
          <w:rFonts w:ascii="Noto Sans" w:hAnsi="Noto Sans" w:cs="Noto Sans"/>
        </w:rPr>
      </w:pPr>
    </w:p>
    <w:p w14:paraId="4149D5F7" w14:textId="2D3FEC65" w:rsidR="00C33C5D" w:rsidRDefault="00C33C5D" w:rsidP="00C33C5D">
      <w:pPr>
        <w:pStyle w:val="Prrafodelista"/>
        <w:numPr>
          <w:ilvl w:val="0"/>
          <w:numId w:val="18"/>
        </w:numPr>
        <w:jc w:val="both"/>
        <w:rPr>
          <w:rFonts w:ascii="Noto Sans" w:hAnsi="Noto Sans" w:cs="Noto Sans"/>
        </w:rPr>
      </w:pPr>
      <w:r>
        <w:rPr>
          <w:rFonts w:ascii="Noto Sans" w:hAnsi="Noto Sans" w:cs="Noto Sans"/>
        </w:rPr>
        <w:t xml:space="preserve">Desglosar el número de acuerdos que se derivaron </w:t>
      </w:r>
      <w:r w:rsidR="00334B8B">
        <w:rPr>
          <w:rFonts w:ascii="Noto Sans" w:hAnsi="Noto Sans" w:cs="Noto Sans"/>
        </w:rPr>
        <w:t>de la sesión</w:t>
      </w:r>
      <w:r w:rsidR="001F3602">
        <w:rPr>
          <w:rFonts w:ascii="Noto Sans" w:hAnsi="Noto Sans" w:cs="Noto Sans"/>
        </w:rPr>
        <w:t>, avance y cumplimiento</w:t>
      </w:r>
    </w:p>
    <w:p w14:paraId="7CA98D8D" w14:textId="77777777" w:rsidR="00334B8B" w:rsidRDefault="00334B8B" w:rsidP="00334B8B">
      <w:pPr>
        <w:jc w:val="both"/>
        <w:rPr>
          <w:rFonts w:ascii="Noto Sans" w:hAnsi="Noto Sans" w:cs="Noto Sans"/>
        </w:rPr>
      </w:pPr>
    </w:p>
    <w:p w14:paraId="3A74ABC5" w14:textId="31242B16" w:rsidR="00334B8B" w:rsidRPr="00353B7D" w:rsidRDefault="007D79E9" w:rsidP="00334B8B">
      <w:pPr>
        <w:ind w:left="708"/>
        <w:jc w:val="both"/>
        <w:rPr>
          <w:rFonts w:ascii="Noto Sans" w:hAnsi="Noto Sans" w:cs="Noto Sans"/>
          <w:sz w:val="22"/>
          <w:szCs w:val="22"/>
        </w:rPr>
      </w:pPr>
      <w:r w:rsidRPr="00353B7D">
        <w:rPr>
          <w:rFonts w:ascii="Noto Sans" w:hAnsi="Noto Sans" w:cs="Noto Sans"/>
          <w:sz w:val="22"/>
          <w:szCs w:val="22"/>
        </w:rPr>
        <w:t xml:space="preserve">De esta sesión derivó un total de </w:t>
      </w:r>
      <w:r w:rsidR="00504228" w:rsidRPr="00353B7D">
        <w:rPr>
          <w:rFonts w:ascii="Noto Sans" w:hAnsi="Noto Sans" w:cs="Noto Sans"/>
          <w:sz w:val="22"/>
          <w:szCs w:val="22"/>
        </w:rPr>
        <w:t xml:space="preserve">27 acuerdos/recomendaciones/Opiniones, </w:t>
      </w:r>
      <w:r w:rsidR="008E3302" w:rsidRPr="00353B7D">
        <w:rPr>
          <w:rFonts w:ascii="Noto Sans" w:hAnsi="Noto Sans" w:cs="Noto Sans"/>
          <w:sz w:val="22"/>
          <w:szCs w:val="22"/>
        </w:rPr>
        <w:t>distribuid</w:t>
      </w:r>
      <w:r w:rsidR="0057723D">
        <w:rPr>
          <w:rFonts w:ascii="Noto Sans" w:hAnsi="Noto Sans" w:cs="Noto Sans"/>
          <w:sz w:val="22"/>
          <w:szCs w:val="22"/>
        </w:rPr>
        <w:t>o</w:t>
      </w:r>
      <w:r w:rsidR="008E3302" w:rsidRPr="00353B7D">
        <w:rPr>
          <w:rFonts w:ascii="Noto Sans" w:hAnsi="Noto Sans" w:cs="Noto Sans"/>
          <w:sz w:val="22"/>
          <w:szCs w:val="22"/>
        </w:rPr>
        <w:t>s de la siguiente forma:</w:t>
      </w:r>
    </w:p>
    <w:p w14:paraId="69599BB4" w14:textId="77777777" w:rsidR="008E3302" w:rsidRDefault="008E3302" w:rsidP="00334B8B">
      <w:pPr>
        <w:ind w:left="708"/>
        <w:jc w:val="both"/>
        <w:rPr>
          <w:rFonts w:ascii="Noto Sans" w:hAnsi="Noto Sans" w:cs="Noto Sans"/>
        </w:rPr>
      </w:pPr>
    </w:p>
    <w:tbl>
      <w:tblPr>
        <w:tblStyle w:val="Tablaconcuadrcula"/>
        <w:tblW w:w="8785" w:type="dxa"/>
        <w:tblInd w:w="708" w:type="dxa"/>
        <w:tblLook w:val="04A0" w:firstRow="1" w:lastRow="0" w:firstColumn="1" w:lastColumn="0" w:noHBand="0" w:noVBand="1"/>
      </w:tblPr>
      <w:tblGrid>
        <w:gridCol w:w="5383"/>
        <w:gridCol w:w="1701"/>
        <w:gridCol w:w="1701"/>
      </w:tblGrid>
      <w:tr w:rsidR="00402CEB" w:rsidRPr="0034281E" w14:paraId="001BEA45" w14:textId="5D0F2A7A" w:rsidTr="00D9644D">
        <w:tc>
          <w:tcPr>
            <w:tcW w:w="5383" w:type="dxa"/>
            <w:vAlign w:val="center"/>
          </w:tcPr>
          <w:p w14:paraId="6FD05F49" w14:textId="1C731944" w:rsidR="00402CEB" w:rsidRPr="0034281E" w:rsidRDefault="00402CEB" w:rsidP="00D9644D">
            <w:pPr>
              <w:jc w:val="center"/>
              <w:rPr>
                <w:rFonts w:ascii="Noto Sans" w:hAnsi="Noto Sans" w:cs="Noto Sans"/>
                <w:b/>
                <w:bCs/>
                <w:sz w:val="22"/>
                <w:szCs w:val="22"/>
              </w:rPr>
            </w:pPr>
            <w:r w:rsidRPr="0034281E">
              <w:rPr>
                <w:rFonts w:ascii="Noto Sans" w:hAnsi="Noto Sans" w:cs="Noto Sans"/>
                <w:b/>
                <w:bCs/>
                <w:sz w:val="22"/>
                <w:szCs w:val="22"/>
              </w:rPr>
              <w:t>Acuerdos</w:t>
            </w:r>
          </w:p>
        </w:tc>
        <w:tc>
          <w:tcPr>
            <w:tcW w:w="1701" w:type="dxa"/>
            <w:vAlign w:val="center"/>
          </w:tcPr>
          <w:p w14:paraId="27E465A3" w14:textId="70CBBB2D" w:rsidR="00402CEB" w:rsidRPr="0034281E" w:rsidRDefault="00402CEB" w:rsidP="00D9644D">
            <w:pPr>
              <w:jc w:val="center"/>
              <w:rPr>
                <w:rFonts w:ascii="Noto Sans" w:hAnsi="Noto Sans" w:cs="Noto Sans"/>
                <w:b/>
                <w:bCs/>
                <w:sz w:val="22"/>
                <w:szCs w:val="22"/>
              </w:rPr>
            </w:pPr>
            <w:r w:rsidRPr="0034281E">
              <w:rPr>
                <w:rFonts w:ascii="Noto Sans" w:hAnsi="Noto Sans" w:cs="Noto Sans"/>
                <w:b/>
                <w:bCs/>
                <w:sz w:val="22"/>
                <w:szCs w:val="22"/>
              </w:rPr>
              <w:t>Número</w:t>
            </w:r>
            <w:r w:rsidR="0034281E" w:rsidRPr="0034281E">
              <w:rPr>
                <w:rFonts w:ascii="Noto Sans" w:hAnsi="Noto Sans" w:cs="Noto Sans"/>
                <w:b/>
                <w:bCs/>
                <w:sz w:val="22"/>
                <w:szCs w:val="22"/>
              </w:rPr>
              <w:t xml:space="preserve"> total</w:t>
            </w:r>
          </w:p>
        </w:tc>
        <w:tc>
          <w:tcPr>
            <w:tcW w:w="1701" w:type="dxa"/>
            <w:vAlign w:val="center"/>
          </w:tcPr>
          <w:p w14:paraId="29DD7CE3" w14:textId="196D0A7C" w:rsidR="00402CEB" w:rsidRPr="0034281E" w:rsidRDefault="0034281E" w:rsidP="00D9644D">
            <w:pPr>
              <w:jc w:val="center"/>
              <w:rPr>
                <w:rFonts w:ascii="Noto Sans" w:hAnsi="Noto Sans" w:cs="Noto Sans"/>
                <w:b/>
                <w:bCs/>
                <w:sz w:val="22"/>
                <w:szCs w:val="22"/>
              </w:rPr>
            </w:pPr>
            <w:r w:rsidRPr="0034281E">
              <w:rPr>
                <w:rFonts w:ascii="Noto Sans" w:hAnsi="Noto Sans" w:cs="Noto Sans"/>
                <w:b/>
                <w:bCs/>
                <w:sz w:val="22"/>
                <w:szCs w:val="22"/>
              </w:rPr>
              <w:t>Número de acuerdos cumplidos</w:t>
            </w:r>
          </w:p>
        </w:tc>
      </w:tr>
      <w:tr w:rsidR="00402CEB" w:rsidRPr="0034281E" w14:paraId="6D346CF3" w14:textId="57EA9B50" w:rsidTr="00D9644D">
        <w:trPr>
          <w:trHeight w:val="723"/>
        </w:trPr>
        <w:tc>
          <w:tcPr>
            <w:tcW w:w="5383" w:type="dxa"/>
            <w:vAlign w:val="center"/>
          </w:tcPr>
          <w:p w14:paraId="49F71A8E" w14:textId="626BEFC1" w:rsidR="00BC4C6B" w:rsidRPr="0034281E" w:rsidRDefault="00402CEB" w:rsidP="00D9644D">
            <w:pPr>
              <w:jc w:val="center"/>
              <w:rPr>
                <w:rFonts w:ascii="Noto Sans" w:hAnsi="Noto Sans" w:cs="Noto Sans"/>
                <w:sz w:val="22"/>
                <w:szCs w:val="22"/>
              </w:rPr>
            </w:pPr>
            <w:r w:rsidRPr="0034281E">
              <w:rPr>
                <w:rFonts w:ascii="Noto Sans" w:hAnsi="Noto Sans" w:cs="Noto Sans"/>
                <w:sz w:val="22"/>
                <w:szCs w:val="22"/>
              </w:rPr>
              <w:t>Reco</w:t>
            </w:r>
            <w:r w:rsidR="0034281E" w:rsidRPr="0034281E">
              <w:rPr>
                <w:rFonts w:ascii="Noto Sans" w:hAnsi="Noto Sans" w:cs="Noto Sans"/>
                <w:sz w:val="22"/>
                <w:szCs w:val="22"/>
              </w:rPr>
              <w:t>mendaciones</w:t>
            </w:r>
            <w:r w:rsidR="00870645">
              <w:rPr>
                <w:rFonts w:ascii="Noto Sans" w:hAnsi="Noto Sans" w:cs="Noto Sans"/>
                <w:sz w:val="22"/>
                <w:szCs w:val="22"/>
              </w:rPr>
              <w:t xml:space="preserve"> de </w:t>
            </w:r>
            <w:r w:rsidR="00DD58EC">
              <w:rPr>
                <w:rFonts w:ascii="Noto Sans" w:hAnsi="Noto Sans" w:cs="Noto Sans"/>
                <w:sz w:val="22"/>
                <w:szCs w:val="22"/>
              </w:rPr>
              <w:t>la SABG</w:t>
            </w:r>
            <w:r w:rsidR="00870645">
              <w:rPr>
                <w:rFonts w:ascii="Noto Sans" w:hAnsi="Noto Sans" w:cs="Noto Sans"/>
                <w:sz w:val="22"/>
                <w:szCs w:val="22"/>
              </w:rPr>
              <w:t xml:space="preserve"> sobre los Estados Financieros Dictaminados</w:t>
            </w:r>
          </w:p>
        </w:tc>
        <w:tc>
          <w:tcPr>
            <w:tcW w:w="1701" w:type="dxa"/>
            <w:vAlign w:val="center"/>
          </w:tcPr>
          <w:p w14:paraId="27C289FD" w14:textId="778AB0C0" w:rsidR="00402CEB" w:rsidRPr="0034281E" w:rsidRDefault="00BC4C6B" w:rsidP="00D9644D">
            <w:pPr>
              <w:jc w:val="center"/>
              <w:rPr>
                <w:rFonts w:ascii="Noto Sans" w:hAnsi="Noto Sans" w:cs="Noto Sans"/>
                <w:sz w:val="22"/>
                <w:szCs w:val="22"/>
              </w:rPr>
            </w:pPr>
            <w:r>
              <w:rPr>
                <w:rFonts w:ascii="Noto Sans" w:hAnsi="Noto Sans" w:cs="Noto Sans"/>
                <w:sz w:val="22"/>
                <w:szCs w:val="22"/>
              </w:rPr>
              <w:t>3</w:t>
            </w:r>
          </w:p>
        </w:tc>
        <w:tc>
          <w:tcPr>
            <w:tcW w:w="1701" w:type="dxa"/>
            <w:vAlign w:val="center"/>
          </w:tcPr>
          <w:p w14:paraId="5E5532F0" w14:textId="1EABB32F" w:rsidR="00402CEB" w:rsidRPr="0034281E" w:rsidRDefault="00BC4C6B" w:rsidP="00D9644D">
            <w:pPr>
              <w:jc w:val="center"/>
              <w:rPr>
                <w:rFonts w:ascii="Noto Sans" w:hAnsi="Noto Sans" w:cs="Noto Sans"/>
                <w:sz w:val="22"/>
                <w:szCs w:val="22"/>
              </w:rPr>
            </w:pPr>
            <w:r>
              <w:rPr>
                <w:rFonts w:ascii="Noto Sans" w:hAnsi="Noto Sans" w:cs="Noto Sans"/>
                <w:sz w:val="22"/>
                <w:szCs w:val="22"/>
              </w:rPr>
              <w:t>3</w:t>
            </w:r>
          </w:p>
        </w:tc>
      </w:tr>
      <w:tr w:rsidR="00402CEB" w:rsidRPr="0034281E" w14:paraId="71B48BFE" w14:textId="02B6F466" w:rsidTr="00D9644D">
        <w:tc>
          <w:tcPr>
            <w:tcW w:w="5383" w:type="dxa"/>
            <w:vAlign w:val="center"/>
          </w:tcPr>
          <w:p w14:paraId="0F448F68" w14:textId="7E813B5A" w:rsidR="00402CEB" w:rsidRPr="0034281E" w:rsidRDefault="00E15CAB" w:rsidP="00D9644D">
            <w:pPr>
              <w:jc w:val="center"/>
              <w:rPr>
                <w:rFonts w:ascii="Noto Sans" w:hAnsi="Noto Sans" w:cs="Noto Sans"/>
                <w:sz w:val="22"/>
                <w:szCs w:val="22"/>
              </w:rPr>
            </w:pPr>
            <w:r>
              <w:rPr>
                <w:rFonts w:ascii="Noto Sans" w:hAnsi="Noto Sans" w:cs="Noto Sans"/>
                <w:sz w:val="22"/>
                <w:szCs w:val="22"/>
              </w:rPr>
              <w:t>Opinión</w:t>
            </w:r>
            <w:r w:rsidR="00BC4C6B">
              <w:rPr>
                <w:rFonts w:ascii="Noto Sans" w:hAnsi="Noto Sans" w:cs="Noto Sans"/>
                <w:sz w:val="22"/>
                <w:szCs w:val="22"/>
              </w:rPr>
              <w:t xml:space="preserve"> de </w:t>
            </w:r>
            <w:r w:rsidR="00DD58EC">
              <w:rPr>
                <w:rFonts w:ascii="Noto Sans" w:hAnsi="Noto Sans" w:cs="Noto Sans"/>
                <w:sz w:val="22"/>
                <w:szCs w:val="22"/>
              </w:rPr>
              <w:t xml:space="preserve">la SABG sobre el Informe de </w:t>
            </w:r>
            <w:r>
              <w:rPr>
                <w:rFonts w:ascii="Noto Sans" w:hAnsi="Noto Sans" w:cs="Noto Sans"/>
                <w:sz w:val="22"/>
                <w:szCs w:val="22"/>
              </w:rPr>
              <w:t>A</w:t>
            </w:r>
            <w:r w:rsidR="00DD58EC">
              <w:rPr>
                <w:rFonts w:ascii="Noto Sans" w:hAnsi="Noto Sans" w:cs="Noto Sans"/>
                <w:sz w:val="22"/>
                <w:szCs w:val="22"/>
              </w:rPr>
              <w:t>utoevaluación</w:t>
            </w:r>
          </w:p>
        </w:tc>
        <w:tc>
          <w:tcPr>
            <w:tcW w:w="1701" w:type="dxa"/>
            <w:vAlign w:val="center"/>
          </w:tcPr>
          <w:p w14:paraId="543E3643" w14:textId="17C47DBF" w:rsidR="00402CEB" w:rsidRPr="0034281E" w:rsidRDefault="00DD58EC" w:rsidP="00D9644D">
            <w:pPr>
              <w:jc w:val="center"/>
              <w:rPr>
                <w:rFonts w:ascii="Noto Sans" w:hAnsi="Noto Sans" w:cs="Noto Sans"/>
                <w:sz w:val="22"/>
                <w:szCs w:val="22"/>
              </w:rPr>
            </w:pPr>
            <w:r>
              <w:rPr>
                <w:rFonts w:ascii="Noto Sans" w:hAnsi="Noto Sans" w:cs="Noto Sans"/>
                <w:sz w:val="22"/>
                <w:szCs w:val="22"/>
              </w:rPr>
              <w:t>3</w:t>
            </w:r>
          </w:p>
        </w:tc>
        <w:tc>
          <w:tcPr>
            <w:tcW w:w="1701" w:type="dxa"/>
            <w:vAlign w:val="center"/>
          </w:tcPr>
          <w:p w14:paraId="3FCA937F" w14:textId="6818BBEF" w:rsidR="00402CEB" w:rsidRPr="0034281E" w:rsidRDefault="00DD58EC" w:rsidP="00D9644D">
            <w:pPr>
              <w:jc w:val="center"/>
              <w:rPr>
                <w:rFonts w:ascii="Noto Sans" w:hAnsi="Noto Sans" w:cs="Noto Sans"/>
                <w:sz w:val="22"/>
                <w:szCs w:val="22"/>
              </w:rPr>
            </w:pPr>
            <w:r>
              <w:rPr>
                <w:rFonts w:ascii="Noto Sans" w:hAnsi="Noto Sans" w:cs="Noto Sans"/>
                <w:sz w:val="22"/>
                <w:szCs w:val="22"/>
              </w:rPr>
              <w:t>3</w:t>
            </w:r>
          </w:p>
        </w:tc>
      </w:tr>
      <w:tr w:rsidR="00402CEB" w:rsidRPr="0034281E" w14:paraId="3861A0EF" w14:textId="0C5226D1" w:rsidTr="00D9644D">
        <w:tc>
          <w:tcPr>
            <w:tcW w:w="5383" w:type="dxa"/>
            <w:vAlign w:val="center"/>
          </w:tcPr>
          <w:p w14:paraId="783A275B" w14:textId="77777777" w:rsidR="00402CEB" w:rsidRDefault="00DD58EC" w:rsidP="00D9644D">
            <w:pPr>
              <w:jc w:val="center"/>
              <w:rPr>
                <w:rFonts w:ascii="Noto Sans" w:hAnsi="Noto Sans" w:cs="Noto Sans"/>
                <w:sz w:val="22"/>
                <w:szCs w:val="22"/>
              </w:rPr>
            </w:pPr>
            <w:r>
              <w:rPr>
                <w:rFonts w:ascii="Noto Sans" w:hAnsi="Noto Sans" w:cs="Noto Sans"/>
                <w:sz w:val="22"/>
                <w:szCs w:val="22"/>
              </w:rPr>
              <w:t>Recomendaciones del CEE</w:t>
            </w:r>
          </w:p>
          <w:p w14:paraId="366B7F71" w14:textId="0E2F059E" w:rsidR="0057723D" w:rsidRPr="0034281E" w:rsidRDefault="0057723D" w:rsidP="00D9644D">
            <w:pPr>
              <w:jc w:val="center"/>
              <w:rPr>
                <w:rFonts w:ascii="Noto Sans" w:hAnsi="Noto Sans" w:cs="Noto Sans"/>
                <w:sz w:val="22"/>
                <w:szCs w:val="22"/>
              </w:rPr>
            </w:pPr>
          </w:p>
        </w:tc>
        <w:tc>
          <w:tcPr>
            <w:tcW w:w="1701" w:type="dxa"/>
            <w:vAlign w:val="center"/>
          </w:tcPr>
          <w:p w14:paraId="5504E8BE" w14:textId="74F8D0BF" w:rsidR="00402CEB" w:rsidRPr="0034281E" w:rsidRDefault="00DD58EC" w:rsidP="00D9644D">
            <w:pPr>
              <w:jc w:val="center"/>
              <w:rPr>
                <w:rFonts w:ascii="Noto Sans" w:hAnsi="Noto Sans" w:cs="Noto Sans"/>
                <w:sz w:val="22"/>
                <w:szCs w:val="22"/>
              </w:rPr>
            </w:pPr>
            <w:r>
              <w:rPr>
                <w:rFonts w:ascii="Noto Sans" w:hAnsi="Noto Sans" w:cs="Noto Sans"/>
                <w:sz w:val="22"/>
                <w:szCs w:val="22"/>
              </w:rPr>
              <w:t>21</w:t>
            </w:r>
          </w:p>
        </w:tc>
        <w:tc>
          <w:tcPr>
            <w:tcW w:w="1701" w:type="dxa"/>
            <w:vAlign w:val="center"/>
          </w:tcPr>
          <w:p w14:paraId="46A7E8E8" w14:textId="5841E1A8" w:rsidR="00402CEB" w:rsidRPr="0034281E" w:rsidRDefault="005723C0" w:rsidP="00D9644D">
            <w:pPr>
              <w:jc w:val="center"/>
              <w:rPr>
                <w:rFonts w:ascii="Noto Sans" w:hAnsi="Noto Sans" w:cs="Noto Sans"/>
                <w:sz w:val="22"/>
                <w:szCs w:val="22"/>
              </w:rPr>
            </w:pPr>
            <w:r w:rsidRPr="005723C0">
              <w:rPr>
                <w:rFonts w:ascii="Noto Sans" w:hAnsi="Noto Sans" w:cs="Noto Sans"/>
                <w:sz w:val="22"/>
                <w:szCs w:val="22"/>
              </w:rPr>
              <w:t>21</w:t>
            </w:r>
          </w:p>
        </w:tc>
      </w:tr>
      <w:tr w:rsidR="00DD58EC" w:rsidRPr="00D45EDD" w14:paraId="1EADA048" w14:textId="77777777" w:rsidTr="00D9644D">
        <w:tc>
          <w:tcPr>
            <w:tcW w:w="5383" w:type="dxa"/>
            <w:vAlign w:val="center"/>
          </w:tcPr>
          <w:p w14:paraId="537B4854" w14:textId="1125C522" w:rsidR="00DD58EC" w:rsidRDefault="00DD58EC" w:rsidP="00D9644D">
            <w:pPr>
              <w:jc w:val="center"/>
              <w:rPr>
                <w:rFonts w:ascii="Noto Sans" w:hAnsi="Noto Sans" w:cs="Noto Sans"/>
                <w:b/>
                <w:bCs/>
                <w:sz w:val="22"/>
                <w:szCs w:val="22"/>
              </w:rPr>
            </w:pPr>
            <w:proofErr w:type="gramStart"/>
            <w:r w:rsidRPr="00D45EDD">
              <w:rPr>
                <w:rFonts w:ascii="Noto Sans" w:hAnsi="Noto Sans" w:cs="Noto Sans"/>
                <w:b/>
                <w:bCs/>
                <w:sz w:val="22"/>
                <w:szCs w:val="22"/>
              </w:rPr>
              <w:t>Total</w:t>
            </w:r>
            <w:proofErr w:type="gramEnd"/>
            <w:r w:rsidRPr="00D45EDD">
              <w:rPr>
                <w:rFonts w:ascii="Noto Sans" w:hAnsi="Noto Sans" w:cs="Noto Sans"/>
                <w:b/>
                <w:bCs/>
                <w:sz w:val="22"/>
                <w:szCs w:val="22"/>
              </w:rPr>
              <w:t xml:space="preserve"> primer semestre</w:t>
            </w:r>
            <w:r w:rsidR="0057723D">
              <w:rPr>
                <w:rFonts w:ascii="Noto Sans" w:hAnsi="Noto Sans" w:cs="Noto Sans"/>
                <w:b/>
                <w:bCs/>
                <w:sz w:val="22"/>
                <w:szCs w:val="22"/>
              </w:rPr>
              <w:t xml:space="preserve"> 2025</w:t>
            </w:r>
          </w:p>
          <w:p w14:paraId="7C074AA0" w14:textId="15847DE4" w:rsidR="0057723D" w:rsidRPr="00D45EDD" w:rsidRDefault="0057723D" w:rsidP="00D9644D">
            <w:pPr>
              <w:jc w:val="center"/>
              <w:rPr>
                <w:rFonts w:ascii="Noto Sans" w:hAnsi="Noto Sans" w:cs="Noto Sans"/>
                <w:b/>
                <w:bCs/>
                <w:sz w:val="22"/>
                <w:szCs w:val="22"/>
              </w:rPr>
            </w:pPr>
          </w:p>
        </w:tc>
        <w:tc>
          <w:tcPr>
            <w:tcW w:w="1701" w:type="dxa"/>
            <w:vAlign w:val="center"/>
          </w:tcPr>
          <w:p w14:paraId="3EC6DCB4" w14:textId="09F5EB58" w:rsidR="00DD58EC" w:rsidRPr="00D45EDD" w:rsidRDefault="00CA16CB" w:rsidP="00D9644D">
            <w:pPr>
              <w:jc w:val="center"/>
              <w:rPr>
                <w:rFonts w:ascii="Noto Sans" w:hAnsi="Noto Sans" w:cs="Noto Sans"/>
                <w:b/>
                <w:bCs/>
                <w:sz w:val="22"/>
                <w:szCs w:val="22"/>
              </w:rPr>
            </w:pPr>
            <w:r w:rsidRPr="00D45EDD">
              <w:rPr>
                <w:rFonts w:ascii="Noto Sans" w:hAnsi="Noto Sans" w:cs="Noto Sans"/>
                <w:b/>
                <w:bCs/>
                <w:sz w:val="22"/>
                <w:szCs w:val="22"/>
              </w:rPr>
              <w:t>27</w:t>
            </w:r>
          </w:p>
        </w:tc>
        <w:tc>
          <w:tcPr>
            <w:tcW w:w="1701" w:type="dxa"/>
            <w:vAlign w:val="center"/>
          </w:tcPr>
          <w:p w14:paraId="6E0DB38A" w14:textId="012EE7DE" w:rsidR="00DD58EC" w:rsidRPr="00D45EDD" w:rsidRDefault="005723C0" w:rsidP="00D9644D">
            <w:pPr>
              <w:jc w:val="center"/>
              <w:rPr>
                <w:rFonts w:ascii="Noto Sans" w:hAnsi="Noto Sans" w:cs="Noto Sans"/>
                <w:b/>
                <w:bCs/>
                <w:sz w:val="22"/>
                <w:szCs w:val="22"/>
              </w:rPr>
            </w:pPr>
            <w:r>
              <w:rPr>
                <w:rFonts w:ascii="Noto Sans" w:hAnsi="Noto Sans" w:cs="Noto Sans"/>
                <w:b/>
                <w:bCs/>
                <w:sz w:val="22"/>
                <w:szCs w:val="22"/>
              </w:rPr>
              <w:t>27</w:t>
            </w:r>
          </w:p>
        </w:tc>
      </w:tr>
    </w:tbl>
    <w:p w14:paraId="683E255C" w14:textId="77777777" w:rsidR="008E3302" w:rsidRDefault="008E3302" w:rsidP="00334B8B">
      <w:pPr>
        <w:ind w:left="708"/>
        <w:jc w:val="both"/>
        <w:rPr>
          <w:rFonts w:ascii="Noto Sans" w:hAnsi="Noto Sans" w:cs="Noto Sans"/>
        </w:rPr>
      </w:pPr>
    </w:p>
    <w:p w14:paraId="3D4DFBC5" w14:textId="6E68E06F" w:rsidR="007D633A" w:rsidRPr="00353B7D" w:rsidRDefault="001F3602" w:rsidP="00334B8B">
      <w:pPr>
        <w:ind w:left="708"/>
        <w:jc w:val="both"/>
        <w:rPr>
          <w:rFonts w:ascii="Noto Sans" w:hAnsi="Noto Sans" w:cs="Noto Sans"/>
          <w:sz w:val="22"/>
          <w:szCs w:val="22"/>
        </w:rPr>
      </w:pPr>
      <w:r w:rsidRPr="00353B7D">
        <w:rPr>
          <w:rFonts w:ascii="Noto Sans" w:hAnsi="Noto Sans" w:cs="Noto Sans"/>
          <w:sz w:val="22"/>
          <w:szCs w:val="22"/>
        </w:rPr>
        <w:t xml:space="preserve">Se anexan los oficios </w:t>
      </w:r>
      <w:r w:rsidR="00A76E14" w:rsidRPr="00353B7D">
        <w:rPr>
          <w:rFonts w:ascii="Noto Sans" w:hAnsi="Noto Sans" w:cs="Noto Sans"/>
          <w:sz w:val="22"/>
          <w:szCs w:val="22"/>
        </w:rPr>
        <w:t>223/DG</w:t>
      </w:r>
      <w:r w:rsidR="00EB23BF" w:rsidRPr="00353B7D">
        <w:rPr>
          <w:rFonts w:ascii="Noto Sans" w:hAnsi="Noto Sans" w:cs="Noto Sans"/>
          <w:sz w:val="22"/>
          <w:szCs w:val="22"/>
        </w:rPr>
        <w:t xml:space="preserve">PCMC/263/2025 y </w:t>
      </w:r>
      <w:r w:rsidR="009A6D85" w:rsidRPr="00353B7D">
        <w:rPr>
          <w:rFonts w:ascii="Noto Sans" w:hAnsi="Noto Sans" w:cs="Noto Sans"/>
          <w:sz w:val="22"/>
          <w:szCs w:val="22"/>
        </w:rPr>
        <w:t xml:space="preserve">223/DGPCMC/264/2025 que </w:t>
      </w:r>
      <w:r w:rsidR="00E8297D" w:rsidRPr="00353B7D">
        <w:rPr>
          <w:rFonts w:ascii="Noto Sans" w:hAnsi="Noto Sans" w:cs="Noto Sans"/>
          <w:sz w:val="22"/>
          <w:szCs w:val="22"/>
        </w:rPr>
        <w:t>informan a ECOSUR que quedan solventadas las Recomendaciones y Opinión realizadas por la SABG respectivamente a los Estados Financieros Dictaminados y al Informe de Autoevaluación</w:t>
      </w:r>
      <w:r w:rsidR="005723C0" w:rsidRPr="00353B7D">
        <w:rPr>
          <w:rFonts w:ascii="Noto Sans" w:hAnsi="Noto Sans" w:cs="Noto Sans"/>
          <w:sz w:val="22"/>
          <w:szCs w:val="22"/>
        </w:rPr>
        <w:t xml:space="preserve"> en el año 2024</w:t>
      </w:r>
      <w:r w:rsidR="00E8297D" w:rsidRPr="00353B7D">
        <w:rPr>
          <w:rFonts w:ascii="Noto Sans" w:hAnsi="Noto Sans" w:cs="Noto Sans"/>
          <w:sz w:val="22"/>
          <w:szCs w:val="22"/>
        </w:rPr>
        <w:t>.</w:t>
      </w:r>
    </w:p>
    <w:p w14:paraId="25DA77A9" w14:textId="77777777" w:rsidR="002870B3" w:rsidRPr="00353B7D" w:rsidRDefault="002870B3" w:rsidP="00334B8B">
      <w:pPr>
        <w:ind w:left="708"/>
        <w:jc w:val="both"/>
        <w:rPr>
          <w:rFonts w:ascii="Noto Sans" w:hAnsi="Noto Sans" w:cs="Noto Sans"/>
          <w:sz w:val="22"/>
          <w:szCs w:val="22"/>
        </w:rPr>
      </w:pPr>
    </w:p>
    <w:p w14:paraId="6C4CCB41" w14:textId="1406C570" w:rsidR="002870B3" w:rsidRDefault="002870B3" w:rsidP="00334B8B">
      <w:pPr>
        <w:ind w:left="708"/>
        <w:jc w:val="both"/>
        <w:rPr>
          <w:rFonts w:ascii="Noto Sans" w:hAnsi="Noto Sans" w:cs="Noto Sans"/>
          <w:sz w:val="22"/>
          <w:szCs w:val="22"/>
        </w:rPr>
      </w:pPr>
      <w:r w:rsidRPr="00353B7D">
        <w:rPr>
          <w:rFonts w:ascii="Noto Sans" w:hAnsi="Noto Sans" w:cs="Noto Sans"/>
          <w:sz w:val="22"/>
          <w:szCs w:val="22"/>
        </w:rPr>
        <w:t>Respecto al total de las recomendaciones/opiniones</w:t>
      </w:r>
      <w:r w:rsidR="001C0F44" w:rsidRPr="00353B7D">
        <w:rPr>
          <w:rFonts w:ascii="Noto Sans" w:hAnsi="Noto Sans" w:cs="Noto Sans"/>
          <w:sz w:val="22"/>
          <w:szCs w:val="22"/>
        </w:rPr>
        <w:t xml:space="preserve">, se presentan las que se cumplieron </w:t>
      </w:r>
      <w:r w:rsidR="00221A33" w:rsidRPr="00353B7D">
        <w:rPr>
          <w:rFonts w:ascii="Noto Sans" w:hAnsi="Noto Sans" w:cs="Noto Sans"/>
          <w:sz w:val="22"/>
          <w:szCs w:val="22"/>
        </w:rPr>
        <w:t>a la fecha</w:t>
      </w:r>
      <w:r w:rsidR="008C2D7F" w:rsidRPr="00353B7D">
        <w:rPr>
          <w:rFonts w:ascii="Noto Sans" w:hAnsi="Noto Sans" w:cs="Noto Sans"/>
          <w:sz w:val="22"/>
          <w:szCs w:val="22"/>
        </w:rPr>
        <w:t>.</w:t>
      </w:r>
    </w:p>
    <w:p w14:paraId="054D6D43" w14:textId="77777777" w:rsidR="00D9644D" w:rsidRDefault="00D9644D" w:rsidP="00334B8B">
      <w:pPr>
        <w:ind w:left="708"/>
        <w:jc w:val="both"/>
        <w:rPr>
          <w:rFonts w:ascii="Noto Sans" w:hAnsi="Noto Sans" w:cs="Noto Sans"/>
          <w:sz w:val="22"/>
          <w:szCs w:val="22"/>
        </w:rPr>
      </w:pPr>
    </w:p>
    <w:p w14:paraId="79923827" w14:textId="77777777" w:rsidR="00D9644D" w:rsidRDefault="00D9644D" w:rsidP="00334B8B">
      <w:pPr>
        <w:ind w:left="708"/>
        <w:jc w:val="both"/>
        <w:rPr>
          <w:rFonts w:ascii="Noto Sans" w:hAnsi="Noto Sans" w:cs="Noto Sans"/>
          <w:sz w:val="22"/>
          <w:szCs w:val="22"/>
        </w:rPr>
      </w:pPr>
    </w:p>
    <w:tbl>
      <w:tblPr>
        <w:tblStyle w:val="Tablaconcuadrcula"/>
        <w:tblW w:w="0" w:type="auto"/>
        <w:tblInd w:w="708" w:type="dxa"/>
        <w:tblLook w:val="04A0" w:firstRow="1" w:lastRow="0" w:firstColumn="1" w:lastColumn="0" w:noHBand="0" w:noVBand="1"/>
      </w:tblPr>
      <w:tblGrid>
        <w:gridCol w:w="2339"/>
        <w:gridCol w:w="2112"/>
        <w:gridCol w:w="2066"/>
        <w:gridCol w:w="2262"/>
      </w:tblGrid>
      <w:tr w:rsidR="00075929" w:rsidRPr="00353B7D" w14:paraId="37DFD4FD" w14:textId="3C465B17" w:rsidTr="00075929">
        <w:tc>
          <w:tcPr>
            <w:tcW w:w="2339" w:type="dxa"/>
          </w:tcPr>
          <w:p w14:paraId="254701A2" w14:textId="2BC5C830" w:rsidR="00075929" w:rsidRPr="00353B7D" w:rsidRDefault="00075929" w:rsidP="00A60C77">
            <w:pPr>
              <w:jc w:val="center"/>
              <w:rPr>
                <w:rFonts w:ascii="Noto Sans" w:hAnsi="Noto Sans" w:cs="Noto Sans"/>
                <w:b/>
                <w:bCs/>
                <w:sz w:val="20"/>
                <w:szCs w:val="20"/>
              </w:rPr>
            </w:pPr>
            <w:r w:rsidRPr="00353B7D">
              <w:rPr>
                <w:rFonts w:ascii="Noto Sans" w:hAnsi="Noto Sans" w:cs="Noto Sans"/>
                <w:b/>
                <w:bCs/>
                <w:sz w:val="20"/>
                <w:szCs w:val="20"/>
              </w:rPr>
              <w:lastRenderedPageBreak/>
              <w:t>Acuerdos</w:t>
            </w:r>
          </w:p>
        </w:tc>
        <w:tc>
          <w:tcPr>
            <w:tcW w:w="2112" w:type="dxa"/>
          </w:tcPr>
          <w:p w14:paraId="301662DE" w14:textId="3325FBBD" w:rsidR="00075929" w:rsidRPr="00353B7D" w:rsidRDefault="00075929" w:rsidP="00A60C77">
            <w:pPr>
              <w:jc w:val="center"/>
              <w:rPr>
                <w:rFonts w:ascii="Noto Sans" w:hAnsi="Noto Sans" w:cs="Noto Sans"/>
                <w:b/>
                <w:bCs/>
                <w:sz w:val="20"/>
                <w:szCs w:val="20"/>
              </w:rPr>
            </w:pPr>
            <w:r w:rsidRPr="00353B7D">
              <w:rPr>
                <w:rFonts w:ascii="Noto Sans" w:hAnsi="Noto Sans" w:cs="Noto Sans"/>
                <w:b/>
                <w:bCs/>
                <w:sz w:val="20"/>
                <w:szCs w:val="20"/>
              </w:rPr>
              <w:t>Total</w:t>
            </w:r>
          </w:p>
        </w:tc>
        <w:tc>
          <w:tcPr>
            <w:tcW w:w="2066" w:type="dxa"/>
          </w:tcPr>
          <w:p w14:paraId="65DBAF45" w14:textId="4C41B2AD" w:rsidR="00075929" w:rsidRPr="00353B7D" w:rsidRDefault="00075929" w:rsidP="00A60C77">
            <w:pPr>
              <w:jc w:val="center"/>
              <w:rPr>
                <w:rFonts w:ascii="Noto Sans" w:hAnsi="Noto Sans" w:cs="Noto Sans"/>
                <w:b/>
                <w:bCs/>
                <w:sz w:val="20"/>
                <w:szCs w:val="20"/>
              </w:rPr>
            </w:pPr>
            <w:proofErr w:type="gramStart"/>
            <w:r w:rsidRPr="00353B7D">
              <w:rPr>
                <w:rFonts w:ascii="Noto Sans" w:hAnsi="Noto Sans" w:cs="Noto Sans"/>
                <w:b/>
                <w:bCs/>
                <w:sz w:val="20"/>
                <w:szCs w:val="20"/>
              </w:rPr>
              <w:t>Total</w:t>
            </w:r>
            <w:proofErr w:type="gramEnd"/>
            <w:r w:rsidRPr="00353B7D">
              <w:rPr>
                <w:rFonts w:ascii="Noto Sans" w:hAnsi="Noto Sans" w:cs="Noto Sans"/>
                <w:b/>
                <w:bCs/>
                <w:sz w:val="20"/>
                <w:szCs w:val="20"/>
              </w:rPr>
              <w:t xml:space="preserve"> cumplidos</w:t>
            </w:r>
          </w:p>
        </w:tc>
        <w:tc>
          <w:tcPr>
            <w:tcW w:w="2262" w:type="dxa"/>
          </w:tcPr>
          <w:p w14:paraId="722167A1" w14:textId="4221C9F9" w:rsidR="00075929" w:rsidRPr="00353B7D" w:rsidRDefault="00075929" w:rsidP="00A60C77">
            <w:pPr>
              <w:jc w:val="center"/>
              <w:rPr>
                <w:rFonts w:ascii="Noto Sans" w:hAnsi="Noto Sans" w:cs="Noto Sans"/>
                <w:b/>
                <w:bCs/>
                <w:sz w:val="20"/>
                <w:szCs w:val="20"/>
              </w:rPr>
            </w:pPr>
            <w:r w:rsidRPr="00353B7D">
              <w:rPr>
                <w:rFonts w:ascii="Noto Sans" w:hAnsi="Noto Sans" w:cs="Noto Sans"/>
                <w:b/>
                <w:bCs/>
                <w:sz w:val="20"/>
                <w:szCs w:val="20"/>
              </w:rPr>
              <w:t>% avances</w:t>
            </w:r>
          </w:p>
        </w:tc>
      </w:tr>
      <w:tr w:rsidR="00075929" w:rsidRPr="00353B7D" w14:paraId="5E15673C" w14:textId="3F73CE40" w:rsidTr="00075929">
        <w:tc>
          <w:tcPr>
            <w:tcW w:w="2339" w:type="dxa"/>
          </w:tcPr>
          <w:p w14:paraId="20FACF78" w14:textId="78C13194" w:rsidR="00075929" w:rsidRPr="00353B7D" w:rsidRDefault="00075929" w:rsidP="00334B8B">
            <w:pPr>
              <w:jc w:val="both"/>
              <w:rPr>
                <w:rFonts w:ascii="Noto Sans" w:hAnsi="Noto Sans" w:cs="Noto Sans"/>
                <w:sz w:val="20"/>
                <w:szCs w:val="20"/>
              </w:rPr>
            </w:pPr>
            <w:r w:rsidRPr="00353B7D">
              <w:rPr>
                <w:rFonts w:ascii="Noto Sans" w:hAnsi="Noto Sans" w:cs="Noto Sans"/>
                <w:sz w:val="20"/>
                <w:szCs w:val="20"/>
              </w:rPr>
              <w:t>Órgano del Gobierno</w:t>
            </w:r>
          </w:p>
        </w:tc>
        <w:tc>
          <w:tcPr>
            <w:tcW w:w="2112" w:type="dxa"/>
          </w:tcPr>
          <w:p w14:paraId="50F5F51A" w14:textId="2697EB76" w:rsidR="00075929" w:rsidRPr="00353B7D" w:rsidRDefault="00075929" w:rsidP="0003039A">
            <w:pPr>
              <w:jc w:val="center"/>
              <w:rPr>
                <w:rFonts w:ascii="Noto Sans" w:hAnsi="Noto Sans" w:cs="Noto Sans"/>
                <w:sz w:val="20"/>
                <w:szCs w:val="20"/>
              </w:rPr>
            </w:pPr>
            <w:r w:rsidRPr="00353B7D">
              <w:rPr>
                <w:rFonts w:ascii="Noto Sans" w:hAnsi="Noto Sans" w:cs="Noto Sans"/>
                <w:sz w:val="20"/>
                <w:szCs w:val="20"/>
              </w:rPr>
              <w:t>4</w:t>
            </w:r>
          </w:p>
        </w:tc>
        <w:tc>
          <w:tcPr>
            <w:tcW w:w="2066" w:type="dxa"/>
          </w:tcPr>
          <w:p w14:paraId="06C8BD5E" w14:textId="7682029B" w:rsidR="00075929" w:rsidRPr="00353B7D" w:rsidRDefault="00075929" w:rsidP="0003039A">
            <w:pPr>
              <w:jc w:val="center"/>
              <w:rPr>
                <w:rFonts w:ascii="Noto Sans" w:hAnsi="Noto Sans" w:cs="Noto Sans"/>
                <w:color w:val="EE0000"/>
                <w:sz w:val="20"/>
                <w:szCs w:val="20"/>
              </w:rPr>
            </w:pPr>
            <w:r w:rsidRPr="00353B7D">
              <w:rPr>
                <w:rFonts w:ascii="Noto Sans" w:hAnsi="Noto Sans" w:cs="Noto Sans"/>
                <w:sz w:val="20"/>
                <w:szCs w:val="20"/>
              </w:rPr>
              <w:t>2</w:t>
            </w:r>
          </w:p>
        </w:tc>
        <w:tc>
          <w:tcPr>
            <w:tcW w:w="2262" w:type="dxa"/>
          </w:tcPr>
          <w:p w14:paraId="58BC515A" w14:textId="22F124BE" w:rsidR="00075929" w:rsidRPr="00353B7D" w:rsidRDefault="00715263" w:rsidP="0003039A">
            <w:pPr>
              <w:jc w:val="center"/>
              <w:rPr>
                <w:rFonts w:ascii="Noto Sans" w:hAnsi="Noto Sans" w:cs="Noto Sans"/>
                <w:sz w:val="20"/>
                <w:szCs w:val="20"/>
              </w:rPr>
            </w:pPr>
            <w:r w:rsidRPr="00353B7D">
              <w:rPr>
                <w:rFonts w:ascii="Noto Sans" w:hAnsi="Noto Sans" w:cs="Noto Sans"/>
                <w:sz w:val="20"/>
                <w:szCs w:val="20"/>
              </w:rPr>
              <w:t>50%</w:t>
            </w:r>
          </w:p>
        </w:tc>
      </w:tr>
      <w:tr w:rsidR="00075929" w:rsidRPr="00353B7D" w14:paraId="4578431B" w14:textId="193082D5" w:rsidTr="00075929">
        <w:tc>
          <w:tcPr>
            <w:tcW w:w="2339" w:type="dxa"/>
          </w:tcPr>
          <w:p w14:paraId="76264974" w14:textId="25FD7049" w:rsidR="00075929" w:rsidRPr="00353B7D" w:rsidRDefault="00075929" w:rsidP="00334B8B">
            <w:pPr>
              <w:jc w:val="both"/>
              <w:rPr>
                <w:rFonts w:ascii="Noto Sans" w:hAnsi="Noto Sans" w:cs="Noto Sans"/>
                <w:sz w:val="20"/>
                <w:szCs w:val="20"/>
              </w:rPr>
            </w:pPr>
            <w:r w:rsidRPr="00353B7D">
              <w:rPr>
                <w:rFonts w:ascii="Noto Sans" w:hAnsi="Noto Sans" w:cs="Noto Sans"/>
                <w:sz w:val="20"/>
                <w:szCs w:val="20"/>
              </w:rPr>
              <w:t>SABG</w:t>
            </w:r>
          </w:p>
        </w:tc>
        <w:tc>
          <w:tcPr>
            <w:tcW w:w="2112" w:type="dxa"/>
          </w:tcPr>
          <w:p w14:paraId="35DCCD1E" w14:textId="775CF023" w:rsidR="00075929" w:rsidRPr="00353B7D" w:rsidRDefault="00075929" w:rsidP="0003039A">
            <w:pPr>
              <w:jc w:val="center"/>
              <w:rPr>
                <w:rFonts w:ascii="Noto Sans" w:hAnsi="Noto Sans" w:cs="Noto Sans"/>
                <w:sz w:val="20"/>
                <w:szCs w:val="20"/>
              </w:rPr>
            </w:pPr>
            <w:r w:rsidRPr="00353B7D">
              <w:rPr>
                <w:rFonts w:ascii="Noto Sans" w:hAnsi="Noto Sans" w:cs="Noto Sans"/>
                <w:sz w:val="20"/>
                <w:szCs w:val="20"/>
              </w:rPr>
              <w:t>18</w:t>
            </w:r>
          </w:p>
        </w:tc>
        <w:tc>
          <w:tcPr>
            <w:tcW w:w="2066" w:type="dxa"/>
          </w:tcPr>
          <w:p w14:paraId="72B5D9FA" w14:textId="34A075E8" w:rsidR="00075929" w:rsidRPr="00353B7D" w:rsidRDefault="00075929" w:rsidP="0003039A">
            <w:pPr>
              <w:jc w:val="center"/>
              <w:rPr>
                <w:rFonts w:ascii="Noto Sans" w:hAnsi="Noto Sans" w:cs="Noto Sans"/>
                <w:sz w:val="20"/>
                <w:szCs w:val="20"/>
              </w:rPr>
            </w:pPr>
            <w:r w:rsidRPr="00353B7D">
              <w:rPr>
                <w:rFonts w:ascii="Noto Sans" w:hAnsi="Noto Sans" w:cs="Noto Sans"/>
                <w:sz w:val="20"/>
                <w:szCs w:val="20"/>
              </w:rPr>
              <w:t>1</w:t>
            </w:r>
            <w:r w:rsidR="000B065A" w:rsidRPr="00353B7D">
              <w:rPr>
                <w:rFonts w:ascii="Noto Sans" w:hAnsi="Noto Sans" w:cs="Noto Sans"/>
                <w:sz w:val="20"/>
                <w:szCs w:val="20"/>
              </w:rPr>
              <w:t>7</w:t>
            </w:r>
          </w:p>
        </w:tc>
        <w:tc>
          <w:tcPr>
            <w:tcW w:w="2262" w:type="dxa"/>
          </w:tcPr>
          <w:p w14:paraId="7517DB07" w14:textId="57C3C8F0" w:rsidR="00075929" w:rsidRPr="00353B7D" w:rsidRDefault="00CD44A6" w:rsidP="0003039A">
            <w:pPr>
              <w:jc w:val="center"/>
              <w:rPr>
                <w:rFonts w:ascii="Noto Sans" w:hAnsi="Noto Sans" w:cs="Noto Sans"/>
                <w:sz w:val="20"/>
                <w:szCs w:val="20"/>
              </w:rPr>
            </w:pPr>
            <w:r w:rsidRPr="00353B7D">
              <w:rPr>
                <w:rFonts w:ascii="Noto Sans" w:hAnsi="Noto Sans" w:cs="Noto Sans"/>
                <w:sz w:val="20"/>
                <w:szCs w:val="20"/>
              </w:rPr>
              <w:t>94.4%</w:t>
            </w:r>
          </w:p>
        </w:tc>
      </w:tr>
      <w:tr w:rsidR="00075929" w:rsidRPr="00353B7D" w14:paraId="3D1CACB0" w14:textId="5FAC61EE" w:rsidTr="00075929">
        <w:tc>
          <w:tcPr>
            <w:tcW w:w="2339" w:type="dxa"/>
          </w:tcPr>
          <w:p w14:paraId="31B3433E" w14:textId="504DFA8D" w:rsidR="00075929" w:rsidRPr="00353B7D" w:rsidRDefault="00075929" w:rsidP="00334B8B">
            <w:pPr>
              <w:jc w:val="both"/>
              <w:rPr>
                <w:rFonts w:ascii="Noto Sans" w:hAnsi="Noto Sans" w:cs="Noto Sans"/>
                <w:sz w:val="20"/>
                <w:szCs w:val="20"/>
              </w:rPr>
            </w:pPr>
            <w:r w:rsidRPr="00353B7D">
              <w:rPr>
                <w:rFonts w:ascii="Noto Sans" w:hAnsi="Noto Sans" w:cs="Noto Sans"/>
                <w:sz w:val="20"/>
                <w:szCs w:val="20"/>
              </w:rPr>
              <w:t>CEE</w:t>
            </w:r>
          </w:p>
        </w:tc>
        <w:tc>
          <w:tcPr>
            <w:tcW w:w="2112" w:type="dxa"/>
          </w:tcPr>
          <w:p w14:paraId="45277299" w14:textId="32F045F5" w:rsidR="00075929" w:rsidRPr="00353B7D" w:rsidRDefault="00075929" w:rsidP="0003039A">
            <w:pPr>
              <w:jc w:val="center"/>
              <w:rPr>
                <w:rFonts w:ascii="Noto Sans" w:hAnsi="Noto Sans" w:cs="Noto Sans"/>
                <w:sz w:val="20"/>
                <w:szCs w:val="20"/>
              </w:rPr>
            </w:pPr>
            <w:r w:rsidRPr="00353B7D">
              <w:rPr>
                <w:rFonts w:ascii="Noto Sans" w:hAnsi="Noto Sans" w:cs="Noto Sans"/>
                <w:sz w:val="20"/>
                <w:szCs w:val="20"/>
              </w:rPr>
              <w:t>29</w:t>
            </w:r>
          </w:p>
        </w:tc>
        <w:tc>
          <w:tcPr>
            <w:tcW w:w="2066" w:type="dxa"/>
          </w:tcPr>
          <w:p w14:paraId="15641F97" w14:textId="10166AC6" w:rsidR="00075929" w:rsidRPr="00353B7D" w:rsidRDefault="00F95D61" w:rsidP="0003039A">
            <w:pPr>
              <w:jc w:val="center"/>
              <w:rPr>
                <w:rFonts w:ascii="Noto Sans" w:hAnsi="Noto Sans" w:cs="Noto Sans"/>
                <w:sz w:val="20"/>
                <w:szCs w:val="20"/>
              </w:rPr>
            </w:pPr>
            <w:r w:rsidRPr="00353B7D">
              <w:rPr>
                <w:rFonts w:ascii="Noto Sans" w:hAnsi="Noto Sans" w:cs="Noto Sans"/>
                <w:sz w:val="20"/>
                <w:szCs w:val="20"/>
              </w:rPr>
              <w:t>29</w:t>
            </w:r>
          </w:p>
        </w:tc>
        <w:tc>
          <w:tcPr>
            <w:tcW w:w="2262" w:type="dxa"/>
          </w:tcPr>
          <w:p w14:paraId="7335DE5F" w14:textId="01EF94D9" w:rsidR="00075929" w:rsidRPr="00353B7D" w:rsidRDefault="00F95D61" w:rsidP="0003039A">
            <w:pPr>
              <w:jc w:val="center"/>
              <w:rPr>
                <w:rFonts w:ascii="Noto Sans" w:hAnsi="Noto Sans" w:cs="Noto Sans"/>
                <w:sz w:val="20"/>
                <w:szCs w:val="20"/>
              </w:rPr>
            </w:pPr>
            <w:r w:rsidRPr="00353B7D">
              <w:rPr>
                <w:rFonts w:ascii="Noto Sans" w:hAnsi="Noto Sans" w:cs="Noto Sans"/>
                <w:sz w:val="20"/>
                <w:szCs w:val="20"/>
              </w:rPr>
              <w:t>100%</w:t>
            </w:r>
          </w:p>
        </w:tc>
      </w:tr>
      <w:tr w:rsidR="00075929" w:rsidRPr="00353B7D" w14:paraId="588C49EB" w14:textId="03647899" w:rsidTr="00075929">
        <w:tc>
          <w:tcPr>
            <w:tcW w:w="2339" w:type="dxa"/>
          </w:tcPr>
          <w:p w14:paraId="52E8AD94" w14:textId="253EB7BD" w:rsidR="00075929" w:rsidRPr="00353B7D" w:rsidRDefault="00075929" w:rsidP="00334B8B">
            <w:pPr>
              <w:jc w:val="both"/>
              <w:rPr>
                <w:rFonts w:ascii="Noto Sans" w:hAnsi="Noto Sans" w:cs="Noto Sans"/>
                <w:b/>
                <w:bCs/>
                <w:sz w:val="20"/>
                <w:szCs w:val="20"/>
              </w:rPr>
            </w:pPr>
            <w:r w:rsidRPr="00353B7D">
              <w:rPr>
                <w:rFonts w:ascii="Noto Sans" w:hAnsi="Noto Sans" w:cs="Noto Sans"/>
                <w:b/>
                <w:bCs/>
                <w:sz w:val="20"/>
                <w:szCs w:val="20"/>
              </w:rPr>
              <w:t>TOTAL</w:t>
            </w:r>
          </w:p>
        </w:tc>
        <w:tc>
          <w:tcPr>
            <w:tcW w:w="2112" w:type="dxa"/>
          </w:tcPr>
          <w:p w14:paraId="4357E5DA" w14:textId="33CF7105" w:rsidR="00075929" w:rsidRPr="00353B7D" w:rsidRDefault="00075929" w:rsidP="0003039A">
            <w:pPr>
              <w:jc w:val="center"/>
              <w:rPr>
                <w:rFonts w:ascii="Noto Sans" w:hAnsi="Noto Sans" w:cs="Noto Sans"/>
                <w:b/>
                <w:bCs/>
                <w:sz w:val="20"/>
                <w:szCs w:val="20"/>
              </w:rPr>
            </w:pPr>
            <w:r w:rsidRPr="00353B7D">
              <w:rPr>
                <w:rFonts w:ascii="Noto Sans" w:hAnsi="Noto Sans" w:cs="Noto Sans"/>
                <w:b/>
                <w:bCs/>
                <w:sz w:val="20"/>
                <w:szCs w:val="20"/>
              </w:rPr>
              <w:t>51</w:t>
            </w:r>
          </w:p>
        </w:tc>
        <w:tc>
          <w:tcPr>
            <w:tcW w:w="2066" w:type="dxa"/>
          </w:tcPr>
          <w:p w14:paraId="1E19A2EE" w14:textId="3387926C" w:rsidR="00075929" w:rsidRPr="00353B7D" w:rsidRDefault="002A5154" w:rsidP="0003039A">
            <w:pPr>
              <w:jc w:val="center"/>
              <w:rPr>
                <w:rFonts w:ascii="Noto Sans" w:hAnsi="Noto Sans" w:cs="Noto Sans"/>
                <w:b/>
                <w:bCs/>
                <w:sz w:val="20"/>
                <w:szCs w:val="20"/>
              </w:rPr>
            </w:pPr>
            <w:r w:rsidRPr="00353B7D">
              <w:rPr>
                <w:rFonts w:ascii="Noto Sans" w:hAnsi="Noto Sans" w:cs="Noto Sans"/>
                <w:b/>
                <w:bCs/>
                <w:sz w:val="20"/>
                <w:szCs w:val="20"/>
              </w:rPr>
              <w:t>4</w:t>
            </w:r>
            <w:r w:rsidR="00106103" w:rsidRPr="00353B7D">
              <w:rPr>
                <w:rFonts w:ascii="Noto Sans" w:hAnsi="Noto Sans" w:cs="Noto Sans"/>
                <w:b/>
                <w:bCs/>
                <w:sz w:val="20"/>
                <w:szCs w:val="20"/>
              </w:rPr>
              <w:t>8</w:t>
            </w:r>
          </w:p>
        </w:tc>
        <w:tc>
          <w:tcPr>
            <w:tcW w:w="2262" w:type="dxa"/>
          </w:tcPr>
          <w:p w14:paraId="40733862" w14:textId="6EDBF85E" w:rsidR="00075929" w:rsidRPr="00353B7D" w:rsidRDefault="002A5154" w:rsidP="0003039A">
            <w:pPr>
              <w:jc w:val="center"/>
              <w:rPr>
                <w:rFonts w:ascii="Noto Sans" w:hAnsi="Noto Sans" w:cs="Noto Sans"/>
                <w:b/>
                <w:bCs/>
                <w:sz w:val="20"/>
                <w:szCs w:val="20"/>
              </w:rPr>
            </w:pPr>
            <w:r w:rsidRPr="00353B7D">
              <w:rPr>
                <w:rFonts w:ascii="Noto Sans" w:hAnsi="Noto Sans" w:cs="Noto Sans"/>
                <w:b/>
                <w:bCs/>
                <w:sz w:val="20"/>
                <w:szCs w:val="20"/>
              </w:rPr>
              <w:t>94.1%</w:t>
            </w:r>
          </w:p>
        </w:tc>
      </w:tr>
    </w:tbl>
    <w:p w14:paraId="7F7F40B3" w14:textId="77777777" w:rsidR="00035BF6" w:rsidRDefault="00035BF6" w:rsidP="00334B8B">
      <w:pPr>
        <w:ind w:left="708"/>
        <w:jc w:val="both"/>
        <w:rPr>
          <w:rFonts w:ascii="Noto Sans" w:hAnsi="Noto Sans" w:cs="Noto Sans"/>
        </w:rPr>
      </w:pPr>
    </w:p>
    <w:p w14:paraId="7205E43C" w14:textId="27F307FE" w:rsidR="002A5154" w:rsidRDefault="002A5154" w:rsidP="00334B8B">
      <w:pPr>
        <w:ind w:left="708"/>
        <w:jc w:val="both"/>
        <w:rPr>
          <w:rFonts w:ascii="Noto Sans" w:hAnsi="Noto Sans" w:cs="Noto Sans"/>
        </w:rPr>
      </w:pPr>
      <w:r w:rsidRPr="00AF33CE">
        <w:rPr>
          <w:rFonts w:ascii="Noto Sans" w:hAnsi="Noto Sans" w:cs="Noto Sans"/>
          <w:b/>
          <w:bCs/>
        </w:rPr>
        <w:t>Acuerdos con avances de cumplimiento</w:t>
      </w:r>
      <w:r w:rsidR="00D9644D">
        <w:rPr>
          <w:rFonts w:ascii="Noto Sans" w:hAnsi="Noto Sans" w:cs="Noto Sans"/>
          <w:b/>
          <w:bCs/>
        </w:rPr>
        <w:t xml:space="preserve"> (3)</w:t>
      </w:r>
    </w:p>
    <w:p w14:paraId="79E6BCE2" w14:textId="77777777" w:rsidR="00AF3AB1" w:rsidRDefault="00AF3AB1" w:rsidP="00E91532">
      <w:pPr>
        <w:ind w:left="708"/>
        <w:jc w:val="both"/>
        <w:rPr>
          <w:rFonts w:ascii="Noto Sans" w:hAnsi="Noto Sans" w:cs="Noto Sans"/>
        </w:rPr>
      </w:pPr>
    </w:p>
    <w:p w14:paraId="714BB963" w14:textId="5C490F8F" w:rsidR="002A5154" w:rsidRPr="006E0898" w:rsidRDefault="00A766C9" w:rsidP="00E91532">
      <w:pPr>
        <w:ind w:left="708"/>
        <w:jc w:val="both"/>
        <w:rPr>
          <w:rFonts w:ascii="Noto Sans" w:hAnsi="Noto Sans" w:cs="Noto Sans"/>
          <w:sz w:val="22"/>
          <w:szCs w:val="22"/>
        </w:rPr>
      </w:pPr>
      <w:r w:rsidRPr="006E0898">
        <w:rPr>
          <w:rFonts w:ascii="Noto Sans" w:hAnsi="Noto Sans" w:cs="Noto Sans"/>
          <w:sz w:val="22"/>
          <w:szCs w:val="22"/>
        </w:rPr>
        <w:t>S-JG-O-I-20-12</w:t>
      </w:r>
      <w:r w:rsidR="00AF33CE" w:rsidRPr="006E0898">
        <w:rPr>
          <w:rFonts w:ascii="Noto Sans" w:hAnsi="Noto Sans" w:cs="Noto Sans"/>
          <w:sz w:val="22"/>
          <w:szCs w:val="22"/>
        </w:rPr>
        <w:t>. ODG</w:t>
      </w:r>
    </w:p>
    <w:tbl>
      <w:tblPr>
        <w:tblStyle w:val="Tablaconcuadrcula"/>
        <w:tblW w:w="8926" w:type="dxa"/>
        <w:tblInd w:w="708" w:type="dxa"/>
        <w:tblLook w:val="04A0" w:firstRow="1" w:lastRow="0" w:firstColumn="1" w:lastColumn="0" w:noHBand="0" w:noVBand="1"/>
      </w:tblPr>
      <w:tblGrid>
        <w:gridCol w:w="3398"/>
        <w:gridCol w:w="4557"/>
        <w:gridCol w:w="971"/>
      </w:tblGrid>
      <w:tr w:rsidR="00AF3AB1" w:rsidRPr="00353B7D" w14:paraId="4AB2B5F3" w14:textId="37A39A5D" w:rsidTr="00735A57">
        <w:tc>
          <w:tcPr>
            <w:tcW w:w="3398" w:type="dxa"/>
          </w:tcPr>
          <w:p w14:paraId="6BA2B89C" w14:textId="4A7D21FB" w:rsidR="00AF3AB1" w:rsidRPr="00353B7D" w:rsidRDefault="00AF3AB1" w:rsidP="00AF3AB1">
            <w:pPr>
              <w:jc w:val="center"/>
              <w:rPr>
                <w:rFonts w:ascii="Noto Sans" w:hAnsi="Noto Sans" w:cs="Noto Sans"/>
                <w:sz w:val="20"/>
                <w:szCs w:val="20"/>
              </w:rPr>
            </w:pPr>
            <w:r w:rsidRPr="00353B7D">
              <w:rPr>
                <w:rFonts w:ascii="Noto Sans" w:hAnsi="Noto Sans" w:cs="Noto Sans"/>
                <w:sz w:val="20"/>
                <w:szCs w:val="20"/>
              </w:rPr>
              <w:t>Descripción</w:t>
            </w:r>
          </w:p>
        </w:tc>
        <w:tc>
          <w:tcPr>
            <w:tcW w:w="4557" w:type="dxa"/>
          </w:tcPr>
          <w:p w14:paraId="5C913BDF" w14:textId="071C6E26" w:rsidR="00AF3AB1" w:rsidRPr="00353B7D" w:rsidRDefault="00AF3AB1" w:rsidP="00AF3AB1">
            <w:pPr>
              <w:jc w:val="center"/>
              <w:rPr>
                <w:rFonts w:ascii="Noto Sans" w:hAnsi="Noto Sans" w:cs="Noto Sans"/>
                <w:sz w:val="20"/>
                <w:szCs w:val="20"/>
              </w:rPr>
            </w:pPr>
            <w:r w:rsidRPr="00353B7D">
              <w:rPr>
                <w:rFonts w:ascii="Noto Sans" w:hAnsi="Noto Sans" w:cs="Noto Sans"/>
                <w:sz w:val="20"/>
                <w:szCs w:val="20"/>
              </w:rPr>
              <w:t>Avances</w:t>
            </w:r>
          </w:p>
        </w:tc>
        <w:tc>
          <w:tcPr>
            <w:tcW w:w="971" w:type="dxa"/>
          </w:tcPr>
          <w:p w14:paraId="1A65A9DE" w14:textId="0C757130" w:rsidR="00AF3AB1" w:rsidRPr="00353B7D" w:rsidRDefault="00AF3AB1" w:rsidP="00AF3AB1">
            <w:pPr>
              <w:jc w:val="center"/>
              <w:rPr>
                <w:rFonts w:ascii="Noto Sans" w:hAnsi="Noto Sans" w:cs="Noto Sans"/>
                <w:sz w:val="20"/>
                <w:szCs w:val="20"/>
              </w:rPr>
            </w:pPr>
            <w:r w:rsidRPr="00353B7D">
              <w:rPr>
                <w:rFonts w:ascii="Noto Sans" w:hAnsi="Noto Sans" w:cs="Noto Sans"/>
                <w:sz w:val="20"/>
                <w:szCs w:val="20"/>
              </w:rPr>
              <w:t>% avances</w:t>
            </w:r>
          </w:p>
        </w:tc>
      </w:tr>
      <w:tr w:rsidR="00AF3AB1" w:rsidRPr="00353B7D" w14:paraId="3933D489" w14:textId="6BF8A5AB" w:rsidTr="00735A57">
        <w:tc>
          <w:tcPr>
            <w:tcW w:w="3398" w:type="dxa"/>
          </w:tcPr>
          <w:p w14:paraId="44FB003F" w14:textId="233D4107" w:rsidR="00AF3AB1" w:rsidRPr="00353B7D" w:rsidRDefault="00AF3AB1" w:rsidP="00E91532">
            <w:pPr>
              <w:jc w:val="both"/>
              <w:rPr>
                <w:rFonts w:ascii="Noto Sans" w:hAnsi="Noto Sans" w:cs="Noto Sans"/>
                <w:sz w:val="20"/>
                <w:szCs w:val="20"/>
              </w:rPr>
            </w:pPr>
            <w:r w:rsidRPr="00353B7D">
              <w:rPr>
                <w:rFonts w:ascii="Noto Sans" w:hAnsi="Noto Sans" w:cs="Noto Sans"/>
                <w:sz w:val="20"/>
                <w:szCs w:val="20"/>
              </w:rPr>
              <w:t>La Junta de Gobierno de El colegio de la Frontera Sur, en el ejercicio de sus atribuciones previstas en el artículo 56, fracción IX de la Ley de Ciencia y Tecnología; 58, fracción VIII de la Ley Federal de las Entidades Paraestatales, así como las facultades contempladas en el artículo 12, fracción III, del Decreto por el cual se reestructura El Colegio de la Frontera Sur, autoriza por unanimidad de votos, iniciar los trámites ante las instancias competentes para gestionar la modificación de su estructura básica, de conformidad con el anexo presentado.</w:t>
            </w:r>
          </w:p>
        </w:tc>
        <w:tc>
          <w:tcPr>
            <w:tcW w:w="4557" w:type="dxa"/>
          </w:tcPr>
          <w:p w14:paraId="6C4549F9" w14:textId="31865B43" w:rsidR="00AF3AB1" w:rsidRPr="00353B7D" w:rsidRDefault="00735A57" w:rsidP="00761A03">
            <w:pPr>
              <w:rPr>
                <w:rFonts w:ascii="Noto Sans" w:hAnsi="Noto Sans" w:cs="Noto Sans"/>
                <w:sz w:val="20"/>
                <w:szCs w:val="20"/>
              </w:rPr>
            </w:pPr>
            <w:r w:rsidRPr="00735A57">
              <w:rPr>
                <w:rFonts w:ascii="Noto Sans" w:hAnsi="Noto Sans" w:cs="Noto Sans"/>
                <w:sz w:val="20"/>
                <w:szCs w:val="20"/>
              </w:rPr>
              <w:t>Este compromiso se viene trabajando con apoyo de la Coordinadora Sectorial. La última actualización</w:t>
            </w:r>
            <w:r>
              <w:rPr>
                <w:rFonts w:ascii="Noto Sans" w:hAnsi="Noto Sans" w:cs="Noto Sans"/>
                <w:sz w:val="20"/>
                <w:szCs w:val="20"/>
              </w:rPr>
              <w:t>,</w:t>
            </w:r>
            <w:r w:rsidRPr="00735A57">
              <w:rPr>
                <w:rFonts w:ascii="Noto Sans" w:hAnsi="Noto Sans" w:cs="Noto Sans"/>
                <w:sz w:val="20"/>
                <w:szCs w:val="20"/>
              </w:rPr>
              <w:t xml:space="preserve"> </w:t>
            </w:r>
            <w:r>
              <w:rPr>
                <w:rFonts w:ascii="Noto Sans" w:hAnsi="Noto Sans" w:cs="Noto Sans"/>
                <w:sz w:val="20"/>
                <w:szCs w:val="20"/>
              </w:rPr>
              <w:t xml:space="preserve">que </w:t>
            </w:r>
            <w:r w:rsidRPr="00735A57">
              <w:rPr>
                <w:rFonts w:ascii="Noto Sans" w:hAnsi="Noto Sans" w:cs="Noto Sans"/>
                <w:sz w:val="20"/>
                <w:szCs w:val="20"/>
              </w:rPr>
              <w:t xml:space="preserve">incluye alineación de plazas, actualización de la estructura del OICE y de ECOSUR, se remitió el 29 de noviembre de 2024 a la SECIHTI mediante el formato de movimientos organizaciones que pretendía registrar la estructura de ECOSUR vigente a la fecha. En seguimiento al estado de </w:t>
            </w:r>
            <w:r>
              <w:rPr>
                <w:rFonts w:ascii="Noto Sans" w:hAnsi="Noto Sans" w:cs="Noto Sans"/>
                <w:sz w:val="20"/>
                <w:szCs w:val="20"/>
              </w:rPr>
              <w:t>la</w:t>
            </w:r>
            <w:r w:rsidRPr="00735A57">
              <w:rPr>
                <w:rFonts w:ascii="Noto Sans" w:hAnsi="Noto Sans" w:cs="Noto Sans"/>
                <w:sz w:val="20"/>
                <w:szCs w:val="20"/>
              </w:rPr>
              <w:t xml:space="preserve"> solicitud, el 13 de febrero de 2025 nos informan que no fue posible gestionar la actualización de la estructura de ECOSUR mediante el formato FMO y solicitan retomar la carga de un nuevo escenario en el sistema RH-Net acompañado de la solicitud con una relatoría de movimientos de plazas de ECOSUR del 2009 a la fecha, con los oficios de soporte correspondiente. Se realizó dicha relatoría, no </w:t>
            </w:r>
            <w:proofErr w:type="gramStart"/>
            <w:r w:rsidRPr="00735A57">
              <w:rPr>
                <w:rFonts w:ascii="Noto Sans" w:hAnsi="Noto Sans" w:cs="Noto Sans"/>
                <w:sz w:val="20"/>
                <w:szCs w:val="20"/>
              </w:rPr>
              <w:t>obstante</w:t>
            </w:r>
            <w:proofErr w:type="gramEnd"/>
            <w:r w:rsidRPr="00735A57">
              <w:rPr>
                <w:rFonts w:ascii="Noto Sans" w:hAnsi="Noto Sans" w:cs="Noto Sans"/>
                <w:sz w:val="20"/>
                <w:szCs w:val="20"/>
              </w:rPr>
              <w:t xml:space="preserve"> carece de documentales del 2012 y 2015. Sobre este particular se ha solicitado apoyo a la SECIHTI para que gestione su localización al ser documentos que se remiten por conducto de la SECIHTI.</w:t>
            </w:r>
          </w:p>
        </w:tc>
        <w:tc>
          <w:tcPr>
            <w:tcW w:w="971" w:type="dxa"/>
          </w:tcPr>
          <w:p w14:paraId="3CF879DF" w14:textId="6E429710" w:rsidR="00AF3AB1" w:rsidRPr="00353B7D" w:rsidRDefault="00442C20" w:rsidP="00442C20">
            <w:pPr>
              <w:jc w:val="center"/>
              <w:rPr>
                <w:rFonts w:ascii="Noto Sans" w:hAnsi="Noto Sans" w:cs="Noto Sans"/>
                <w:sz w:val="20"/>
                <w:szCs w:val="20"/>
              </w:rPr>
            </w:pPr>
            <w:r w:rsidRPr="00353B7D">
              <w:rPr>
                <w:rFonts w:ascii="Noto Sans" w:hAnsi="Noto Sans" w:cs="Noto Sans"/>
                <w:sz w:val="20"/>
                <w:szCs w:val="20"/>
              </w:rPr>
              <w:t>90%</w:t>
            </w:r>
          </w:p>
        </w:tc>
      </w:tr>
    </w:tbl>
    <w:p w14:paraId="4DF63445" w14:textId="77777777" w:rsidR="00442C20" w:rsidRDefault="00442C20" w:rsidP="00E91532">
      <w:pPr>
        <w:ind w:left="708"/>
        <w:jc w:val="both"/>
        <w:rPr>
          <w:rFonts w:ascii="Noto Sans" w:hAnsi="Noto Sans" w:cs="Noto Sans"/>
        </w:rPr>
      </w:pPr>
    </w:p>
    <w:p w14:paraId="34256D3A" w14:textId="7B960D80" w:rsidR="00F92576" w:rsidRPr="006E0898" w:rsidRDefault="00F92576" w:rsidP="00F92576">
      <w:pPr>
        <w:ind w:left="708"/>
        <w:jc w:val="both"/>
        <w:rPr>
          <w:rFonts w:ascii="Noto Sans" w:hAnsi="Noto Sans" w:cs="Noto Sans"/>
          <w:sz w:val="22"/>
          <w:szCs w:val="22"/>
        </w:rPr>
      </w:pPr>
      <w:r w:rsidRPr="00F92576">
        <w:rPr>
          <w:rFonts w:ascii="Noto Sans" w:hAnsi="Noto Sans" w:cs="Noto Sans"/>
          <w:sz w:val="22"/>
          <w:szCs w:val="22"/>
        </w:rPr>
        <w:t>S-JG-0-I-24-14</w:t>
      </w:r>
      <w:r w:rsidRPr="006E0898">
        <w:rPr>
          <w:rFonts w:ascii="Noto Sans" w:hAnsi="Noto Sans" w:cs="Noto Sans"/>
          <w:sz w:val="22"/>
          <w:szCs w:val="22"/>
        </w:rPr>
        <w:t>. ODG</w:t>
      </w:r>
    </w:p>
    <w:tbl>
      <w:tblPr>
        <w:tblStyle w:val="Tablaconcuadrcula"/>
        <w:tblW w:w="8926" w:type="dxa"/>
        <w:tblInd w:w="708" w:type="dxa"/>
        <w:tblLook w:val="04A0" w:firstRow="1" w:lastRow="0" w:firstColumn="1" w:lastColumn="0" w:noHBand="0" w:noVBand="1"/>
      </w:tblPr>
      <w:tblGrid>
        <w:gridCol w:w="6091"/>
        <w:gridCol w:w="1864"/>
        <w:gridCol w:w="971"/>
      </w:tblGrid>
      <w:tr w:rsidR="00F92576" w:rsidRPr="00353B7D" w14:paraId="280D8CFB" w14:textId="77777777" w:rsidTr="00735A57">
        <w:tc>
          <w:tcPr>
            <w:tcW w:w="6091" w:type="dxa"/>
          </w:tcPr>
          <w:p w14:paraId="04D38CAD" w14:textId="77777777" w:rsidR="00F92576" w:rsidRPr="00353B7D" w:rsidRDefault="00F92576" w:rsidP="00DF464E">
            <w:pPr>
              <w:jc w:val="center"/>
              <w:rPr>
                <w:rFonts w:ascii="Noto Sans" w:hAnsi="Noto Sans" w:cs="Noto Sans"/>
                <w:sz w:val="20"/>
                <w:szCs w:val="20"/>
              </w:rPr>
            </w:pPr>
            <w:r w:rsidRPr="00353B7D">
              <w:rPr>
                <w:rFonts w:ascii="Noto Sans" w:hAnsi="Noto Sans" w:cs="Noto Sans"/>
                <w:sz w:val="20"/>
                <w:szCs w:val="20"/>
              </w:rPr>
              <w:t>Descripción</w:t>
            </w:r>
          </w:p>
        </w:tc>
        <w:tc>
          <w:tcPr>
            <w:tcW w:w="1864" w:type="dxa"/>
          </w:tcPr>
          <w:p w14:paraId="42C879A0" w14:textId="77777777" w:rsidR="00F92576" w:rsidRPr="00353B7D" w:rsidRDefault="00F92576" w:rsidP="00DF464E">
            <w:pPr>
              <w:jc w:val="center"/>
              <w:rPr>
                <w:rFonts w:ascii="Noto Sans" w:hAnsi="Noto Sans" w:cs="Noto Sans"/>
                <w:sz w:val="20"/>
                <w:szCs w:val="20"/>
              </w:rPr>
            </w:pPr>
            <w:r w:rsidRPr="00353B7D">
              <w:rPr>
                <w:rFonts w:ascii="Noto Sans" w:hAnsi="Noto Sans" w:cs="Noto Sans"/>
                <w:sz w:val="20"/>
                <w:szCs w:val="20"/>
              </w:rPr>
              <w:t>Avances</w:t>
            </w:r>
          </w:p>
        </w:tc>
        <w:tc>
          <w:tcPr>
            <w:tcW w:w="971" w:type="dxa"/>
          </w:tcPr>
          <w:p w14:paraId="1FEED27B" w14:textId="77777777" w:rsidR="00F92576" w:rsidRPr="00353B7D" w:rsidRDefault="00F92576" w:rsidP="00DF464E">
            <w:pPr>
              <w:jc w:val="center"/>
              <w:rPr>
                <w:rFonts w:ascii="Noto Sans" w:hAnsi="Noto Sans" w:cs="Noto Sans"/>
                <w:sz w:val="20"/>
                <w:szCs w:val="20"/>
              </w:rPr>
            </w:pPr>
            <w:r w:rsidRPr="00353B7D">
              <w:rPr>
                <w:rFonts w:ascii="Noto Sans" w:hAnsi="Noto Sans" w:cs="Noto Sans"/>
                <w:sz w:val="20"/>
                <w:szCs w:val="20"/>
              </w:rPr>
              <w:t>% avances</w:t>
            </w:r>
          </w:p>
        </w:tc>
      </w:tr>
      <w:tr w:rsidR="00F92576" w:rsidRPr="00353B7D" w14:paraId="029E96CB" w14:textId="77777777" w:rsidTr="00735A57">
        <w:tc>
          <w:tcPr>
            <w:tcW w:w="6091" w:type="dxa"/>
          </w:tcPr>
          <w:p w14:paraId="2AE639EC" w14:textId="7080FABD" w:rsidR="00F92576" w:rsidRPr="00353B7D" w:rsidRDefault="00353B7D" w:rsidP="00DF464E">
            <w:pPr>
              <w:jc w:val="both"/>
              <w:rPr>
                <w:rFonts w:ascii="Noto Sans" w:hAnsi="Noto Sans" w:cs="Noto Sans"/>
                <w:sz w:val="20"/>
                <w:szCs w:val="20"/>
              </w:rPr>
            </w:pPr>
            <w:r w:rsidRPr="00353B7D">
              <w:rPr>
                <w:rFonts w:ascii="Noto Sans" w:hAnsi="Noto Sans" w:cs="Noto Sans"/>
                <w:sz w:val="20"/>
                <w:szCs w:val="20"/>
              </w:rPr>
              <w:t>Con fundamento en lo dispuesto en los artículos 38, primer y segundo párrafo, 63, fracción XXVI, 76, fracción III y 93, fracción XIII de la Ley General en Materia de Humanidades, Ciencias,</w:t>
            </w:r>
            <w:r>
              <w:rPr>
                <w:rFonts w:ascii="Noto Sans" w:hAnsi="Noto Sans" w:cs="Noto Sans"/>
                <w:sz w:val="20"/>
                <w:szCs w:val="20"/>
              </w:rPr>
              <w:t xml:space="preserve"> </w:t>
            </w:r>
            <w:r w:rsidRPr="00353B7D">
              <w:rPr>
                <w:rFonts w:ascii="Noto Sans" w:hAnsi="Noto Sans" w:cs="Noto Sans"/>
                <w:sz w:val="20"/>
                <w:szCs w:val="20"/>
              </w:rPr>
              <w:t xml:space="preserve">Tecnologías e Innovación; cuarto Transitorio del Decreto por el </w:t>
            </w:r>
            <w:r w:rsidRPr="00353B7D">
              <w:rPr>
                <w:rFonts w:ascii="Noto Sans" w:hAnsi="Noto Sans" w:cs="Noto Sans"/>
                <w:sz w:val="20"/>
                <w:szCs w:val="20"/>
              </w:rPr>
              <w:lastRenderedPageBreak/>
              <w:t>que se expide la Ley General en Materia de Humanidades, Ciencias, Tecnologías e Innovación y se reforman y adicionan diversas disposiciones de la Ley Federal de las Entidades Paraestatales y de la Ley de Planeación; así como los artículos 12 fracción V, y 16, del Decreto por el cual se reestructura El Colegio de la Frontera Sur, la Junta de Gobierno aprueba por unanimidad de votos la creación de la Especialidad Nacional para el Bienestar Comunitario en Manejo Costero Integral, que tiene como objetivo formar actores sociales que, a través de un manejo integrado de la zona costera, con una visión holística del ambiente, aporten estrategias a las comunidades para que tomen el control de los procesos que les afectan y le den prioridad a cubrir las necesidades socioambientales, apoyados en las capacidades del ecosistema de Humanidades­ Ciencias-Tecnologías-Innovación. Esto tiene la finalidad de lograr un desarrollo comunitario sustentable, generando un beneficio a las futuras generaciones. El Programa tiene una modalidad mixta, con duración de dos años dividido en cuatro semestres, con periodicidad de nuevo ingreso anual, para impartirse en El Colegio de Frontera Sur en la Unidad Campeche, con vigencia a partir de la presente acta. En consecuencia, ECOSUR informará a la Junta de Gobierno en las siguientes sesiones ordinarias el seguimiento de este acuerdo, en el entendido de que dicha aprobación no tendrá impacto presupuesta para el Centro en el presente ejercicio fiscal y subsecuentes.</w:t>
            </w:r>
          </w:p>
        </w:tc>
        <w:tc>
          <w:tcPr>
            <w:tcW w:w="1864" w:type="dxa"/>
          </w:tcPr>
          <w:p w14:paraId="5D48EA2D" w14:textId="441FE6C2" w:rsidR="00F92576" w:rsidRPr="00353B7D" w:rsidRDefault="00222982" w:rsidP="00DF464E">
            <w:pPr>
              <w:rPr>
                <w:rFonts w:ascii="Noto Sans" w:hAnsi="Noto Sans" w:cs="Noto Sans"/>
                <w:sz w:val="20"/>
                <w:szCs w:val="20"/>
              </w:rPr>
            </w:pPr>
            <w:r w:rsidRPr="00222982">
              <w:rPr>
                <w:rFonts w:ascii="Noto Sans" w:hAnsi="Noto Sans" w:cs="Noto Sans"/>
                <w:sz w:val="20"/>
                <w:szCs w:val="20"/>
              </w:rPr>
              <w:lastRenderedPageBreak/>
              <w:t xml:space="preserve">La Especialidad Nacional para el Bienestar Comunitario en </w:t>
            </w:r>
            <w:r w:rsidRPr="00222982">
              <w:rPr>
                <w:rFonts w:ascii="Noto Sans" w:hAnsi="Noto Sans" w:cs="Noto Sans"/>
                <w:sz w:val="20"/>
                <w:szCs w:val="20"/>
              </w:rPr>
              <w:lastRenderedPageBreak/>
              <w:t>Manejo Costero Integral es un programa interinstitucional que tiene avances en la elaboración del Plan de Estudios. Para la conclusión de los planes, normativas y lineamientos se requiere de los esfuerzos de las diferentes instituciones, lo que se espera lograr en el próximo año.</w:t>
            </w:r>
          </w:p>
        </w:tc>
        <w:tc>
          <w:tcPr>
            <w:tcW w:w="971" w:type="dxa"/>
          </w:tcPr>
          <w:p w14:paraId="514C9936" w14:textId="59BCA717" w:rsidR="00F92576" w:rsidRPr="00353B7D" w:rsidRDefault="00F92576" w:rsidP="00DF464E">
            <w:pPr>
              <w:jc w:val="center"/>
              <w:rPr>
                <w:rFonts w:ascii="Noto Sans" w:hAnsi="Noto Sans" w:cs="Noto Sans"/>
                <w:sz w:val="20"/>
                <w:szCs w:val="20"/>
              </w:rPr>
            </w:pPr>
            <w:r w:rsidRPr="00353B7D">
              <w:rPr>
                <w:rFonts w:ascii="Noto Sans" w:hAnsi="Noto Sans" w:cs="Noto Sans"/>
                <w:sz w:val="20"/>
                <w:szCs w:val="20"/>
              </w:rPr>
              <w:lastRenderedPageBreak/>
              <w:t>40%</w:t>
            </w:r>
          </w:p>
        </w:tc>
      </w:tr>
    </w:tbl>
    <w:p w14:paraId="296385FB" w14:textId="77777777" w:rsidR="00442C20" w:rsidRDefault="00442C20" w:rsidP="00E91532">
      <w:pPr>
        <w:ind w:left="708"/>
        <w:jc w:val="both"/>
        <w:rPr>
          <w:rFonts w:ascii="Noto Sans" w:hAnsi="Noto Sans" w:cs="Noto Sans"/>
        </w:rPr>
      </w:pPr>
    </w:p>
    <w:p w14:paraId="42E5BBFF" w14:textId="77D74D59" w:rsidR="00A55E43" w:rsidRPr="00A55E43" w:rsidRDefault="00A55E43" w:rsidP="00E91532">
      <w:pPr>
        <w:ind w:left="708"/>
        <w:jc w:val="both"/>
        <w:rPr>
          <w:rFonts w:ascii="Noto Sans" w:hAnsi="Noto Sans" w:cs="Noto Sans"/>
          <w:sz w:val="22"/>
          <w:szCs w:val="22"/>
        </w:rPr>
      </w:pPr>
      <w:r w:rsidRPr="00A55E43">
        <w:rPr>
          <w:rFonts w:ascii="Noto Sans" w:hAnsi="Noto Sans" w:cs="Noto Sans"/>
          <w:sz w:val="22"/>
          <w:szCs w:val="22"/>
        </w:rPr>
        <w:t>ECOSUR 03/23. SABG</w:t>
      </w:r>
    </w:p>
    <w:tbl>
      <w:tblPr>
        <w:tblStyle w:val="Tablaconcuadrcula"/>
        <w:tblW w:w="8926" w:type="dxa"/>
        <w:tblInd w:w="708" w:type="dxa"/>
        <w:tblLook w:val="04A0" w:firstRow="1" w:lastRow="0" w:firstColumn="1" w:lastColumn="0" w:noHBand="0" w:noVBand="1"/>
      </w:tblPr>
      <w:tblGrid>
        <w:gridCol w:w="2122"/>
        <w:gridCol w:w="5812"/>
        <w:gridCol w:w="992"/>
      </w:tblGrid>
      <w:tr w:rsidR="00A55E43" w:rsidRPr="00353B7D" w14:paraId="1403B796" w14:textId="77777777" w:rsidTr="00735A57">
        <w:tc>
          <w:tcPr>
            <w:tcW w:w="2122" w:type="dxa"/>
          </w:tcPr>
          <w:p w14:paraId="3F5ED7D7" w14:textId="77777777" w:rsidR="00A55E43" w:rsidRPr="00353B7D" w:rsidRDefault="00A55E43" w:rsidP="00DF464E">
            <w:pPr>
              <w:jc w:val="center"/>
              <w:rPr>
                <w:rFonts w:ascii="Noto Sans" w:hAnsi="Noto Sans" w:cs="Noto Sans"/>
                <w:sz w:val="20"/>
                <w:szCs w:val="20"/>
              </w:rPr>
            </w:pPr>
            <w:r w:rsidRPr="00353B7D">
              <w:rPr>
                <w:rFonts w:ascii="Noto Sans" w:hAnsi="Noto Sans" w:cs="Noto Sans"/>
                <w:sz w:val="20"/>
                <w:szCs w:val="20"/>
              </w:rPr>
              <w:t>Descripción</w:t>
            </w:r>
          </w:p>
        </w:tc>
        <w:tc>
          <w:tcPr>
            <w:tcW w:w="5812" w:type="dxa"/>
          </w:tcPr>
          <w:p w14:paraId="348B29B9" w14:textId="77777777" w:rsidR="00A55E43" w:rsidRPr="00353B7D" w:rsidRDefault="00A55E43" w:rsidP="00DF464E">
            <w:pPr>
              <w:jc w:val="center"/>
              <w:rPr>
                <w:rFonts w:ascii="Noto Sans" w:hAnsi="Noto Sans" w:cs="Noto Sans"/>
                <w:sz w:val="20"/>
                <w:szCs w:val="20"/>
              </w:rPr>
            </w:pPr>
            <w:r w:rsidRPr="00353B7D">
              <w:rPr>
                <w:rFonts w:ascii="Noto Sans" w:hAnsi="Noto Sans" w:cs="Noto Sans"/>
                <w:sz w:val="20"/>
                <w:szCs w:val="20"/>
              </w:rPr>
              <w:t>Avances</w:t>
            </w:r>
          </w:p>
        </w:tc>
        <w:tc>
          <w:tcPr>
            <w:tcW w:w="992" w:type="dxa"/>
          </w:tcPr>
          <w:p w14:paraId="59CC7725" w14:textId="77777777" w:rsidR="00A55E43" w:rsidRPr="00353B7D" w:rsidRDefault="00A55E43" w:rsidP="00DF464E">
            <w:pPr>
              <w:jc w:val="center"/>
              <w:rPr>
                <w:rFonts w:ascii="Noto Sans" w:hAnsi="Noto Sans" w:cs="Noto Sans"/>
                <w:sz w:val="20"/>
                <w:szCs w:val="20"/>
              </w:rPr>
            </w:pPr>
            <w:r w:rsidRPr="00353B7D">
              <w:rPr>
                <w:rFonts w:ascii="Noto Sans" w:hAnsi="Noto Sans" w:cs="Noto Sans"/>
                <w:sz w:val="20"/>
                <w:szCs w:val="20"/>
              </w:rPr>
              <w:t>% avances</w:t>
            </w:r>
          </w:p>
        </w:tc>
      </w:tr>
      <w:tr w:rsidR="00A55E43" w:rsidRPr="00353B7D" w14:paraId="672CC53C" w14:textId="77777777" w:rsidTr="00735A57">
        <w:tc>
          <w:tcPr>
            <w:tcW w:w="2122" w:type="dxa"/>
          </w:tcPr>
          <w:p w14:paraId="6DA6B39B" w14:textId="1E21F266" w:rsidR="00A55E43" w:rsidRPr="00353B7D" w:rsidRDefault="00AE547B" w:rsidP="006E0898">
            <w:pPr>
              <w:rPr>
                <w:rFonts w:ascii="Noto Sans" w:hAnsi="Noto Sans" w:cs="Noto Sans"/>
                <w:sz w:val="20"/>
                <w:szCs w:val="20"/>
              </w:rPr>
            </w:pPr>
            <w:r w:rsidRPr="00AE547B">
              <w:rPr>
                <w:rFonts w:ascii="Noto Sans" w:hAnsi="Noto Sans" w:cs="Noto Sans"/>
                <w:sz w:val="20"/>
                <w:szCs w:val="20"/>
              </w:rPr>
              <w:t>Refrendar el registro de su estructura orgánica en 2024 en la Unidad de Política de Recursos Humanos de la Administración Pública Federal de la Secretaría de la Función Pública.</w:t>
            </w:r>
          </w:p>
        </w:tc>
        <w:tc>
          <w:tcPr>
            <w:tcW w:w="5812" w:type="dxa"/>
          </w:tcPr>
          <w:p w14:paraId="2F453167" w14:textId="5C2B4821" w:rsidR="00A55E43" w:rsidRPr="00353B7D" w:rsidRDefault="00735A57" w:rsidP="00DF464E">
            <w:pPr>
              <w:rPr>
                <w:rFonts w:ascii="Noto Sans" w:hAnsi="Noto Sans" w:cs="Noto Sans"/>
                <w:sz w:val="20"/>
                <w:szCs w:val="20"/>
              </w:rPr>
            </w:pPr>
            <w:r w:rsidRPr="00735A57">
              <w:rPr>
                <w:rFonts w:ascii="Noto Sans" w:hAnsi="Noto Sans" w:cs="Noto Sans"/>
                <w:sz w:val="20"/>
                <w:szCs w:val="20"/>
              </w:rPr>
              <w:t>Este compromiso se viene trabajando con apoyo de la Coordinadora Sectorial. La última actualización</w:t>
            </w:r>
            <w:r>
              <w:rPr>
                <w:rFonts w:ascii="Noto Sans" w:hAnsi="Noto Sans" w:cs="Noto Sans"/>
                <w:sz w:val="20"/>
                <w:szCs w:val="20"/>
              </w:rPr>
              <w:t>,</w:t>
            </w:r>
            <w:r w:rsidRPr="00735A57">
              <w:rPr>
                <w:rFonts w:ascii="Noto Sans" w:hAnsi="Noto Sans" w:cs="Noto Sans"/>
                <w:sz w:val="20"/>
                <w:szCs w:val="20"/>
              </w:rPr>
              <w:t xml:space="preserve"> que incluye alineación de plazas, actualización de la estructura del OICE y de ECOSUR, se remitió el 29 de noviembre de 2024 a la SECIHTI mediante el formato de movimientos organizaciones que pretendía registrar la estructura de ECOSUR vigente a la fecha. En seguimiento al estado de </w:t>
            </w:r>
            <w:r>
              <w:rPr>
                <w:rFonts w:ascii="Noto Sans" w:hAnsi="Noto Sans" w:cs="Noto Sans"/>
                <w:sz w:val="20"/>
                <w:szCs w:val="20"/>
              </w:rPr>
              <w:t>la</w:t>
            </w:r>
            <w:r w:rsidRPr="00735A57">
              <w:rPr>
                <w:rFonts w:ascii="Noto Sans" w:hAnsi="Noto Sans" w:cs="Noto Sans"/>
                <w:sz w:val="20"/>
                <w:szCs w:val="20"/>
              </w:rPr>
              <w:t xml:space="preserve"> solicitud, el 13 de febrero de 2025 nos informan que no fue posible gestionar la actualización de la estructura de ECOSUR mediante el formato FMO y solicitan retomar la carga de un nuevo escenario en el sistema RH-Net acompañado de la solicitud con una relatoría de movimientos de</w:t>
            </w:r>
            <w:r>
              <w:rPr>
                <w:rFonts w:ascii="Noto Sans" w:hAnsi="Noto Sans" w:cs="Noto Sans"/>
                <w:sz w:val="20"/>
                <w:szCs w:val="20"/>
              </w:rPr>
              <w:t xml:space="preserve"> </w:t>
            </w:r>
            <w:r w:rsidRPr="00735A57">
              <w:rPr>
                <w:rFonts w:ascii="Noto Sans" w:hAnsi="Noto Sans" w:cs="Noto Sans"/>
                <w:sz w:val="20"/>
                <w:szCs w:val="20"/>
              </w:rPr>
              <w:t>l</w:t>
            </w:r>
            <w:r>
              <w:rPr>
                <w:rFonts w:ascii="Noto Sans" w:hAnsi="Noto Sans" w:cs="Noto Sans"/>
                <w:sz w:val="20"/>
                <w:szCs w:val="20"/>
              </w:rPr>
              <w:t>as</w:t>
            </w:r>
            <w:r w:rsidRPr="00735A57">
              <w:rPr>
                <w:rFonts w:ascii="Noto Sans" w:hAnsi="Noto Sans" w:cs="Noto Sans"/>
                <w:sz w:val="20"/>
                <w:szCs w:val="20"/>
              </w:rPr>
              <w:t xml:space="preserve"> plazas de ECOSUR del 2009 a la fecha, con los oficios de soporte correspondiente. Se realizó dicha relatoría, no </w:t>
            </w:r>
            <w:proofErr w:type="gramStart"/>
            <w:r w:rsidRPr="00735A57">
              <w:rPr>
                <w:rFonts w:ascii="Noto Sans" w:hAnsi="Noto Sans" w:cs="Noto Sans"/>
                <w:sz w:val="20"/>
                <w:szCs w:val="20"/>
              </w:rPr>
              <w:t>obstante</w:t>
            </w:r>
            <w:proofErr w:type="gramEnd"/>
            <w:r w:rsidRPr="00735A57">
              <w:rPr>
                <w:rFonts w:ascii="Noto Sans" w:hAnsi="Noto Sans" w:cs="Noto Sans"/>
                <w:sz w:val="20"/>
                <w:szCs w:val="20"/>
              </w:rPr>
              <w:t xml:space="preserve"> carece de documentales de 2012 y </w:t>
            </w:r>
            <w:r w:rsidRPr="00735A57">
              <w:rPr>
                <w:rFonts w:ascii="Noto Sans" w:hAnsi="Noto Sans" w:cs="Noto Sans"/>
                <w:sz w:val="20"/>
                <w:szCs w:val="20"/>
              </w:rPr>
              <w:lastRenderedPageBreak/>
              <w:t>2015. Sobre este particular se ha solicitado apoyo a la SECIHTI para que gestione su localización al ser documentos que se remiten por conducto de la SECIHTI.</w:t>
            </w:r>
          </w:p>
        </w:tc>
        <w:tc>
          <w:tcPr>
            <w:tcW w:w="992" w:type="dxa"/>
          </w:tcPr>
          <w:p w14:paraId="0C850C12" w14:textId="78BD9E65" w:rsidR="00A55E43" w:rsidRPr="00353B7D" w:rsidRDefault="00A55E43" w:rsidP="00DF464E">
            <w:pPr>
              <w:jc w:val="center"/>
              <w:rPr>
                <w:rFonts w:ascii="Noto Sans" w:hAnsi="Noto Sans" w:cs="Noto Sans"/>
                <w:sz w:val="20"/>
                <w:szCs w:val="20"/>
              </w:rPr>
            </w:pPr>
            <w:r>
              <w:rPr>
                <w:rFonts w:ascii="Noto Sans" w:hAnsi="Noto Sans" w:cs="Noto Sans"/>
                <w:sz w:val="20"/>
                <w:szCs w:val="20"/>
              </w:rPr>
              <w:lastRenderedPageBreak/>
              <w:t>90</w:t>
            </w:r>
            <w:r w:rsidRPr="00353B7D">
              <w:rPr>
                <w:rFonts w:ascii="Noto Sans" w:hAnsi="Noto Sans" w:cs="Noto Sans"/>
                <w:sz w:val="20"/>
                <w:szCs w:val="20"/>
              </w:rPr>
              <w:t>%</w:t>
            </w:r>
          </w:p>
        </w:tc>
      </w:tr>
    </w:tbl>
    <w:p w14:paraId="5C945E58" w14:textId="77777777" w:rsidR="00A55E43" w:rsidRPr="00334B8B" w:rsidRDefault="00A55E43" w:rsidP="00E91532">
      <w:pPr>
        <w:ind w:left="708"/>
        <w:jc w:val="both"/>
        <w:rPr>
          <w:rFonts w:ascii="Noto Sans" w:hAnsi="Noto Sans" w:cs="Noto Sans"/>
        </w:rPr>
      </w:pPr>
    </w:p>
    <w:sectPr w:rsidR="00A55E43" w:rsidRPr="00334B8B" w:rsidSect="00CF4044">
      <w:headerReference w:type="even" r:id="rId8"/>
      <w:headerReference w:type="default" r:id="rId9"/>
      <w:footerReference w:type="even" r:id="rId10"/>
      <w:footerReference w:type="default" r:id="rId11"/>
      <w:pgSz w:w="12240" w:h="15840"/>
      <w:pgMar w:top="1843" w:right="1467" w:bottom="170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EE59" w14:textId="77777777" w:rsidR="00BF6112" w:rsidRDefault="00BF6112" w:rsidP="00A73D65">
      <w:r>
        <w:separator/>
      </w:r>
    </w:p>
  </w:endnote>
  <w:endnote w:type="continuationSeparator" w:id="0">
    <w:p w14:paraId="4E4C60B1" w14:textId="77777777" w:rsidR="00BF6112" w:rsidRDefault="00BF611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68BFEB3B" w:rsidR="00FD1854" w:rsidRDefault="00B942FB">
    <w:pPr>
      <w:pStyle w:val="Piedepgina"/>
    </w:pPr>
    <w:r>
      <w:rPr>
        <w:noProof/>
      </w:rPr>
      <mc:AlternateContent>
        <mc:Choice Requires="wps">
          <w:drawing>
            <wp:anchor distT="0" distB="0" distL="114300" distR="114300" simplePos="0" relativeHeight="251671552" behindDoc="0" locked="0" layoutInCell="1" allowOverlap="1" wp14:anchorId="25B0263B" wp14:editId="6C664615">
              <wp:simplePos x="0" y="0"/>
              <wp:positionH relativeFrom="column">
                <wp:posOffset>1464945</wp:posOffset>
              </wp:positionH>
              <wp:positionV relativeFrom="paragraph">
                <wp:posOffset>-359410</wp:posOffset>
              </wp:positionV>
              <wp:extent cx="5075339" cy="213432"/>
              <wp:effectExtent l="0" t="0" r="0" b="0"/>
              <wp:wrapNone/>
              <wp:docPr id="517312833"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0263B" id="_x0000_t202" coordsize="21600,21600" o:spt="202" path="m,l,21600r21600,l21600,xe">
              <v:stroke joinstyle="miter"/>
              <v:path gradientshapeok="t" o:connecttype="rect"/>
            </v:shapetype>
            <v:shape id="Cuadro de texto 3" o:spid="_x0000_s1026" type="#_x0000_t202" style="position:absolute;margin-left:115.35pt;margin-top:-28.3pt;width:399.6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l8Fw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" filled="f" stroked="f" strokeweight=".5pt">
              <v:textbo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43A9" w14:textId="51BCB32B" w:rsidR="00A63D3E" w:rsidRDefault="00A63D3E">
    <w:pPr>
      <w:pStyle w:val="Piedepgina"/>
    </w:pPr>
    <w:r>
      <w:rPr>
        <w:noProof/>
      </w:rPr>
      <mc:AlternateContent>
        <mc:Choice Requires="wps">
          <w:drawing>
            <wp:anchor distT="0" distB="0" distL="114300" distR="114300" simplePos="0" relativeHeight="251667456" behindDoc="0" locked="0" layoutInCell="1" allowOverlap="1" wp14:anchorId="3D477591" wp14:editId="75F1A93E">
              <wp:simplePos x="0" y="0"/>
              <wp:positionH relativeFrom="column">
                <wp:posOffset>1513840</wp:posOffset>
              </wp:positionH>
              <wp:positionV relativeFrom="paragraph">
                <wp:posOffset>-344805</wp:posOffset>
              </wp:positionV>
              <wp:extent cx="5075339" cy="21343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19.2pt;margin-top:-27.15pt;width:399.6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rLGQ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" filled="f" stroked="f" strokeweight=".5pt">
              <v:textbo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0881" w14:textId="77777777" w:rsidR="00BF6112" w:rsidRDefault="00BF6112" w:rsidP="00A73D65">
      <w:r>
        <w:separator/>
      </w:r>
    </w:p>
  </w:footnote>
  <w:footnote w:type="continuationSeparator" w:id="0">
    <w:p w14:paraId="60DB1E11" w14:textId="77777777" w:rsidR="00BF6112" w:rsidRDefault="00BF611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47A349EC" w:rsidR="003F49A8" w:rsidRDefault="009C602F">
    <w:pPr>
      <w:pStyle w:val="Encabezado"/>
    </w:pPr>
    <w:r>
      <w:rPr>
        <w:noProof/>
      </w:rPr>
      <w:drawing>
        <wp:anchor distT="0" distB="0" distL="114300" distR="114300" simplePos="0" relativeHeight="251669504" behindDoc="1" locked="0" layoutInCell="1" allowOverlap="1" wp14:anchorId="5E57AAD0" wp14:editId="35E189BD">
          <wp:simplePos x="0" y="0"/>
          <wp:positionH relativeFrom="margin">
            <wp:align>center</wp:align>
          </wp:positionH>
          <wp:positionV relativeFrom="paragraph">
            <wp:posOffset>-696595</wp:posOffset>
          </wp:positionV>
          <wp:extent cx="7799705" cy="1042035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1" cy="104207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084171F0"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51C42C66">
          <wp:simplePos x="0" y="0"/>
          <wp:positionH relativeFrom="page">
            <wp:align>right</wp:align>
          </wp:positionH>
          <wp:positionV relativeFrom="paragraph">
            <wp:posOffset>-751840</wp:posOffset>
          </wp:positionV>
          <wp:extent cx="7799705" cy="105156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9705" cy="1051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C6"/>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15:restartNumberingAfterBreak="0">
    <w:nsid w:val="07156476"/>
    <w:multiLevelType w:val="hybridMultilevel"/>
    <w:tmpl w:val="28BE542E"/>
    <w:lvl w:ilvl="0" w:tplc="9B1E462C">
      <w:start w:val="1"/>
      <w:numFmt w:val="bullet"/>
      <w:lvlText w:val=""/>
      <w:lvlJc w:val="left"/>
      <w:pPr>
        <w:ind w:left="1077" w:hanging="360"/>
      </w:pPr>
      <w:rPr>
        <w:rFonts w:ascii="Wingdings" w:hAnsi="Wingdings" w:hint="default"/>
        <w:color w:val="003B60"/>
      </w:rPr>
    </w:lvl>
    <w:lvl w:ilvl="1" w:tplc="DF5EA07E">
      <w:start w:val="1"/>
      <w:numFmt w:val="bullet"/>
      <w:lvlText w:val="¢"/>
      <w:lvlJc w:val="left"/>
      <w:pPr>
        <w:ind w:left="1797" w:hanging="360"/>
      </w:pPr>
      <w:rPr>
        <w:rFonts w:ascii="Wingdings" w:hAnsi="Wingdings" w:hint="default"/>
        <w:color w:val="404040" w:themeColor="text1" w:themeTint="BF"/>
        <w:sz w:val="18"/>
        <w:szCs w:val="18"/>
      </w:rPr>
    </w:lvl>
    <w:lvl w:ilvl="2" w:tplc="080A0005">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 w15:restartNumberingAfterBreak="0">
    <w:nsid w:val="119E7E87"/>
    <w:multiLevelType w:val="multilevel"/>
    <w:tmpl w:val="39B89D7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148D2A50"/>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6F001CC"/>
    <w:multiLevelType w:val="multilevel"/>
    <w:tmpl w:val="5BC0560C"/>
    <w:lvl w:ilvl="0">
      <w:start w:val="5"/>
      <w:numFmt w:val="decimal"/>
      <w:lvlText w:val="%1"/>
      <w:lvlJc w:val="left"/>
      <w:pPr>
        <w:ind w:left="360" w:hanging="360"/>
      </w:pPr>
      <w:rPr>
        <w:rFonts w:hint="default"/>
      </w:rPr>
    </w:lvl>
    <w:lvl w:ilvl="1">
      <w:start w:val="5"/>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5" w15:restartNumberingAfterBreak="0">
    <w:nsid w:val="290A1D6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BB85C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3B9D3DB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3E186C0A"/>
    <w:multiLevelType w:val="multilevel"/>
    <w:tmpl w:val="18BAE998"/>
    <w:lvl w:ilvl="0">
      <w:start w:val="5"/>
      <w:numFmt w:val="decimal"/>
      <w:lvlText w:val="%1"/>
      <w:lvlJc w:val="left"/>
      <w:pPr>
        <w:ind w:left="480" w:hanging="480"/>
      </w:pPr>
      <w:rPr>
        <w:rFonts w:hint="default"/>
      </w:rPr>
    </w:lvl>
    <w:lvl w:ilvl="1">
      <w:start w:val="5"/>
      <w:numFmt w:val="decimal"/>
      <w:lvlText w:val="%1.%2"/>
      <w:lvlJc w:val="left"/>
      <w:pPr>
        <w:ind w:left="1266" w:hanging="480"/>
      </w:pPr>
      <w:rPr>
        <w:rFonts w:hint="default"/>
      </w:rPr>
    </w:lvl>
    <w:lvl w:ilvl="2">
      <w:start w:val="5"/>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48D54853"/>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495873F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4AEC7D9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4F065DC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3" w15:restartNumberingAfterBreak="0">
    <w:nsid w:val="56E311BC"/>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69F77B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6D005AE4"/>
    <w:multiLevelType w:val="hybridMultilevel"/>
    <w:tmpl w:val="C6903132"/>
    <w:lvl w:ilvl="0" w:tplc="B1964F90">
      <w:start w:val="4"/>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6" w15:restartNumberingAfterBreak="0">
    <w:nsid w:val="763B0C8F"/>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7E100256"/>
    <w:multiLevelType w:val="hybridMultilevel"/>
    <w:tmpl w:val="0DA0196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5009959">
    <w:abstractNumId w:val="10"/>
  </w:num>
  <w:num w:numId="2" w16cid:durableId="1215774906">
    <w:abstractNumId w:val="16"/>
  </w:num>
  <w:num w:numId="3" w16cid:durableId="482241137">
    <w:abstractNumId w:val="9"/>
  </w:num>
  <w:num w:numId="4" w16cid:durableId="2249468">
    <w:abstractNumId w:val="7"/>
  </w:num>
  <w:num w:numId="5" w16cid:durableId="742069330">
    <w:abstractNumId w:val="13"/>
  </w:num>
  <w:num w:numId="6" w16cid:durableId="1468281550">
    <w:abstractNumId w:val="6"/>
  </w:num>
  <w:num w:numId="7" w16cid:durableId="858010479">
    <w:abstractNumId w:val="14"/>
  </w:num>
  <w:num w:numId="8" w16cid:durableId="1615751285">
    <w:abstractNumId w:val="12"/>
  </w:num>
  <w:num w:numId="9" w16cid:durableId="1908878356">
    <w:abstractNumId w:val="3"/>
  </w:num>
  <w:num w:numId="10" w16cid:durableId="1853374935">
    <w:abstractNumId w:val="11"/>
  </w:num>
  <w:num w:numId="11" w16cid:durableId="2032339576">
    <w:abstractNumId w:val="5"/>
  </w:num>
  <w:num w:numId="12" w16cid:durableId="996687618">
    <w:abstractNumId w:val="0"/>
  </w:num>
  <w:num w:numId="13" w16cid:durableId="552425018">
    <w:abstractNumId w:val="1"/>
  </w:num>
  <w:num w:numId="14" w16cid:durableId="802889789">
    <w:abstractNumId w:val="2"/>
  </w:num>
  <w:num w:numId="15" w16cid:durableId="1996251815">
    <w:abstractNumId w:val="4"/>
  </w:num>
  <w:num w:numId="16" w16cid:durableId="2141344099">
    <w:abstractNumId w:val="8"/>
  </w:num>
  <w:num w:numId="17" w16cid:durableId="1071387023">
    <w:abstractNumId w:val="15"/>
  </w:num>
  <w:num w:numId="18" w16cid:durableId="199144245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12F"/>
    <w:rsid w:val="000016F7"/>
    <w:rsid w:val="00007765"/>
    <w:rsid w:val="00007C78"/>
    <w:rsid w:val="00012A2F"/>
    <w:rsid w:val="00013E2F"/>
    <w:rsid w:val="000205E7"/>
    <w:rsid w:val="00023AA0"/>
    <w:rsid w:val="0003039A"/>
    <w:rsid w:val="00033C74"/>
    <w:rsid w:val="00034101"/>
    <w:rsid w:val="00034412"/>
    <w:rsid w:val="00035177"/>
    <w:rsid w:val="00035BF6"/>
    <w:rsid w:val="0003602C"/>
    <w:rsid w:val="00041353"/>
    <w:rsid w:val="000423BE"/>
    <w:rsid w:val="000469A8"/>
    <w:rsid w:val="000469FA"/>
    <w:rsid w:val="00060DF3"/>
    <w:rsid w:val="00070982"/>
    <w:rsid w:val="00075929"/>
    <w:rsid w:val="000817AD"/>
    <w:rsid w:val="0008680C"/>
    <w:rsid w:val="000938A6"/>
    <w:rsid w:val="00097206"/>
    <w:rsid w:val="000B012A"/>
    <w:rsid w:val="000B065A"/>
    <w:rsid w:val="000B0883"/>
    <w:rsid w:val="000D2D6C"/>
    <w:rsid w:val="000E3024"/>
    <w:rsid w:val="000E6EB0"/>
    <w:rsid w:val="000F7769"/>
    <w:rsid w:val="00106103"/>
    <w:rsid w:val="00116ADD"/>
    <w:rsid w:val="001353D0"/>
    <w:rsid w:val="00135A0D"/>
    <w:rsid w:val="0014127E"/>
    <w:rsid w:val="001412F9"/>
    <w:rsid w:val="00150215"/>
    <w:rsid w:val="00156A3E"/>
    <w:rsid w:val="00161740"/>
    <w:rsid w:val="0016350C"/>
    <w:rsid w:val="001741EA"/>
    <w:rsid w:val="00180A38"/>
    <w:rsid w:val="001839A1"/>
    <w:rsid w:val="00184325"/>
    <w:rsid w:val="00184EF4"/>
    <w:rsid w:val="00191345"/>
    <w:rsid w:val="00195FEB"/>
    <w:rsid w:val="001A2B8F"/>
    <w:rsid w:val="001A2F78"/>
    <w:rsid w:val="001A5025"/>
    <w:rsid w:val="001A64F4"/>
    <w:rsid w:val="001C0F44"/>
    <w:rsid w:val="001C3063"/>
    <w:rsid w:val="001E215F"/>
    <w:rsid w:val="001F3602"/>
    <w:rsid w:val="001F4F48"/>
    <w:rsid w:val="001F55DA"/>
    <w:rsid w:val="002007D4"/>
    <w:rsid w:val="0021168B"/>
    <w:rsid w:val="002142A2"/>
    <w:rsid w:val="00221A33"/>
    <w:rsid w:val="00222982"/>
    <w:rsid w:val="00242A52"/>
    <w:rsid w:val="002455A0"/>
    <w:rsid w:val="00255A38"/>
    <w:rsid w:val="00256B1D"/>
    <w:rsid w:val="00261F41"/>
    <w:rsid w:val="002717D3"/>
    <w:rsid w:val="00273378"/>
    <w:rsid w:val="00273FF9"/>
    <w:rsid w:val="00286845"/>
    <w:rsid w:val="002870B3"/>
    <w:rsid w:val="002871E1"/>
    <w:rsid w:val="00290A5C"/>
    <w:rsid w:val="0029125B"/>
    <w:rsid w:val="0029237F"/>
    <w:rsid w:val="0029542D"/>
    <w:rsid w:val="002A2E7B"/>
    <w:rsid w:val="002A4AEF"/>
    <w:rsid w:val="002A5154"/>
    <w:rsid w:val="002C293A"/>
    <w:rsid w:val="002C3E92"/>
    <w:rsid w:val="002D60F5"/>
    <w:rsid w:val="002E1C43"/>
    <w:rsid w:val="002E2142"/>
    <w:rsid w:val="002F1877"/>
    <w:rsid w:val="0030476A"/>
    <w:rsid w:val="00305BE6"/>
    <w:rsid w:val="0031066C"/>
    <w:rsid w:val="00316A07"/>
    <w:rsid w:val="00324B7F"/>
    <w:rsid w:val="00324CE8"/>
    <w:rsid w:val="00334B8B"/>
    <w:rsid w:val="0034281E"/>
    <w:rsid w:val="00351098"/>
    <w:rsid w:val="00353B7D"/>
    <w:rsid w:val="0035794D"/>
    <w:rsid w:val="00363222"/>
    <w:rsid w:val="00363D42"/>
    <w:rsid w:val="00365CEA"/>
    <w:rsid w:val="0036711C"/>
    <w:rsid w:val="00370465"/>
    <w:rsid w:val="003800D4"/>
    <w:rsid w:val="00385385"/>
    <w:rsid w:val="003865C2"/>
    <w:rsid w:val="00387A1C"/>
    <w:rsid w:val="00396139"/>
    <w:rsid w:val="003D416E"/>
    <w:rsid w:val="003D6640"/>
    <w:rsid w:val="003E1335"/>
    <w:rsid w:val="003E469F"/>
    <w:rsid w:val="003E692B"/>
    <w:rsid w:val="003F46CC"/>
    <w:rsid w:val="003F49A8"/>
    <w:rsid w:val="003F57FA"/>
    <w:rsid w:val="00402CEB"/>
    <w:rsid w:val="0042368C"/>
    <w:rsid w:val="00427862"/>
    <w:rsid w:val="00432695"/>
    <w:rsid w:val="004339B8"/>
    <w:rsid w:val="00436F53"/>
    <w:rsid w:val="004378DD"/>
    <w:rsid w:val="00442C20"/>
    <w:rsid w:val="004479F5"/>
    <w:rsid w:val="00454479"/>
    <w:rsid w:val="00455607"/>
    <w:rsid w:val="00457F2E"/>
    <w:rsid w:val="00460AF5"/>
    <w:rsid w:val="00460B99"/>
    <w:rsid w:val="00461239"/>
    <w:rsid w:val="00477F45"/>
    <w:rsid w:val="004814E1"/>
    <w:rsid w:val="00483507"/>
    <w:rsid w:val="004912CE"/>
    <w:rsid w:val="0049178E"/>
    <w:rsid w:val="00497A4A"/>
    <w:rsid w:val="004A31EA"/>
    <w:rsid w:val="004A4C4E"/>
    <w:rsid w:val="004A513B"/>
    <w:rsid w:val="004B4522"/>
    <w:rsid w:val="004C1378"/>
    <w:rsid w:val="004C1E75"/>
    <w:rsid w:val="004D0D09"/>
    <w:rsid w:val="004D146C"/>
    <w:rsid w:val="004D4BF4"/>
    <w:rsid w:val="004E13A8"/>
    <w:rsid w:val="004E307F"/>
    <w:rsid w:val="004F0C09"/>
    <w:rsid w:val="004F5209"/>
    <w:rsid w:val="00502EFF"/>
    <w:rsid w:val="00504228"/>
    <w:rsid w:val="0051219E"/>
    <w:rsid w:val="00512FF7"/>
    <w:rsid w:val="005244BF"/>
    <w:rsid w:val="00526051"/>
    <w:rsid w:val="00533F1D"/>
    <w:rsid w:val="005378AF"/>
    <w:rsid w:val="005523EA"/>
    <w:rsid w:val="00553EB1"/>
    <w:rsid w:val="00554648"/>
    <w:rsid w:val="0055776F"/>
    <w:rsid w:val="005632A5"/>
    <w:rsid w:val="0056771B"/>
    <w:rsid w:val="005723C0"/>
    <w:rsid w:val="0057723D"/>
    <w:rsid w:val="00596DD5"/>
    <w:rsid w:val="005A6BEA"/>
    <w:rsid w:val="005B1F63"/>
    <w:rsid w:val="005B516B"/>
    <w:rsid w:val="005B6015"/>
    <w:rsid w:val="005C1A7C"/>
    <w:rsid w:val="005C2F24"/>
    <w:rsid w:val="005C48D2"/>
    <w:rsid w:val="005D14D4"/>
    <w:rsid w:val="005D35E6"/>
    <w:rsid w:val="005F3347"/>
    <w:rsid w:val="005F3835"/>
    <w:rsid w:val="005F6B97"/>
    <w:rsid w:val="00603671"/>
    <w:rsid w:val="00605C78"/>
    <w:rsid w:val="00626EE3"/>
    <w:rsid w:val="00630FE2"/>
    <w:rsid w:val="00631824"/>
    <w:rsid w:val="006322C1"/>
    <w:rsid w:val="00652BD4"/>
    <w:rsid w:val="00652CCC"/>
    <w:rsid w:val="00657C37"/>
    <w:rsid w:val="00662BBD"/>
    <w:rsid w:val="00663BB7"/>
    <w:rsid w:val="00681882"/>
    <w:rsid w:val="00683E59"/>
    <w:rsid w:val="006A1E9A"/>
    <w:rsid w:val="006A5549"/>
    <w:rsid w:val="006B36CA"/>
    <w:rsid w:val="006C0425"/>
    <w:rsid w:val="006C3B4E"/>
    <w:rsid w:val="006C6305"/>
    <w:rsid w:val="006D6575"/>
    <w:rsid w:val="006E0898"/>
    <w:rsid w:val="006F19AE"/>
    <w:rsid w:val="00706456"/>
    <w:rsid w:val="00706680"/>
    <w:rsid w:val="00711481"/>
    <w:rsid w:val="00714074"/>
    <w:rsid w:val="00714C0D"/>
    <w:rsid w:val="00715263"/>
    <w:rsid w:val="00720A42"/>
    <w:rsid w:val="00733EDF"/>
    <w:rsid w:val="007347BD"/>
    <w:rsid w:val="00735A57"/>
    <w:rsid w:val="007372D1"/>
    <w:rsid w:val="007375F5"/>
    <w:rsid w:val="00737D57"/>
    <w:rsid w:val="00737F08"/>
    <w:rsid w:val="007421E3"/>
    <w:rsid w:val="007553B1"/>
    <w:rsid w:val="00761A03"/>
    <w:rsid w:val="0077033E"/>
    <w:rsid w:val="00770661"/>
    <w:rsid w:val="007738F7"/>
    <w:rsid w:val="0078195E"/>
    <w:rsid w:val="00781FB0"/>
    <w:rsid w:val="00793649"/>
    <w:rsid w:val="007956BE"/>
    <w:rsid w:val="007A113F"/>
    <w:rsid w:val="007B74AD"/>
    <w:rsid w:val="007C0A8C"/>
    <w:rsid w:val="007C2F20"/>
    <w:rsid w:val="007C30F7"/>
    <w:rsid w:val="007C4073"/>
    <w:rsid w:val="007D2C2A"/>
    <w:rsid w:val="007D558C"/>
    <w:rsid w:val="007D633A"/>
    <w:rsid w:val="007D77D1"/>
    <w:rsid w:val="007D79E9"/>
    <w:rsid w:val="007E235C"/>
    <w:rsid w:val="007E3D8A"/>
    <w:rsid w:val="007E5888"/>
    <w:rsid w:val="007E740D"/>
    <w:rsid w:val="007F19CA"/>
    <w:rsid w:val="007F380F"/>
    <w:rsid w:val="007F42D2"/>
    <w:rsid w:val="007F6A68"/>
    <w:rsid w:val="00804DDD"/>
    <w:rsid w:val="00811DC9"/>
    <w:rsid w:val="00813F2A"/>
    <w:rsid w:val="00822E62"/>
    <w:rsid w:val="00831EE7"/>
    <w:rsid w:val="00834146"/>
    <w:rsid w:val="00837D4F"/>
    <w:rsid w:val="00841318"/>
    <w:rsid w:val="00842025"/>
    <w:rsid w:val="008429EF"/>
    <w:rsid w:val="00842FF7"/>
    <w:rsid w:val="00847096"/>
    <w:rsid w:val="0085033F"/>
    <w:rsid w:val="008552B0"/>
    <w:rsid w:val="008568F0"/>
    <w:rsid w:val="00857B2E"/>
    <w:rsid w:val="00861719"/>
    <w:rsid w:val="008635E8"/>
    <w:rsid w:val="00870645"/>
    <w:rsid w:val="008730C6"/>
    <w:rsid w:val="00877936"/>
    <w:rsid w:val="00886E79"/>
    <w:rsid w:val="008A3251"/>
    <w:rsid w:val="008A6E50"/>
    <w:rsid w:val="008C2D7F"/>
    <w:rsid w:val="008D757F"/>
    <w:rsid w:val="008E266B"/>
    <w:rsid w:val="008E3302"/>
    <w:rsid w:val="008E6B9E"/>
    <w:rsid w:val="008F338D"/>
    <w:rsid w:val="00903DE5"/>
    <w:rsid w:val="00904CC6"/>
    <w:rsid w:val="009066A7"/>
    <w:rsid w:val="00906978"/>
    <w:rsid w:val="00907F1C"/>
    <w:rsid w:val="00913067"/>
    <w:rsid w:val="00932C27"/>
    <w:rsid w:val="00937C98"/>
    <w:rsid w:val="00942415"/>
    <w:rsid w:val="0094503D"/>
    <w:rsid w:val="00945B89"/>
    <w:rsid w:val="00953FC4"/>
    <w:rsid w:val="00972E7E"/>
    <w:rsid w:val="00973FB2"/>
    <w:rsid w:val="00976253"/>
    <w:rsid w:val="00986ACE"/>
    <w:rsid w:val="00991DCF"/>
    <w:rsid w:val="0099633C"/>
    <w:rsid w:val="009A6D85"/>
    <w:rsid w:val="009C12D6"/>
    <w:rsid w:val="009C602F"/>
    <w:rsid w:val="009E47C2"/>
    <w:rsid w:val="009F1035"/>
    <w:rsid w:val="009F2BA1"/>
    <w:rsid w:val="009F6CAC"/>
    <w:rsid w:val="00A04166"/>
    <w:rsid w:val="00A0555C"/>
    <w:rsid w:val="00A05B35"/>
    <w:rsid w:val="00A07674"/>
    <w:rsid w:val="00A07ABC"/>
    <w:rsid w:val="00A11EF6"/>
    <w:rsid w:val="00A135A7"/>
    <w:rsid w:val="00A13E69"/>
    <w:rsid w:val="00A160BF"/>
    <w:rsid w:val="00A17BE4"/>
    <w:rsid w:val="00A20E71"/>
    <w:rsid w:val="00A301D7"/>
    <w:rsid w:val="00A314BF"/>
    <w:rsid w:val="00A34D7E"/>
    <w:rsid w:val="00A4024E"/>
    <w:rsid w:val="00A403F4"/>
    <w:rsid w:val="00A468DE"/>
    <w:rsid w:val="00A505DB"/>
    <w:rsid w:val="00A514C9"/>
    <w:rsid w:val="00A55E43"/>
    <w:rsid w:val="00A57443"/>
    <w:rsid w:val="00A57FF1"/>
    <w:rsid w:val="00A60C77"/>
    <w:rsid w:val="00A63D3E"/>
    <w:rsid w:val="00A65462"/>
    <w:rsid w:val="00A73D65"/>
    <w:rsid w:val="00A766C9"/>
    <w:rsid w:val="00A76E14"/>
    <w:rsid w:val="00A8003E"/>
    <w:rsid w:val="00A808CC"/>
    <w:rsid w:val="00A85F38"/>
    <w:rsid w:val="00AA1ACE"/>
    <w:rsid w:val="00AB125D"/>
    <w:rsid w:val="00AC086A"/>
    <w:rsid w:val="00AE0E23"/>
    <w:rsid w:val="00AE0FB8"/>
    <w:rsid w:val="00AE172C"/>
    <w:rsid w:val="00AE2557"/>
    <w:rsid w:val="00AE547B"/>
    <w:rsid w:val="00AE7316"/>
    <w:rsid w:val="00AF33CE"/>
    <w:rsid w:val="00AF3AB1"/>
    <w:rsid w:val="00B0460F"/>
    <w:rsid w:val="00B05BAB"/>
    <w:rsid w:val="00B21938"/>
    <w:rsid w:val="00B34DD4"/>
    <w:rsid w:val="00B34E23"/>
    <w:rsid w:val="00B35CDF"/>
    <w:rsid w:val="00B4351D"/>
    <w:rsid w:val="00B45ED3"/>
    <w:rsid w:val="00B47E64"/>
    <w:rsid w:val="00B51AD6"/>
    <w:rsid w:val="00B541BC"/>
    <w:rsid w:val="00B67AB0"/>
    <w:rsid w:val="00B70207"/>
    <w:rsid w:val="00B71373"/>
    <w:rsid w:val="00B72D65"/>
    <w:rsid w:val="00B75285"/>
    <w:rsid w:val="00B84F01"/>
    <w:rsid w:val="00B853BC"/>
    <w:rsid w:val="00B868DA"/>
    <w:rsid w:val="00B8790F"/>
    <w:rsid w:val="00B87C85"/>
    <w:rsid w:val="00B942FB"/>
    <w:rsid w:val="00BA73EE"/>
    <w:rsid w:val="00BB21A6"/>
    <w:rsid w:val="00BB2DFF"/>
    <w:rsid w:val="00BB7A9A"/>
    <w:rsid w:val="00BC43BD"/>
    <w:rsid w:val="00BC465C"/>
    <w:rsid w:val="00BC4C6B"/>
    <w:rsid w:val="00BC68FE"/>
    <w:rsid w:val="00BD446A"/>
    <w:rsid w:val="00BE1F63"/>
    <w:rsid w:val="00BE46DD"/>
    <w:rsid w:val="00BF0E4D"/>
    <w:rsid w:val="00BF6112"/>
    <w:rsid w:val="00C02E98"/>
    <w:rsid w:val="00C23B9E"/>
    <w:rsid w:val="00C279A3"/>
    <w:rsid w:val="00C30849"/>
    <w:rsid w:val="00C33C5D"/>
    <w:rsid w:val="00C42C9D"/>
    <w:rsid w:val="00C43AA9"/>
    <w:rsid w:val="00C465FE"/>
    <w:rsid w:val="00C46637"/>
    <w:rsid w:val="00C47DE0"/>
    <w:rsid w:val="00C51709"/>
    <w:rsid w:val="00C51C5F"/>
    <w:rsid w:val="00C67047"/>
    <w:rsid w:val="00C71C1F"/>
    <w:rsid w:val="00C838EB"/>
    <w:rsid w:val="00C90CED"/>
    <w:rsid w:val="00CA0BEF"/>
    <w:rsid w:val="00CA14E2"/>
    <w:rsid w:val="00CA16CB"/>
    <w:rsid w:val="00CA41C7"/>
    <w:rsid w:val="00CB4E0B"/>
    <w:rsid w:val="00CB7D4F"/>
    <w:rsid w:val="00CC0C68"/>
    <w:rsid w:val="00CC2DFD"/>
    <w:rsid w:val="00CD05AE"/>
    <w:rsid w:val="00CD0B5D"/>
    <w:rsid w:val="00CD44A6"/>
    <w:rsid w:val="00CD5F1A"/>
    <w:rsid w:val="00CE3E99"/>
    <w:rsid w:val="00CE5D9E"/>
    <w:rsid w:val="00CF03B4"/>
    <w:rsid w:val="00CF11ED"/>
    <w:rsid w:val="00CF4044"/>
    <w:rsid w:val="00CF4D69"/>
    <w:rsid w:val="00D04431"/>
    <w:rsid w:val="00D076F0"/>
    <w:rsid w:val="00D1103A"/>
    <w:rsid w:val="00D1354D"/>
    <w:rsid w:val="00D13CA1"/>
    <w:rsid w:val="00D30D80"/>
    <w:rsid w:val="00D3657E"/>
    <w:rsid w:val="00D458CC"/>
    <w:rsid w:val="00D45EDD"/>
    <w:rsid w:val="00D479D4"/>
    <w:rsid w:val="00D54F97"/>
    <w:rsid w:val="00D551BD"/>
    <w:rsid w:val="00D56A29"/>
    <w:rsid w:val="00D666AC"/>
    <w:rsid w:val="00D66758"/>
    <w:rsid w:val="00D72DE4"/>
    <w:rsid w:val="00D73349"/>
    <w:rsid w:val="00D75B9A"/>
    <w:rsid w:val="00D84E05"/>
    <w:rsid w:val="00D9644D"/>
    <w:rsid w:val="00DA4B56"/>
    <w:rsid w:val="00DB53A4"/>
    <w:rsid w:val="00DC18FA"/>
    <w:rsid w:val="00DD2DED"/>
    <w:rsid w:val="00DD5460"/>
    <w:rsid w:val="00DD58EC"/>
    <w:rsid w:val="00DE6E86"/>
    <w:rsid w:val="00DF65BF"/>
    <w:rsid w:val="00DF7402"/>
    <w:rsid w:val="00E155A4"/>
    <w:rsid w:val="00E15CAB"/>
    <w:rsid w:val="00E228AA"/>
    <w:rsid w:val="00E431D6"/>
    <w:rsid w:val="00E434D2"/>
    <w:rsid w:val="00E4758D"/>
    <w:rsid w:val="00E5392D"/>
    <w:rsid w:val="00E746BD"/>
    <w:rsid w:val="00E74A05"/>
    <w:rsid w:val="00E77341"/>
    <w:rsid w:val="00E8297D"/>
    <w:rsid w:val="00E91532"/>
    <w:rsid w:val="00E93867"/>
    <w:rsid w:val="00EA348B"/>
    <w:rsid w:val="00EA5952"/>
    <w:rsid w:val="00EA7EEA"/>
    <w:rsid w:val="00EB01BE"/>
    <w:rsid w:val="00EB23BF"/>
    <w:rsid w:val="00EB3811"/>
    <w:rsid w:val="00EB407F"/>
    <w:rsid w:val="00EB6013"/>
    <w:rsid w:val="00EC25CE"/>
    <w:rsid w:val="00ED3397"/>
    <w:rsid w:val="00EE053F"/>
    <w:rsid w:val="00EE68FB"/>
    <w:rsid w:val="00EE7ADE"/>
    <w:rsid w:val="00EF332E"/>
    <w:rsid w:val="00EF637F"/>
    <w:rsid w:val="00EF76CA"/>
    <w:rsid w:val="00F06F57"/>
    <w:rsid w:val="00F10BA3"/>
    <w:rsid w:val="00F13A86"/>
    <w:rsid w:val="00F16A92"/>
    <w:rsid w:val="00F24915"/>
    <w:rsid w:val="00F267BD"/>
    <w:rsid w:val="00F30647"/>
    <w:rsid w:val="00F3312F"/>
    <w:rsid w:val="00F339B3"/>
    <w:rsid w:val="00F35DEC"/>
    <w:rsid w:val="00F401F9"/>
    <w:rsid w:val="00F50533"/>
    <w:rsid w:val="00F56634"/>
    <w:rsid w:val="00F61C83"/>
    <w:rsid w:val="00F70A0E"/>
    <w:rsid w:val="00F745B2"/>
    <w:rsid w:val="00F835EC"/>
    <w:rsid w:val="00F8403F"/>
    <w:rsid w:val="00F92576"/>
    <w:rsid w:val="00F936BD"/>
    <w:rsid w:val="00F945F2"/>
    <w:rsid w:val="00F95D61"/>
    <w:rsid w:val="00F95E8B"/>
    <w:rsid w:val="00F9649B"/>
    <w:rsid w:val="00FA1135"/>
    <w:rsid w:val="00FA2B9C"/>
    <w:rsid w:val="00FB5BE3"/>
    <w:rsid w:val="00FB6BA2"/>
    <w:rsid w:val="00FC34D9"/>
    <w:rsid w:val="00FD1854"/>
    <w:rsid w:val="00FD754F"/>
    <w:rsid w:val="00FD75E1"/>
    <w:rsid w:val="00FE346A"/>
    <w:rsid w:val="00FF06FA"/>
    <w:rsid w:val="00FF3593"/>
    <w:rsid w:val="00FF4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E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inespaciado">
    <w:name w:val="No Spacing"/>
    <w:uiPriority w:val="1"/>
    <w:qFormat/>
    <w:rsid w:val="005378AF"/>
    <w:rPr>
      <w:rFonts w:eastAsiaTheme="minorEastAsia"/>
      <w:lang w:val="es-ES"/>
    </w:rPr>
  </w:style>
  <w:style w:type="paragraph" w:styleId="Prrafodelista">
    <w:name w:val="List Paragraph"/>
    <w:aliases w:val="4 Párrafo de lista,Figuras,Dot pt,No Spacing1,List Paragraph Char Char Char,Indicator Text,List Paragraph1,Numbered Para 1,DH1,lp1,Bullet List,FooterText,numbered,Paragraphe de liste1,Bulletr List Paragraph,列出段落,列出段落1,Listas,List Parag"/>
    <w:basedOn w:val="Normal"/>
    <w:link w:val="PrrafodelistaCar"/>
    <w:uiPriority w:val="34"/>
    <w:qFormat/>
    <w:rsid w:val="007553B1"/>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Bullet List Car,FooterText Car,numbered Car,列出段落 Car"/>
    <w:link w:val="Prrafodelista"/>
    <w:uiPriority w:val="34"/>
    <w:qFormat/>
    <w:rsid w:val="00AE7316"/>
    <w:rPr>
      <w:rFonts w:eastAsiaTheme="minorEastAsia"/>
      <w:lang w:val="es-ES"/>
    </w:rPr>
  </w:style>
  <w:style w:type="table" w:styleId="Tabladelista4">
    <w:name w:val="List Table 4"/>
    <w:basedOn w:val="Tablanormal"/>
    <w:uiPriority w:val="49"/>
    <w:rsid w:val="00A40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8E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e478d193f37f45c5a53e70452823b580">
  <xsd:schema xmlns:xsd="http://www.w3.org/2001/XMLSchema" xmlns:xs="http://www.w3.org/2001/XMLSchema" xmlns:p="http://schemas.microsoft.com/office/2006/metadata/properties" xmlns:ns2="934de279-a636-46ad-b9b5-e1ceb6328101" targetNamespace="http://schemas.microsoft.com/office/2006/metadata/properties" ma:root="true" ma:fieldsID="fa344e3d64fff422f54f86d705bf02e6"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22A5C-535E-4FF4-80A0-F6A938D16AE4}">
  <ds:schemaRefs>
    <ds:schemaRef ds:uri="http://schemas.openxmlformats.org/officeDocument/2006/bibliography"/>
  </ds:schemaRefs>
</ds:datastoreItem>
</file>

<file path=customXml/itemProps2.xml><?xml version="1.0" encoding="utf-8"?>
<ds:datastoreItem xmlns:ds="http://schemas.openxmlformats.org/officeDocument/2006/customXml" ds:itemID="{35A8E0EE-6AE0-40CF-9E5C-D458707DFEAC}"/>
</file>

<file path=customXml/itemProps3.xml><?xml version="1.0" encoding="utf-8"?>
<ds:datastoreItem xmlns:ds="http://schemas.openxmlformats.org/officeDocument/2006/customXml" ds:itemID="{ADA1355F-7DC1-486E-9251-DAFA5436B5AC}"/>
</file>

<file path=customXml/itemProps4.xml><?xml version="1.0" encoding="utf-8"?>
<ds:datastoreItem xmlns:ds="http://schemas.openxmlformats.org/officeDocument/2006/customXml" ds:itemID="{662B2311-D80C-4CAA-8B5D-163B99B937A4}"/>
</file>

<file path=docProps/app.xml><?xml version="1.0" encoding="utf-8"?>
<Properties xmlns="http://schemas.openxmlformats.org/officeDocument/2006/extended-properties" xmlns:vt="http://schemas.openxmlformats.org/officeDocument/2006/docPropsVTypes">
  <Template>Normal</Template>
  <TotalTime>65</TotalTime>
  <Pages>4</Pages>
  <Words>1050</Words>
  <Characters>5472</Characters>
  <Application>Microsoft Office Word</Application>
  <DocSecurity>0</DocSecurity>
  <Lines>218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Marie Claude Brunel Manse</cp:lastModifiedBy>
  <cp:revision>71</cp:revision>
  <cp:lastPrinted>2025-10-29T17:22:00Z</cp:lastPrinted>
  <dcterms:created xsi:type="dcterms:W3CDTF">2025-10-31T16:18:00Z</dcterms:created>
  <dcterms:modified xsi:type="dcterms:W3CDTF">2025-11-05T17:04:00Z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