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1979" w14:textId="435AA4A3" w:rsidR="0021041B" w:rsidRPr="004E5FB7" w:rsidRDefault="00133F1F" w:rsidP="005707D3">
      <w:pPr>
        <w:spacing w:line="276" w:lineRule="auto"/>
        <w:jc w:val="both"/>
        <w:rPr>
          <w:rFonts w:ascii="Noto Sans" w:hAnsi="Noto Sans" w:cs="Noto Sans"/>
          <w:b/>
          <w:bCs/>
          <w:sz w:val="28"/>
          <w:szCs w:val="28"/>
        </w:rPr>
      </w:pPr>
      <w:r>
        <w:rPr>
          <w:rFonts w:ascii="Noto Sans" w:hAnsi="Noto Sans" w:cs="Noto Sans"/>
          <w:b/>
          <w:bCs/>
          <w:sz w:val="28"/>
          <w:szCs w:val="28"/>
        </w:rPr>
        <w:t xml:space="preserve">6.1. </w:t>
      </w:r>
      <w:r w:rsidR="0021041B" w:rsidRPr="004E5FB7">
        <w:rPr>
          <w:rFonts w:ascii="Noto Sans" w:hAnsi="Noto Sans" w:cs="Noto Sans"/>
          <w:b/>
          <w:bCs/>
          <w:sz w:val="28"/>
          <w:szCs w:val="28"/>
        </w:rPr>
        <w:t xml:space="preserve">Articulación </w:t>
      </w:r>
      <w:r w:rsidR="004E5FB7">
        <w:rPr>
          <w:rFonts w:ascii="Noto Sans" w:hAnsi="Noto Sans" w:cs="Noto Sans"/>
          <w:b/>
          <w:bCs/>
          <w:sz w:val="28"/>
          <w:szCs w:val="28"/>
        </w:rPr>
        <w:t xml:space="preserve">con </w:t>
      </w:r>
      <w:r w:rsidR="009A3725" w:rsidRPr="004E5FB7">
        <w:rPr>
          <w:rFonts w:ascii="Noto Sans" w:hAnsi="Noto Sans" w:cs="Noto Sans"/>
          <w:b/>
          <w:bCs/>
          <w:sz w:val="28"/>
          <w:szCs w:val="28"/>
        </w:rPr>
        <w:t>el Sistema Nacional de Centros Públicos (SNCP)</w:t>
      </w:r>
    </w:p>
    <w:p w14:paraId="0814C2FE" w14:textId="4BD15262" w:rsidR="0021041B" w:rsidRPr="00567DE3" w:rsidRDefault="0021041B" w:rsidP="005707D3">
      <w:pPr>
        <w:spacing w:line="276" w:lineRule="auto"/>
        <w:jc w:val="both"/>
        <w:rPr>
          <w:rFonts w:ascii="Noto Sans" w:hAnsi="Noto Sans" w:cs="Noto Sans"/>
          <w:sz w:val="22"/>
          <w:szCs w:val="22"/>
        </w:rPr>
      </w:pPr>
      <w:r w:rsidRPr="00567DE3">
        <w:rPr>
          <w:rFonts w:ascii="Noto Sans" w:hAnsi="Noto Sans" w:cs="Noto Sans"/>
          <w:sz w:val="22"/>
          <w:szCs w:val="22"/>
        </w:rPr>
        <w:t xml:space="preserve">Durante el ejercicio 2025, ECOSUR ha </w:t>
      </w:r>
      <w:r w:rsidR="00F67111" w:rsidRPr="00567DE3">
        <w:rPr>
          <w:rFonts w:ascii="Noto Sans" w:hAnsi="Noto Sans" w:cs="Noto Sans"/>
          <w:sz w:val="22"/>
          <w:szCs w:val="22"/>
        </w:rPr>
        <w:t xml:space="preserve">buscado </w:t>
      </w:r>
      <w:r w:rsidRPr="00567DE3">
        <w:rPr>
          <w:rFonts w:ascii="Noto Sans" w:hAnsi="Noto Sans" w:cs="Noto Sans"/>
          <w:sz w:val="22"/>
          <w:szCs w:val="22"/>
        </w:rPr>
        <w:t>fortalece</w:t>
      </w:r>
      <w:r w:rsidR="00114D53" w:rsidRPr="00567DE3">
        <w:rPr>
          <w:rFonts w:ascii="Noto Sans" w:hAnsi="Noto Sans" w:cs="Noto Sans"/>
          <w:sz w:val="22"/>
          <w:szCs w:val="22"/>
        </w:rPr>
        <w:t>r</w:t>
      </w:r>
      <w:r w:rsidRPr="00567DE3">
        <w:rPr>
          <w:rFonts w:ascii="Noto Sans" w:hAnsi="Noto Sans" w:cs="Noto Sans"/>
          <w:sz w:val="22"/>
          <w:szCs w:val="22"/>
        </w:rPr>
        <w:t xml:space="preserve"> el Sistema Nacional de Centros Públicos (SNCP)</w:t>
      </w:r>
      <w:r w:rsidR="00484B1F" w:rsidRPr="00567DE3">
        <w:rPr>
          <w:rFonts w:ascii="Noto Sans" w:hAnsi="Noto Sans" w:cs="Noto Sans"/>
          <w:sz w:val="22"/>
          <w:szCs w:val="22"/>
        </w:rPr>
        <w:t xml:space="preserve">. </w:t>
      </w:r>
      <w:r w:rsidRPr="00567DE3">
        <w:rPr>
          <w:rFonts w:ascii="Noto Sans" w:hAnsi="Noto Sans" w:cs="Noto Sans"/>
          <w:sz w:val="22"/>
          <w:szCs w:val="22"/>
        </w:rPr>
        <w:t>A continuación, se detallan las principales acciones de articulación, clasificadas por su nivel de integración y los resultados obtenidos</w:t>
      </w:r>
      <w:r w:rsidR="003F219B" w:rsidRPr="00567DE3">
        <w:rPr>
          <w:rFonts w:ascii="Noto Sans" w:hAnsi="Noto Sans" w:cs="Noto Sans"/>
          <w:sz w:val="22"/>
          <w:szCs w:val="22"/>
        </w:rPr>
        <w:t xml:space="preserve"> (Véase también el Anexo correspondiente).</w:t>
      </w:r>
    </w:p>
    <w:p w14:paraId="3C226DE8" w14:textId="0500FF61" w:rsidR="0021041B" w:rsidRPr="00567DE3" w:rsidRDefault="0021041B" w:rsidP="005707D3">
      <w:pPr>
        <w:spacing w:line="276" w:lineRule="auto"/>
        <w:jc w:val="both"/>
        <w:rPr>
          <w:rFonts w:ascii="Noto Sans" w:hAnsi="Noto Sans" w:cs="Noto Sans"/>
          <w:b/>
          <w:bCs/>
          <w:sz w:val="22"/>
          <w:szCs w:val="22"/>
        </w:rPr>
      </w:pPr>
      <w:r w:rsidRPr="00567DE3">
        <w:rPr>
          <w:rFonts w:ascii="Noto Sans" w:hAnsi="Noto Sans" w:cs="Noto Sans"/>
          <w:b/>
          <w:bCs/>
          <w:sz w:val="22"/>
          <w:szCs w:val="22"/>
        </w:rPr>
        <w:t xml:space="preserve">1. Articulación de </w:t>
      </w:r>
      <w:r w:rsidR="003F219B" w:rsidRPr="00567DE3">
        <w:rPr>
          <w:rFonts w:ascii="Noto Sans" w:hAnsi="Noto Sans" w:cs="Noto Sans"/>
          <w:b/>
          <w:bCs/>
          <w:sz w:val="22"/>
          <w:szCs w:val="22"/>
        </w:rPr>
        <w:t>a</w:t>
      </w:r>
      <w:r w:rsidRPr="00567DE3">
        <w:rPr>
          <w:rFonts w:ascii="Noto Sans" w:hAnsi="Noto Sans" w:cs="Noto Sans"/>
          <w:b/>
          <w:bCs/>
          <w:sz w:val="22"/>
          <w:szCs w:val="22"/>
        </w:rPr>
        <w:t xml:space="preserve">lto </w:t>
      </w:r>
      <w:r w:rsidR="003F219B" w:rsidRPr="00567DE3">
        <w:rPr>
          <w:rFonts w:ascii="Noto Sans" w:hAnsi="Noto Sans" w:cs="Noto Sans"/>
          <w:b/>
          <w:bCs/>
          <w:sz w:val="22"/>
          <w:szCs w:val="22"/>
        </w:rPr>
        <w:t>n</w:t>
      </w:r>
      <w:r w:rsidRPr="00567DE3">
        <w:rPr>
          <w:rFonts w:ascii="Noto Sans" w:hAnsi="Noto Sans" w:cs="Noto Sans"/>
          <w:b/>
          <w:bCs/>
          <w:sz w:val="22"/>
          <w:szCs w:val="22"/>
        </w:rPr>
        <w:t xml:space="preserve">ivel: </w:t>
      </w:r>
      <w:r w:rsidR="003F219B" w:rsidRPr="00567DE3">
        <w:rPr>
          <w:rFonts w:ascii="Noto Sans" w:hAnsi="Noto Sans" w:cs="Noto Sans"/>
          <w:b/>
          <w:bCs/>
          <w:sz w:val="22"/>
          <w:szCs w:val="22"/>
        </w:rPr>
        <w:t>c</w:t>
      </w:r>
      <w:r w:rsidRPr="00567DE3">
        <w:rPr>
          <w:rFonts w:ascii="Noto Sans" w:hAnsi="Noto Sans" w:cs="Noto Sans"/>
          <w:b/>
          <w:bCs/>
          <w:sz w:val="22"/>
          <w:szCs w:val="22"/>
        </w:rPr>
        <w:t xml:space="preserve">oinversión y </w:t>
      </w:r>
      <w:r w:rsidR="003F219B" w:rsidRPr="00567DE3">
        <w:rPr>
          <w:rFonts w:ascii="Noto Sans" w:hAnsi="Noto Sans" w:cs="Noto Sans"/>
          <w:b/>
          <w:bCs/>
          <w:sz w:val="22"/>
          <w:szCs w:val="22"/>
        </w:rPr>
        <w:t>e</w:t>
      </w:r>
      <w:r w:rsidRPr="00567DE3">
        <w:rPr>
          <w:rFonts w:ascii="Noto Sans" w:hAnsi="Noto Sans" w:cs="Noto Sans"/>
          <w:b/>
          <w:bCs/>
          <w:sz w:val="22"/>
          <w:szCs w:val="22"/>
        </w:rPr>
        <w:t xml:space="preserve">jecución </w:t>
      </w:r>
      <w:r w:rsidR="003F219B" w:rsidRPr="00567DE3">
        <w:rPr>
          <w:rFonts w:ascii="Noto Sans" w:hAnsi="Noto Sans" w:cs="Noto Sans"/>
          <w:b/>
          <w:bCs/>
          <w:sz w:val="22"/>
          <w:szCs w:val="22"/>
        </w:rPr>
        <w:t>c</w:t>
      </w:r>
      <w:r w:rsidRPr="00567DE3">
        <w:rPr>
          <w:rFonts w:ascii="Noto Sans" w:hAnsi="Noto Sans" w:cs="Noto Sans"/>
          <w:b/>
          <w:bCs/>
          <w:sz w:val="22"/>
          <w:szCs w:val="22"/>
        </w:rPr>
        <w:t>onjunta</w:t>
      </w:r>
    </w:p>
    <w:p w14:paraId="0FDF2E22" w14:textId="77777777" w:rsidR="0021041B" w:rsidRPr="00567DE3" w:rsidRDefault="0021041B" w:rsidP="005707D3">
      <w:pPr>
        <w:spacing w:line="276" w:lineRule="auto"/>
        <w:jc w:val="both"/>
        <w:rPr>
          <w:rFonts w:ascii="Noto Sans" w:hAnsi="Noto Sans" w:cs="Noto Sans"/>
          <w:sz w:val="22"/>
          <w:szCs w:val="22"/>
        </w:rPr>
      </w:pPr>
      <w:r w:rsidRPr="00567DE3">
        <w:rPr>
          <w:rFonts w:ascii="Noto Sans" w:hAnsi="Noto Sans" w:cs="Noto Sans"/>
          <w:sz w:val="22"/>
          <w:szCs w:val="22"/>
        </w:rPr>
        <w:t>ECOSUR ha consolidado alianzas estratégicas que implican una alta corresponsabilidad, recursos compartidos y una ejecución conjunta del quehacer científico y académico.</w:t>
      </w:r>
    </w:p>
    <w:p w14:paraId="7FF98173" w14:textId="69A1656B" w:rsidR="0021041B" w:rsidRPr="00567DE3" w:rsidRDefault="0021041B" w:rsidP="005707D3">
      <w:pPr>
        <w:numPr>
          <w:ilvl w:val="0"/>
          <w:numId w:val="1"/>
        </w:numPr>
        <w:spacing w:line="276" w:lineRule="auto"/>
        <w:jc w:val="both"/>
        <w:rPr>
          <w:rFonts w:ascii="Noto Sans" w:hAnsi="Noto Sans" w:cs="Noto Sans"/>
          <w:sz w:val="22"/>
          <w:szCs w:val="22"/>
        </w:rPr>
      </w:pPr>
      <w:r w:rsidRPr="00567DE3">
        <w:rPr>
          <w:rFonts w:ascii="Noto Sans" w:hAnsi="Noto Sans" w:cs="Noto Sans"/>
          <w:b/>
          <w:bCs/>
          <w:sz w:val="22"/>
          <w:szCs w:val="22"/>
        </w:rPr>
        <w:t>Fortalecimiento de la Universidad Rosario Castellanos en Chiapas</w:t>
      </w:r>
      <w:r w:rsidR="003F219B" w:rsidRPr="00567DE3">
        <w:rPr>
          <w:rFonts w:ascii="Noto Sans" w:hAnsi="Noto Sans" w:cs="Noto Sans"/>
          <w:b/>
          <w:bCs/>
          <w:sz w:val="22"/>
          <w:szCs w:val="22"/>
        </w:rPr>
        <w:t>.</w:t>
      </w:r>
      <w:r w:rsidRPr="00567DE3">
        <w:rPr>
          <w:rFonts w:ascii="Noto Sans" w:hAnsi="Noto Sans" w:cs="Noto Sans"/>
          <w:sz w:val="22"/>
          <w:szCs w:val="22"/>
        </w:rPr>
        <w:t> En 2025, ECOSUR formalizó su compromiso con este proyecto prioritario mediante la firma de un convenio de colaboración con S</w:t>
      </w:r>
      <w:r w:rsidR="00484B1F" w:rsidRPr="00567DE3">
        <w:rPr>
          <w:rFonts w:ascii="Noto Sans" w:hAnsi="Noto Sans" w:cs="Noto Sans"/>
          <w:sz w:val="22"/>
          <w:szCs w:val="22"/>
        </w:rPr>
        <w:t>ecihti</w:t>
      </w:r>
      <w:r w:rsidRPr="00567DE3">
        <w:rPr>
          <w:rFonts w:ascii="Noto Sans" w:hAnsi="Noto Sans" w:cs="Noto Sans"/>
          <w:sz w:val="22"/>
          <w:szCs w:val="22"/>
        </w:rPr>
        <w:t>, UNACH y CIESAS. Esta articulación de alto nivel tiene como objetivo el diseño e implementación conjunta de capacidades académicas, con la meta de co-dirigir tesis y desarrollar proyectos de investigación aplicada en la región.</w:t>
      </w:r>
    </w:p>
    <w:p w14:paraId="21E81456" w14:textId="084E529F" w:rsidR="0021041B" w:rsidRPr="00567DE3" w:rsidRDefault="0021041B" w:rsidP="005707D3">
      <w:pPr>
        <w:numPr>
          <w:ilvl w:val="0"/>
          <w:numId w:val="1"/>
        </w:numPr>
        <w:spacing w:line="276" w:lineRule="auto"/>
        <w:jc w:val="both"/>
        <w:rPr>
          <w:rFonts w:ascii="Noto Sans" w:hAnsi="Noto Sans" w:cs="Noto Sans"/>
          <w:sz w:val="22"/>
          <w:szCs w:val="22"/>
        </w:rPr>
      </w:pPr>
      <w:r w:rsidRPr="00567DE3">
        <w:rPr>
          <w:rFonts w:ascii="Noto Sans" w:hAnsi="Noto Sans" w:cs="Noto Sans"/>
          <w:b/>
          <w:bCs/>
          <w:sz w:val="22"/>
          <w:szCs w:val="22"/>
        </w:rPr>
        <w:t xml:space="preserve">Liderazgo en </w:t>
      </w:r>
      <w:r w:rsidR="005747D7" w:rsidRPr="00567DE3">
        <w:rPr>
          <w:rFonts w:ascii="Noto Sans" w:hAnsi="Noto Sans" w:cs="Noto Sans"/>
          <w:b/>
          <w:bCs/>
          <w:sz w:val="22"/>
          <w:szCs w:val="22"/>
        </w:rPr>
        <w:t>p</w:t>
      </w:r>
      <w:r w:rsidRPr="00567DE3">
        <w:rPr>
          <w:rFonts w:ascii="Noto Sans" w:hAnsi="Noto Sans" w:cs="Noto Sans"/>
          <w:b/>
          <w:bCs/>
          <w:sz w:val="22"/>
          <w:szCs w:val="22"/>
        </w:rPr>
        <w:t xml:space="preserve">osgrados </w:t>
      </w:r>
      <w:r w:rsidR="005747D7" w:rsidRPr="00567DE3">
        <w:rPr>
          <w:rFonts w:ascii="Noto Sans" w:hAnsi="Noto Sans" w:cs="Noto Sans"/>
          <w:b/>
          <w:bCs/>
          <w:sz w:val="22"/>
          <w:szCs w:val="22"/>
        </w:rPr>
        <w:t>n</w:t>
      </w:r>
      <w:r w:rsidRPr="00567DE3">
        <w:rPr>
          <w:rFonts w:ascii="Noto Sans" w:hAnsi="Noto Sans" w:cs="Noto Sans"/>
          <w:b/>
          <w:bCs/>
          <w:sz w:val="22"/>
          <w:szCs w:val="22"/>
        </w:rPr>
        <w:t>acionales</w:t>
      </w:r>
      <w:r w:rsidR="005747D7" w:rsidRPr="00567DE3">
        <w:rPr>
          <w:rFonts w:ascii="Noto Sans" w:hAnsi="Noto Sans" w:cs="Noto Sans"/>
          <w:b/>
          <w:bCs/>
          <w:sz w:val="22"/>
          <w:szCs w:val="22"/>
        </w:rPr>
        <w:t>.</w:t>
      </w:r>
      <w:r w:rsidRPr="00567DE3">
        <w:rPr>
          <w:rFonts w:ascii="Noto Sans" w:hAnsi="Noto Sans" w:cs="Noto Sans"/>
          <w:sz w:val="22"/>
          <w:szCs w:val="22"/>
        </w:rPr>
        <w:t xml:space="preserve"> ECOSUR lidera la operación del Doctorado Nacional en Ciencias en Agroecología, creado y operado con ocho </w:t>
      </w:r>
      <w:r w:rsidR="003F219B" w:rsidRPr="00567DE3">
        <w:rPr>
          <w:rFonts w:ascii="Noto Sans" w:hAnsi="Noto Sans" w:cs="Noto Sans"/>
          <w:sz w:val="22"/>
          <w:szCs w:val="22"/>
        </w:rPr>
        <w:t xml:space="preserve">otros </w:t>
      </w:r>
      <w:r w:rsidRPr="00567DE3">
        <w:rPr>
          <w:rFonts w:ascii="Noto Sans" w:hAnsi="Noto Sans" w:cs="Noto Sans"/>
          <w:sz w:val="22"/>
          <w:szCs w:val="22"/>
        </w:rPr>
        <w:t>Centros Públicos (CIAD, CIATEJ, INECOL, Centrogeo, CIBNOR, CICY, IPICYT y CIQA). Durante 2025, el programa consolidó su primera generación de estudiantes y realizó un taller interinstitucional para actualizar el plan de estudios, alineándolo con las necesidades del sector agroecológico del país.</w:t>
      </w:r>
    </w:p>
    <w:p w14:paraId="5F60EEF2" w14:textId="694AE462" w:rsidR="0021041B" w:rsidRPr="00567DE3" w:rsidRDefault="0021041B" w:rsidP="005707D3">
      <w:pPr>
        <w:numPr>
          <w:ilvl w:val="0"/>
          <w:numId w:val="1"/>
        </w:numPr>
        <w:spacing w:line="276" w:lineRule="auto"/>
        <w:jc w:val="both"/>
        <w:rPr>
          <w:rFonts w:ascii="Noto Sans" w:hAnsi="Noto Sans" w:cs="Noto Sans"/>
          <w:sz w:val="22"/>
          <w:szCs w:val="22"/>
        </w:rPr>
      </w:pPr>
      <w:r w:rsidRPr="00567DE3">
        <w:rPr>
          <w:rFonts w:ascii="Noto Sans" w:hAnsi="Noto Sans" w:cs="Noto Sans"/>
          <w:b/>
          <w:bCs/>
          <w:sz w:val="22"/>
          <w:szCs w:val="22"/>
        </w:rPr>
        <w:t xml:space="preserve">Infraestructura </w:t>
      </w:r>
      <w:r w:rsidR="005747D7" w:rsidRPr="00567DE3">
        <w:rPr>
          <w:rFonts w:ascii="Noto Sans" w:hAnsi="Noto Sans" w:cs="Noto Sans"/>
          <w:b/>
          <w:bCs/>
          <w:sz w:val="22"/>
          <w:szCs w:val="22"/>
        </w:rPr>
        <w:t>c</w:t>
      </w:r>
      <w:r w:rsidRPr="00567DE3">
        <w:rPr>
          <w:rFonts w:ascii="Noto Sans" w:hAnsi="Noto Sans" w:cs="Noto Sans"/>
          <w:b/>
          <w:bCs/>
          <w:sz w:val="22"/>
          <w:szCs w:val="22"/>
        </w:rPr>
        <w:t xml:space="preserve">ompartida para la </w:t>
      </w:r>
      <w:r w:rsidR="005747D7" w:rsidRPr="00567DE3">
        <w:rPr>
          <w:rFonts w:ascii="Noto Sans" w:hAnsi="Noto Sans" w:cs="Noto Sans"/>
          <w:b/>
          <w:bCs/>
          <w:sz w:val="22"/>
          <w:szCs w:val="22"/>
        </w:rPr>
        <w:t>c</w:t>
      </w:r>
      <w:r w:rsidRPr="00567DE3">
        <w:rPr>
          <w:rFonts w:ascii="Noto Sans" w:hAnsi="Noto Sans" w:cs="Noto Sans"/>
          <w:b/>
          <w:bCs/>
          <w:sz w:val="22"/>
          <w:szCs w:val="22"/>
        </w:rPr>
        <w:t>iencia</w:t>
      </w:r>
      <w:r w:rsidR="005747D7" w:rsidRPr="00567DE3">
        <w:rPr>
          <w:rFonts w:ascii="Noto Sans" w:hAnsi="Noto Sans" w:cs="Noto Sans"/>
          <w:b/>
          <w:bCs/>
          <w:sz w:val="22"/>
          <w:szCs w:val="22"/>
        </w:rPr>
        <w:t>.</w:t>
      </w:r>
      <w:r w:rsidRPr="00567DE3">
        <w:rPr>
          <w:rFonts w:ascii="Noto Sans" w:hAnsi="Noto Sans" w:cs="Noto Sans"/>
          <w:sz w:val="22"/>
          <w:szCs w:val="22"/>
        </w:rPr>
        <w:t> ECOSUR implementa un modelo de alta eficiencia en el uso de infraestructura. Destaca la colaboración con el CICESE para el uso de un sistema de posicionamiento global (GPS GARMIN) en trabajos de campo, y el acuerdo con el CICY para el resguardo de 38 kg de germoplasma de maíz nativo en el Laboratorio Regional para el Estudio y Conservación de Germoplasma "GermoLab", asegurando la conservación de este recurso estratégico por un periodo de 10 años.</w:t>
      </w:r>
    </w:p>
    <w:p w14:paraId="24BBB399" w14:textId="359DE6D1" w:rsidR="0021041B" w:rsidRPr="00567DE3" w:rsidRDefault="0021041B" w:rsidP="005707D3">
      <w:pPr>
        <w:numPr>
          <w:ilvl w:val="0"/>
          <w:numId w:val="1"/>
        </w:numPr>
        <w:spacing w:line="276" w:lineRule="auto"/>
        <w:jc w:val="both"/>
        <w:rPr>
          <w:rFonts w:ascii="Noto Sans" w:hAnsi="Noto Sans" w:cs="Noto Sans"/>
          <w:sz w:val="22"/>
          <w:szCs w:val="22"/>
        </w:rPr>
      </w:pPr>
      <w:r w:rsidRPr="00567DE3">
        <w:rPr>
          <w:rFonts w:ascii="Noto Sans" w:hAnsi="Noto Sans" w:cs="Noto Sans"/>
          <w:b/>
          <w:bCs/>
          <w:sz w:val="22"/>
          <w:szCs w:val="22"/>
        </w:rPr>
        <w:t xml:space="preserve">Atención a </w:t>
      </w:r>
      <w:r w:rsidR="005747D7" w:rsidRPr="00567DE3">
        <w:rPr>
          <w:rFonts w:ascii="Noto Sans" w:hAnsi="Noto Sans" w:cs="Noto Sans"/>
          <w:b/>
          <w:bCs/>
          <w:sz w:val="22"/>
          <w:szCs w:val="22"/>
        </w:rPr>
        <w:t>p</w:t>
      </w:r>
      <w:r w:rsidRPr="00567DE3">
        <w:rPr>
          <w:rFonts w:ascii="Noto Sans" w:hAnsi="Noto Sans" w:cs="Noto Sans"/>
          <w:b/>
          <w:bCs/>
          <w:sz w:val="22"/>
          <w:szCs w:val="22"/>
        </w:rPr>
        <w:t xml:space="preserve">roblemas </w:t>
      </w:r>
      <w:r w:rsidR="005747D7" w:rsidRPr="00567DE3">
        <w:rPr>
          <w:rFonts w:ascii="Noto Sans" w:hAnsi="Noto Sans" w:cs="Noto Sans"/>
          <w:b/>
          <w:bCs/>
          <w:sz w:val="22"/>
          <w:szCs w:val="22"/>
        </w:rPr>
        <w:t>n</w:t>
      </w:r>
      <w:r w:rsidRPr="00567DE3">
        <w:rPr>
          <w:rFonts w:ascii="Noto Sans" w:hAnsi="Noto Sans" w:cs="Noto Sans"/>
          <w:b/>
          <w:bCs/>
          <w:sz w:val="22"/>
          <w:szCs w:val="22"/>
        </w:rPr>
        <w:t>acionales (Sargazo):</w:t>
      </w:r>
      <w:r w:rsidRPr="00567DE3">
        <w:rPr>
          <w:rFonts w:ascii="Noto Sans" w:hAnsi="Noto Sans" w:cs="Noto Sans"/>
          <w:sz w:val="22"/>
          <w:szCs w:val="22"/>
        </w:rPr>
        <w:t xml:space="preserve"> La institución participa activamente en </w:t>
      </w:r>
      <w:r w:rsidR="005747D7" w:rsidRPr="00567DE3">
        <w:rPr>
          <w:rFonts w:ascii="Noto Sans" w:hAnsi="Noto Sans" w:cs="Noto Sans"/>
          <w:sz w:val="22"/>
          <w:szCs w:val="22"/>
        </w:rPr>
        <w:t>tres</w:t>
      </w:r>
      <w:r w:rsidRPr="00567DE3">
        <w:rPr>
          <w:rFonts w:ascii="Noto Sans" w:hAnsi="Noto Sans" w:cs="Noto Sans"/>
          <w:sz w:val="22"/>
          <w:szCs w:val="22"/>
        </w:rPr>
        <w:t xml:space="preserve"> de los </w:t>
      </w:r>
      <w:r w:rsidR="005747D7" w:rsidRPr="00567DE3">
        <w:rPr>
          <w:rFonts w:ascii="Noto Sans" w:hAnsi="Noto Sans" w:cs="Noto Sans"/>
          <w:sz w:val="22"/>
          <w:szCs w:val="22"/>
        </w:rPr>
        <w:t>seis</w:t>
      </w:r>
      <w:r w:rsidRPr="00567DE3">
        <w:rPr>
          <w:rFonts w:ascii="Noto Sans" w:hAnsi="Noto Sans" w:cs="Noto Sans"/>
          <w:sz w:val="22"/>
          <w:szCs w:val="22"/>
        </w:rPr>
        <w:t xml:space="preserve"> grupos de la Mesa Técnica para el Manejo Integral del Sargazo Pelágico. En 2025, </w:t>
      </w:r>
      <w:r w:rsidR="005747D7" w:rsidRPr="00567DE3">
        <w:rPr>
          <w:rFonts w:ascii="Noto Sans" w:hAnsi="Noto Sans" w:cs="Noto Sans"/>
          <w:sz w:val="22"/>
          <w:szCs w:val="22"/>
        </w:rPr>
        <w:t xml:space="preserve">el </w:t>
      </w:r>
      <w:r w:rsidRPr="00567DE3">
        <w:rPr>
          <w:rFonts w:ascii="Noto Sans" w:hAnsi="Noto Sans" w:cs="Noto Sans"/>
          <w:sz w:val="22"/>
          <w:szCs w:val="22"/>
        </w:rPr>
        <w:t>personal de investigación contribuy</w:t>
      </w:r>
      <w:r w:rsidR="005747D7" w:rsidRPr="00567DE3">
        <w:rPr>
          <w:rFonts w:ascii="Noto Sans" w:hAnsi="Noto Sans" w:cs="Noto Sans"/>
          <w:sz w:val="22"/>
          <w:szCs w:val="22"/>
        </w:rPr>
        <w:t xml:space="preserve">ó </w:t>
      </w:r>
      <w:r w:rsidRPr="00567DE3">
        <w:rPr>
          <w:rFonts w:ascii="Noto Sans" w:hAnsi="Noto Sans" w:cs="Noto Sans"/>
          <w:sz w:val="22"/>
          <w:szCs w:val="22"/>
        </w:rPr>
        <w:t xml:space="preserve">al desarrollo </w:t>
      </w:r>
      <w:r w:rsidRPr="00567DE3">
        <w:rPr>
          <w:rFonts w:ascii="Noto Sans" w:hAnsi="Noto Sans" w:cs="Noto Sans"/>
          <w:sz w:val="22"/>
          <w:szCs w:val="22"/>
        </w:rPr>
        <w:lastRenderedPageBreak/>
        <w:t>de los grupos sobre: 1) Monitoreo, detección y pronóstico de alerta temprana; 2) Biología del sargazo y 3) Biodiversidad asociada e impactos.</w:t>
      </w:r>
    </w:p>
    <w:p w14:paraId="4FE5CDD2" w14:textId="05ACB8B8" w:rsidR="0021041B" w:rsidRPr="00567DE3" w:rsidRDefault="0021041B" w:rsidP="005707D3">
      <w:pPr>
        <w:numPr>
          <w:ilvl w:val="0"/>
          <w:numId w:val="1"/>
        </w:numPr>
        <w:spacing w:line="276" w:lineRule="auto"/>
        <w:jc w:val="both"/>
        <w:rPr>
          <w:rFonts w:ascii="Noto Sans" w:hAnsi="Noto Sans" w:cs="Noto Sans"/>
          <w:sz w:val="22"/>
          <w:szCs w:val="22"/>
        </w:rPr>
      </w:pPr>
      <w:r w:rsidRPr="00567DE3">
        <w:rPr>
          <w:rFonts w:ascii="Noto Sans" w:hAnsi="Noto Sans" w:cs="Noto Sans"/>
          <w:b/>
          <w:bCs/>
          <w:sz w:val="22"/>
          <w:szCs w:val="22"/>
        </w:rPr>
        <w:t>Operación de Laboratorios Nacionales:</w:t>
      </w:r>
      <w:r w:rsidRPr="00567DE3">
        <w:rPr>
          <w:rFonts w:ascii="Noto Sans" w:hAnsi="Noto Sans" w:cs="Noto Sans"/>
          <w:sz w:val="22"/>
          <w:szCs w:val="22"/>
        </w:rPr>
        <w:t> ECOSUR acredita y opera tres Laboratorios Nacionales: el de Biotecnología Ambiental y Agroecológico (LABTAA), el de Oceanografía (con sedes en Campeche -laboratorio de biodiversidad marina y cambio climático-, Chetumal - laboratorio de oceanografía física y meiofauna- y Villahermosa – Laboratorio de ecología y manejo de humedales, y sistemas de información geográfica en Villahermosa) y el de Investigaciones Ecotecnológicas para la Sustentabilidad (LANIES). Además, su participación en el Laboratorio Nacional de Nano y Biomateriales (LANNBio) con el CINVESTAV Mérida, ha permitido que personal de investigación de ECOSUR acceda a equipos de especialidad, potenciando la generación de publicaciones de alto impacto.</w:t>
      </w:r>
    </w:p>
    <w:p w14:paraId="670A0C8B" w14:textId="606371CA" w:rsidR="0021041B" w:rsidRPr="00567DE3" w:rsidRDefault="0021041B" w:rsidP="005707D3">
      <w:pPr>
        <w:spacing w:line="276" w:lineRule="auto"/>
        <w:rPr>
          <w:rFonts w:ascii="Noto Sans" w:hAnsi="Noto Sans" w:cs="Noto Sans"/>
          <w:b/>
          <w:bCs/>
          <w:sz w:val="22"/>
          <w:szCs w:val="22"/>
        </w:rPr>
      </w:pPr>
      <w:r w:rsidRPr="00567DE3">
        <w:rPr>
          <w:rFonts w:ascii="Noto Sans" w:hAnsi="Noto Sans" w:cs="Noto Sans"/>
          <w:b/>
          <w:bCs/>
          <w:sz w:val="22"/>
          <w:szCs w:val="22"/>
        </w:rPr>
        <w:t xml:space="preserve">2. Articulación de </w:t>
      </w:r>
      <w:r w:rsidR="008F6D00" w:rsidRPr="00567DE3">
        <w:rPr>
          <w:rFonts w:ascii="Noto Sans" w:hAnsi="Noto Sans" w:cs="Noto Sans"/>
          <w:b/>
          <w:bCs/>
          <w:sz w:val="22"/>
          <w:szCs w:val="22"/>
        </w:rPr>
        <w:t>n</w:t>
      </w:r>
      <w:r w:rsidRPr="00567DE3">
        <w:rPr>
          <w:rFonts w:ascii="Noto Sans" w:hAnsi="Noto Sans" w:cs="Noto Sans"/>
          <w:b/>
          <w:bCs/>
          <w:sz w:val="22"/>
          <w:szCs w:val="22"/>
        </w:rPr>
        <w:t xml:space="preserve">ivel </w:t>
      </w:r>
      <w:r w:rsidR="008F6D00" w:rsidRPr="00567DE3">
        <w:rPr>
          <w:rFonts w:ascii="Noto Sans" w:hAnsi="Noto Sans" w:cs="Noto Sans"/>
          <w:b/>
          <w:bCs/>
          <w:sz w:val="22"/>
          <w:szCs w:val="22"/>
        </w:rPr>
        <w:t>m</w:t>
      </w:r>
      <w:r w:rsidRPr="00567DE3">
        <w:rPr>
          <w:rFonts w:ascii="Noto Sans" w:hAnsi="Noto Sans" w:cs="Noto Sans"/>
          <w:b/>
          <w:bCs/>
          <w:sz w:val="22"/>
          <w:szCs w:val="22"/>
        </w:rPr>
        <w:t xml:space="preserve">edio: </w:t>
      </w:r>
      <w:r w:rsidR="008F6D00" w:rsidRPr="00567DE3">
        <w:rPr>
          <w:rFonts w:ascii="Noto Sans" w:hAnsi="Noto Sans" w:cs="Noto Sans"/>
          <w:b/>
          <w:bCs/>
          <w:sz w:val="22"/>
          <w:szCs w:val="22"/>
        </w:rPr>
        <w:t>c</w:t>
      </w:r>
      <w:r w:rsidRPr="00567DE3">
        <w:rPr>
          <w:rFonts w:ascii="Noto Sans" w:hAnsi="Noto Sans" w:cs="Noto Sans"/>
          <w:b/>
          <w:bCs/>
          <w:sz w:val="22"/>
          <w:szCs w:val="22"/>
        </w:rPr>
        <w:t xml:space="preserve">oordinación y </w:t>
      </w:r>
      <w:r w:rsidR="008F6D00" w:rsidRPr="00567DE3">
        <w:rPr>
          <w:rFonts w:ascii="Noto Sans" w:hAnsi="Noto Sans" w:cs="Noto Sans"/>
          <w:b/>
          <w:bCs/>
          <w:sz w:val="22"/>
          <w:szCs w:val="22"/>
        </w:rPr>
        <w:t>r</w:t>
      </w:r>
      <w:r w:rsidRPr="00567DE3">
        <w:rPr>
          <w:rFonts w:ascii="Noto Sans" w:hAnsi="Noto Sans" w:cs="Noto Sans"/>
          <w:b/>
          <w:bCs/>
          <w:sz w:val="22"/>
          <w:szCs w:val="22"/>
        </w:rPr>
        <w:t xml:space="preserve">edes </w:t>
      </w:r>
      <w:r w:rsidR="008F6D00" w:rsidRPr="00567DE3">
        <w:rPr>
          <w:rFonts w:ascii="Noto Sans" w:hAnsi="Noto Sans" w:cs="Noto Sans"/>
          <w:b/>
          <w:bCs/>
          <w:sz w:val="22"/>
          <w:szCs w:val="22"/>
        </w:rPr>
        <w:t>t</w:t>
      </w:r>
      <w:r w:rsidRPr="00567DE3">
        <w:rPr>
          <w:rFonts w:ascii="Noto Sans" w:hAnsi="Noto Sans" w:cs="Noto Sans"/>
          <w:b/>
          <w:bCs/>
          <w:sz w:val="22"/>
          <w:szCs w:val="22"/>
        </w:rPr>
        <w:t>emáticas</w:t>
      </w:r>
    </w:p>
    <w:p w14:paraId="07902217" w14:textId="77777777" w:rsidR="0021041B" w:rsidRPr="00567DE3" w:rsidRDefault="0021041B" w:rsidP="005707D3">
      <w:pPr>
        <w:spacing w:line="276" w:lineRule="auto"/>
        <w:rPr>
          <w:rFonts w:ascii="Noto Sans" w:hAnsi="Noto Sans" w:cs="Noto Sans"/>
          <w:sz w:val="22"/>
          <w:szCs w:val="22"/>
        </w:rPr>
      </w:pPr>
      <w:r w:rsidRPr="00567DE3">
        <w:rPr>
          <w:rFonts w:ascii="Noto Sans" w:hAnsi="Noto Sans" w:cs="Noto Sans"/>
          <w:sz w:val="22"/>
          <w:szCs w:val="22"/>
        </w:rPr>
        <w:t>ECOSUR mantiene una presencia constante y coordinada en redes y espacios de reflexión que fortalecen el tejido científico del país.</w:t>
      </w:r>
    </w:p>
    <w:p w14:paraId="3F788DEB" w14:textId="09475812" w:rsidR="0021041B" w:rsidRPr="00567DE3" w:rsidRDefault="0021041B" w:rsidP="00B269A7">
      <w:pPr>
        <w:numPr>
          <w:ilvl w:val="0"/>
          <w:numId w:val="2"/>
        </w:numPr>
        <w:spacing w:line="276" w:lineRule="auto"/>
        <w:jc w:val="both"/>
        <w:rPr>
          <w:rFonts w:ascii="Noto Sans" w:hAnsi="Noto Sans" w:cs="Noto Sans"/>
          <w:sz w:val="22"/>
          <w:szCs w:val="22"/>
        </w:rPr>
      </w:pPr>
      <w:r w:rsidRPr="00567DE3">
        <w:rPr>
          <w:rFonts w:ascii="Noto Sans" w:hAnsi="Noto Sans" w:cs="Noto Sans"/>
          <w:b/>
          <w:bCs/>
          <w:sz w:val="22"/>
          <w:szCs w:val="22"/>
        </w:rPr>
        <w:t>Incidencia en el SNCP</w:t>
      </w:r>
      <w:r w:rsidR="00B269A7" w:rsidRPr="00567DE3">
        <w:rPr>
          <w:rFonts w:ascii="Noto Sans" w:hAnsi="Noto Sans" w:cs="Noto Sans"/>
          <w:b/>
          <w:bCs/>
          <w:sz w:val="22"/>
          <w:szCs w:val="22"/>
        </w:rPr>
        <w:t>.</w:t>
      </w:r>
      <w:r w:rsidRPr="00567DE3">
        <w:rPr>
          <w:rFonts w:ascii="Noto Sans" w:hAnsi="Noto Sans" w:cs="Noto Sans"/>
          <w:sz w:val="22"/>
          <w:szCs w:val="22"/>
        </w:rPr>
        <w:t> A través de su participación en la Coordinación 2 de Salud y Ambiente del SNCP, incide en la definición de la agenda nacional de investigación.</w:t>
      </w:r>
    </w:p>
    <w:p w14:paraId="0EE947BE" w14:textId="501E499D" w:rsidR="0021041B" w:rsidRPr="00567DE3" w:rsidRDefault="0021041B" w:rsidP="00B269A7">
      <w:pPr>
        <w:numPr>
          <w:ilvl w:val="0"/>
          <w:numId w:val="2"/>
        </w:numPr>
        <w:spacing w:line="276" w:lineRule="auto"/>
        <w:jc w:val="both"/>
        <w:rPr>
          <w:rFonts w:ascii="Noto Sans" w:hAnsi="Noto Sans" w:cs="Noto Sans"/>
          <w:sz w:val="22"/>
          <w:szCs w:val="22"/>
        </w:rPr>
      </w:pPr>
      <w:r w:rsidRPr="00567DE3">
        <w:rPr>
          <w:rFonts w:ascii="Noto Sans" w:hAnsi="Noto Sans" w:cs="Noto Sans"/>
          <w:b/>
          <w:bCs/>
          <w:sz w:val="22"/>
          <w:szCs w:val="22"/>
        </w:rPr>
        <w:t>Participación en Redes Nacionales:</w:t>
      </w:r>
      <w:r w:rsidRPr="00567DE3">
        <w:rPr>
          <w:rFonts w:ascii="Noto Sans" w:hAnsi="Noto Sans" w:cs="Noto Sans"/>
          <w:sz w:val="22"/>
          <w:szCs w:val="22"/>
        </w:rPr>
        <w:t xml:space="preserve"> ECOSUR es miembro activo de al menos siete redes estratégicas (RECORECOS, PMC, CiGoM, RESAC, RENADESI, RENIES-Equidad). </w:t>
      </w:r>
      <w:r w:rsidR="00AA54CC" w:rsidRPr="00567DE3">
        <w:rPr>
          <w:rFonts w:ascii="Noto Sans" w:hAnsi="Noto Sans" w:cs="Noto Sans"/>
          <w:sz w:val="22"/>
          <w:szCs w:val="22"/>
        </w:rPr>
        <w:t xml:space="preserve">En el marco de la Red de Sustentabilidad y Acción Climática (RESAC), colaboró con CIBNOR para la elaboración de su Plan Ambiental. Con el CICY e INECOL se trabajó en 1) el </w:t>
      </w:r>
      <w:r w:rsidR="00EA69AB" w:rsidRPr="00567DE3">
        <w:rPr>
          <w:rFonts w:ascii="Noto Sans" w:hAnsi="Noto Sans" w:cs="Noto Sans"/>
          <w:sz w:val="22"/>
          <w:szCs w:val="22"/>
        </w:rPr>
        <w:t>d</w:t>
      </w:r>
      <w:r w:rsidR="00AA54CC" w:rsidRPr="00567DE3">
        <w:rPr>
          <w:rFonts w:ascii="Noto Sans" w:hAnsi="Noto Sans" w:cs="Noto Sans"/>
          <w:sz w:val="22"/>
          <w:szCs w:val="22"/>
        </w:rPr>
        <w:t>iagnóstico de IES y Centros de Investigación de la Región Sur Sureste que proporcionan planes educativos en Cambio Climático</w:t>
      </w:r>
      <w:r w:rsidR="00B269A7" w:rsidRPr="00567DE3">
        <w:rPr>
          <w:rFonts w:ascii="Noto Sans" w:hAnsi="Noto Sans" w:cs="Noto Sans"/>
          <w:sz w:val="22"/>
          <w:szCs w:val="22"/>
        </w:rPr>
        <w:t>;</w:t>
      </w:r>
      <w:r w:rsidR="00AA54CC" w:rsidRPr="00567DE3">
        <w:rPr>
          <w:rFonts w:ascii="Noto Sans" w:hAnsi="Noto Sans" w:cs="Noto Sans"/>
          <w:sz w:val="22"/>
          <w:szCs w:val="22"/>
        </w:rPr>
        <w:t xml:space="preserve"> 2) </w:t>
      </w:r>
      <w:r w:rsidR="00EA69AB" w:rsidRPr="00567DE3">
        <w:rPr>
          <w:rFonts w:ascii="Noto Sans" w:hAnsi="Noto Sans" w:cs="Noto Sans"/>
          <w:sz w:val="22"/>
          <w:szCs w:val="22"/>
        </w:rPr>
        <w:t>i</w:t>
      </w:r>
      <w:r w:rsidR="00AA54CC" w:rsidRPr="00567DE3">
        <w:rPr>
          <w:rFonts w:ascii="Noto Sans" w:hAnsi="Noto Sans" w:cs="Noto Sans"/>
          <w:sz w:val="22"/>
          <w:szCs w:val="22"/>
        </w:rPr>
        <w:t>dentificación y presentación de proyectos para dar solución a las problemáticas socioambientales y de cambio climático de las IES y sus áreas de influencia</w:t>
      </w:r>
      <w:r w:rsidR="00EA69AB" w:rsidRPr="00567DE3">
        <w:rPr>
          <w:rFonts w:ascii="Noto Sans" w:hAnsi="Noto Sans" w:cs="Noto Sans"/>
          <w:sz w:val="22"/>
          <w:szCs w:val="22"/>
        </w:rPr>
        <w:t>;</w:t>
      </w:r>
      <w:r w:rsidR="00AA54CC" w:rsidRPr="00567DE3">
        <w:rPr>
          <w:rFonts w:ascii="Noto Sans" w:hAnsi="Noto Sans" w:cs="Noto Sans"/>
          <w:sz w:val="22"/>
          <w:szCs w:val="22"/>
        </w:rPr>
        <w:t xml:space="preserve"> 3) </w:t>
      </w:r>
      <w:r w:rsidR="00EA69AB" w:rsidRPr="00567DE3">
        <w:rPr>
          <w:rFonts w:ascii="Noto Sans" w:hAnsi="Noto Sans" w:cs="Noto Sans"/>
          <w:sz w:val="22"/>
          <w:szCs w:val="22"/>
        </w:rPr>
        <w:t>i</w:t>
      </w:r>
      <w:r w:rsidR="00AA54CC" w:rsidRPr="00567DE3">
        <w:rPr>
          <w:rFonts w:ascii="Noto Sans" w:hAnsi="Noto Sans" w:cs="Noto Sans"/>
          <w:sz w:val="22"/>
          <w:szCs w:val="22"/>
        </w:rPr>
        <w:t>dentificación de especialistas en temas de sustentabilidad</w:t>
      </w:r>
      <w:r w:rsidR="00EA69AB" w:rsidRPr="00567DE3">
        <w:rPr>
          <w:rFonts w:ascii="Noto Sans" w:hAnsi="Noto Sans" w:cs="Noto Sans"/>
          <w:sz w:val="22"/>
          <w:szCs w:val="22"/>
        </w:rPr>
        <w:t>;</w:t>
      </w:r>
      <w:r w:rsidR="00AA54CC" w:rsidRPr="00567DE3">
        <w:rPr>
          <w:rFonts w:ascii="Noto Sans" w:hAnsi="Noto Sans" w:cs="Noto Sans"/>
          <w:sz w:val="22"/>
          <w:szCs w:val="22"/>
        </w:rPr>
        <w:t xml:space="preserve"> 4) </w:t>
      </w:r>
      <w:r w:rsidR="00EA69AB" w:rsidRPr="00567DE3">
        <w:rPr>
          <w:rFonts w:ascii="Noto Sans" w:hAnsi="Noto Sans" w:cs="Noto Sans"/>
          <w:sz w:val="22"/>
          <w:szCs w:val="22"/>
        </w:rPr>
        <w:t>a</w:t>
      </w:r>
      <w:r w:rsidR="00AA54CC" w:rsidRPr="00567DE3">
        <w:rPr>
          <w:rFonts w:ascii="Noto Sans" w:hAnsi="Noto Sans" w:cs="Noto Sans"/>
          <w:sz w:val="22"/>
          <w:szCs w:val="22"/>
        </w:rPr>
        <w:t>portes de las instituciones de educación superior a la Agenda 2030</w:t>
      </w:r>
      <w:r w:rsidR="00EA69AB" w:rsidRPr="00567DE3">
        <w:rPr>
          <w:rFonts w:ascii="Noto Sans" w:hAnsi="Noto Sans" w:cs="Noto Sans"/>
          <w:sz w:val="22"/>
          <w:szCs w:val="22"/>
        </w:rPr>
        <w:t>; y</w:t>
      </w:r>
      <w:r w:rsidR="00AA54CC" w:rsidRPr="00567DE3">
        <w:rPr>
          <w:rFonts w:ascii="Noto Sans" w:hAnsi="Noto Sans" w:cs="Noto Sans"/>
          <w:sz w:val="22"/>
          <w:szCs w:val="22"/>
        </w:rPr>
        <w:t xml:space="preserve"> 5) </w:t>
      </w:r>
      <w:r w:rsidR="00EA69AB" w:rsidRPr="00567DE3">
        <w:rPr>
          <w:rFonts w:ascii="Noto Sans" w:hAnsi="Noto Sans" w:cs="Noto Sans"/>
          <w:sz w:val="22"/>
          <w:szCs w:val="22"/>
        </w:rPr>
        <w:t>o</w:t>
      </w:r>
      <w:r w:rsidR="00AA54CC" w:rsidRPr="00567DE3">
        <w:rPr>
          <w:rFonts w:ascii="Noto Sans" w:hAnsi="Noto Sans" w:cs="Noto Sans"/>
          <w:sz w:val="22"/>
          <w:szCs w:val="22"/>
        </w:rPr>
        <w:t xml:space="preserve">btención de </w:t>
      </w:r>
      <w:r w:rsidR="00EA69AB" w:rsidRPr="00567DE3">
        <w:rPr>
          <w:rFonts w:ascii="Noto Sans" w:hAnsi="Noto Sans" w:cs="Noto Sans"/>
          <w:sz w:val="22"/>
          <w:szCs w:val="22"/>
        </w:rPr>
        <w:t>i</w:t>
      </w:r>
      <w:r w:rsidR="00AA54CC" w:rsidRPr="00567DE3">
        <w:rPr>
          <w:rFonts w:ascii="Noto Sans" w:hAnsi="Noto Sans" w:cs="Noto Sans"/>
          <w:sz w:val="22"/>
          <w:szCs w:val="22"/>
        </w:rPr>
        <w:t xml:space="preserve">ndicadores de medición relacionados con la Agenda 2030, así como del ranking de medición internacional aplicables a IES.  </w:t>
      </w:r>
    </w:p>
    <w:p w14:paraId="2671EF8F" w14:textId="09CD1943" w:rsidR="0021041B" w:rsidRPr="00567DE3" w:rsidRDefault="0021041B" w:rsidP="005707D3">
      <w:pPr>
        <w:numPr>
          <w:ilvl w:val="0"/>
          <w:numId w:val="2"/>
        </w:numPr>
        <w:spacing w:line="276" w:lineRule="auto"/>
        <w:jc w:val="both"/>
        <w:rPr>
          <w:rFonts w:ascii="Noto Sans" w:hAnsi="Noto Sans" w:cs="Noto Sans"/>
          <w:sz w:val="22"/>
          <w:szCs w:val="22"/>
        </w:rPr>
      </w:pPr>
      <w:r w:rsidRPr="00567DE3">
        <w:rPr>
          <w:rFonts w:ascii="Noto Sans" w:hAnsi="Noto Sans" w:cs="Noto Sans"/>
          <w:b/>
          <w:bCs/>
          <w:sz w:val="22"/>
          <w:szCs w:val="22"/>
        </w:rPr>
        <w:t xml:space="preserve">Producción </w:t>
      </w:r>
      <w:r w:rsidR="00EA69AB" w:rsidRPr="00567DE3">
        <w:rPr>
          <w:rFonts w:ascii="Noto Sans" w:hAnsi="Noto Sans" w:cs="Noto Sans"/>
          <w:b/>
          <w:bCs/>
          <w:sz w:val="22"/>
          <w:szCs w:val="22"/>
        </w:rPr>
        <w:t>e</w:t>
      </w:r>
      <w:r w:rsidRPr="00567DE3">
        <w:rPr>
          <w:rFonts w:ascii="Noto Sans" w:hAnsi="Noto Sans" w:cs="Noto Sans"/>
          <w:b/>
          <w:bCs/>
          <w:sz w:val="22"/>
          <w:szCs w:val="22"/>
        </w:rPr>
        <w:t xml:space="preserve">ditorial </w:t>
      </w:r>
      <w:r w:rsidR="00EA69AB" w:rsidRPr="00567DE3">
        <w:rPr>
          <w:rFonts w:ascii="Noto Sans" w:hAnsi="Noto Sans" w:cs="Noto Sans"/>
          <w:b/>
          <w:bCs/>
          <w:sz w:val="22"/>
          <w:szCs w:val="22"/>
        </w:rPr>
        <w:t>c</w:t>
      </w:r>
      <w:r w:rsidRPr="00567DE3">
        <w:rPr>
          <w:rFonts w:ascii="Noto Sans" w:hAnsi="Noto Sans" w:cs="Noto Sans"/>
          <w:b/>
          <w:bCs/>
          <w:sz w:val="22"/>
          <w:szCs w:val="22"/>
        </w:rPr>
        <w:t>onjunta</w:t>
      </w:r>
      <w:r w:rsidR="00EA69AB" w:rsidRPr="00567DE3">
        <w:rPr>
          <w:rFonts w:ascii="Noto Sans" w:hAnsi="Noto Sans" w:cs="Noto Sans"/>
          <w:b/>
          <w:bCs/>
          <w:sz w:val="22"/>
          <w:szCs w:val="22"/>
        </w:rPr>
        <w:t>.</w:t>
      </w:r>
      <w:r w:rsidRPr="00567DE3">
        <w:rPr>
          <w:rFonts w:ascii="Noto Sans" w:hAnsi="Noto Sans" w:cs="Noto Sans"/>
          <w:sz w:val="22"/>
          <w:szCs w:val="22"/>
        </w:rPr>
        <w:t> La coedición del libro </w:t>
      </w:r>
      <w:r w:rsidRPr="00567DE3">
        <w:rPr>
          <w:rFonts w:ascii="Noto Sans" w:hAnsi="Noto Sans" w:cs="Noto Sans"/>
          <w:i/>
          <w:iCs/>
          <w:sz w:val="22"/>
          <w:szCs w:val="22"/>
        </w:rPr>
        <w:t>"Migración haitiana en las Américas. Entre la espera y la movilidad"</w:t>
      </w:r>
      <w:r w:rsidRPr="00567DE3">
        <w:rPr>
          <w:rFonts w:ascii="Noto Sans" w:hAnsi="Noto Sans" w:cs="Noto Sans"/>
          <w:sz w:val="22"/>
          <w:szCs w:val="22"/>
        </w:rPr>
        <w:t xml:space="preserve"> con El Colegio de Michoacán es un ejemplo </w:t>
      </w:r>
      <w:r w:rsidRPr="00567DE3">
        <w:rPr>
          <w:rFonts w:ascii="Noto Sans" w:hAnsi="Noto Sans" w:cs="Noto Sans"/>
          <w:sz w:val="22"/>
          <w:szCs w:val="22"/>
        </w:rPr>
        <w:lastRenderedPageBreak/>
        <w:t>de articulación para la difusión del conocimiento. Publicada en 2025, la obra integra esfuerzos de investigación de ambas instituciones y se distribuye en las redes de bibliotecas de ambos Centros Públicos.</w:t>
      </w:r>
    </w:p>
    <w:p w14:paraId="7C0008E1" w14:textId="3EEC4101" w:rsidR="0021041B" w:rsidRPr="00567DE3" w:rsidRDefault="0021041B" w:rsidP="005707D3">
      <w:pPr>
        <w:numPr>
          <w:ilvl w:val="0"/>
          <w:numId w:val="2"/>
        </w:numPr>
        <w:spacing w:line="276" w:lineRule="auto"/>
        <w:jc w:val="both"/>
        <w:rPr>
          <w:rFonts w:ascii="Noto Sans" w:hAnsi="Noto Sans" w:cs="Noto Sans"/>
          <w:sz w:val="22"/>
          <w:szCs w:val="22"/>
        </w:rPr>
      </w:pPr>
      <w:r w:rsidRPr="00567DE3">
        <w:rPr>
          <w:rFonts w:ascii="Noto Sans" w:hAnsi="Noto Sans" w:cs="Noto Sans"/>
          <w:b/>
          <w:bCs/>
          <w:sz w:val="22"/>
          <w:szCs w:val="22"/>
        </w:rPr>
        <w:t>Seminarios y Formación de Vocaciones</w:t>
      </w:r>
      <w:r w:rsidR="00EA69AB" w:rsidRPr="00567DE3">
        <w:rPr>
          <w:rFonts w:ascii="Noto Sans" w:hAnsi="Noto Sans" w:cs="Noto Sans"/>
          <w:b/>
          <w:bCs/>
          <w:sz w:val="22"/>
          <w:szCs w:val="22"/>
        </w:rPr>
        <w:t>.</w:t>
      </w:r>
      <w:r w:rsidRPr="00567DE3">
        <w:rPr>
          <w:rFonts w:ascii="Noto Sans" w:hAnsi="Noto Sans" w:cs="Noto Sans"/>
          <w:sz w:val="22"/>
          <w:szCs w:val="22"/>
        </w:rPr>
        <w:t> El Seminario Permanente "Historia Reciente de América Latina</w:t>
      </w:r>
      <w:r w:rsidR="00AA54CC" w:rsidRPr="00567DE3">
        <w:rPr>
          <w:rFonts w:ascii="Noto Sans" w:hAnsi="Noto Sans" w:cs="Noto Sans"/>
          <w:sz w:val="22"/>
          <w:szCs w:val="22"/>
        </w:rPr>
        <w:t>”,</w:t>
      </w:r>
      <w:r w:rsidRPr="00567DE3">
        <w:rPr>
          <w:rFonts w:ascii="Noto Sans" w:hAnsi="Noto Sans" w:cs="Noto Sans"/>
          <w:sz w:val="22"/>
          <w:szCs w:val="22"/>
        </w:rPr>
        <w:t xml:space="preserve"> en colaboración con el Instituto Mora, realizó sesiones </w:t>
      </w:r>
      <w:r w:rsidR="00AA54CC" w:rsidRPr="00567DE3">
        <w:rPr>
          <w:rFonts w:ascii="Noto Sans" w:hAnsi="Noto Sans" w:cs="Noto Sans"/>
          <w:sz w:val="22"/>
          <w:szCs w:val="22"/>
        </w:rPr>
        <w:t xml:space="preserve">mensuales </w:t>
      </w:r>
      <w:r w:rsidRPr="00567DE3">
        <w:rPr>
          <w:rFonts w:ascii="Noto Sans" w:hAnsi="Noto Sans" w:cs="Noto Sans"/>
          <w:sz w:val="22"/>
          <w:szCs w:val="22"/>
        </w:rPr>
        <w:t>durante el año, fortaleciendo el intercambio académico. Asimismo, la participación en el programa "Pasaporte al Camino del Conocimiento Científico</w:t>
      </w:r>
      <w:r w:rsidR="00AA54CC" w:rsidRPr="00567DE3">
        <w:rPr>
          <w:rFonts w:ascii="Noto Sans" w:hAnsi="Noto Sans" w:cs="Noto Sans"/>
          <w:sz w:val="22"/>
          <w:szCs w:val="22"/>
        </w:rPr>
        <w:t>”,</w:t>
      </w:r>
      <w:r w:rsidRPr="00567DE3">
        <w:rPr>
          <w:rFonts w:ascii="Noto Sans" w:hAnsi="Noto Sans" w:cs="Noto Sans"/>
          <w:sz w:val="22"/>
          <w:szCs w:val="22"/>
        </w:rPr>
        <w:t xml:space="preserve"> en colaboración con el CICY, acercó la ciencia a </w:t>
      </w:r>
      <w:r w:rsidR="00EA69AB" w:rsidRPr="00567DE3">
        <w:rPr>
          <w:rFonts w:ascii="Noto Sans" w:hAnsi="Noto Sans" w:cs="Noto Sans"/>
          <w:sz w:val="22"/>
          <w:szCs w:val="22"/>
        </w:rPr>
        <w:t>escolares</w:t>
      </w:r>
      <w:r w:rsidRPr="00567DE3">
        <w:rPr>
          <w:rFonts w:ascii="Noto Sans" w:hAnsi="Noto Sans" w:cs="Noto Sans"/>
          <w:sz w:val="22"/>
          <w:szCs w:val="22"/>
        </w:rPr>
        <w:t xml:space="preserve"> de nivel </w:t>
      </w:r>
      <w:r w:rsidR="00AA54CC" w:rsidRPr="00567DE3">
        <w:rPr>
          <w:rFonts w:ascii="Noto Sans" w:hAnsi="Noto Sans" w:cs="Noto Sans"/>
          <w:sz w:val="22"/>
          <w:szCs w:val="22"/>
        </w:rPr>
        <w:t>básico</w:t>
      </w:r>
      <w:r w:rsidRPr="00567DE3">
        <w:rPr>
          <w:rFonts w:ascii="Noto Sans" w:hAnsi="Noto Sans" w:cs="Noto Sans"/>
          <w:sz w:val="22"/>
          <w:szCs w:val="22"/>
        </w:rPr>
        <w:t>, fomentando vocaciones científicas en la región.</w:t>
      </w:r>
    </w:p>
    <w:p w14:paraId="40A9DBAF" w14:textId="1CA5A643" w:rsidR="0021041B" w:rsidRPr="00567DE3" w:rsidRDefault="0021041B" w:rsidP="005707D3">
      <w:pPr>
        <w:spacing w:line="276" w:lineRule="auto"/>
        <w:rPr>
          <w:rFonts w:ascii="Noto Sans" w:hAnsi="Noto Sans" w:cs="Noto Sans"/>
          <w:b/>
          <w:bCs/>
          <w:sz w:val="22"/>
          <w:szCs w:val="22"/>
        </w:rPr>
      </w:pPr>
      <w:r w:rsidRPr="00567DE3">
        <w:rPr>
          <w:rFonts w:ascii="Noto Sans" w:hAnsi="Noto Sans" w:cs="Noto Sans"/>
          <w:b/>
          <w:bCs/>
          <w:sz w:val="22"/>
          <w:szCs w:val="22"/>
        </w:rPr>
        <w:t xml:space="preserve">3. Instrumentos </w:t>
      </w:r>
      <w:r w:rsidR="00EA69AB" w:rsidRPr="00567DE3">
        <w:rPr>
          <w:rFonts w:ascii="Noto Sans" w:hAnsi="Noto Sans" w:cs="Noto Sans"/>
          <w:b/>
          <w:bCs/>
          <w:sz w:val="22"/>
          <w:szCs w:val="22"/>
        </w:rPr>
        <w:t>j</w:t>
      </w:r>
      <w:r w:rsidRPr="00567DE3">
        <w:rPr>
          <w:rFonts w:ascii="Noto Sans" w:hAnsi="Noto Sans" w:cs="Noto Sans"/>
          <w:b/>
          <w:bCs/>
          <w:sz w:val="22"/>
          <w:szCs w:val="22"/>
        </w:rPr>
        <w:t xml:space="preserve">urídicos y </w:t>
      </w:r>
      <w:r w:rsidR="00EA69AB" w:rsidRPr="00567DE3">
        <w:rPr>
          <w:rFonts w:ascii="Noto Sans" w:hAnsi="Noto Sans" w:cs="Noto Sans"/>
          <w:b/>
          <w:bCs/>
          <w:sz w:val="22"/>
          <w:szCs w:val="22"/>
        </w:rPr>
        <w:t>g</w:t>
      </w:r>
      <w:r w:rsidRPr="00567DE3">
        <w:rPr>
          <w:rFonts w:ascii="Noto Sans" w:hAnsi="Noto Sans" w:cs="Noto Sans"/>
          <w:b/>
          <w:bCs/>
          <w:sz w:val="22"/>
          <w:szCs w:val="22"/>
        </w:rPr>
        <w:t xml:space="preserve">estión de la </w:t>
      </w:r>
      <w:r w:rsidR="00EA69AB" w:rsidRPr="00567DE3">
        <w:rPr>
          <w:rFonts w:ascii="Noto Sans" w:hAnsi="Noto Sans" w:cs="Noto Sans"/>
          <w:b/>
          <w:bCs/>
          <w:sz w:val="22"/>
          <w:szCs w:val="22"/>
        </w:rPr>
        <w:t>c</w:t>
      </w:r>
      <w:r w:rsidRPr="00567DE3">
        <w:rPr>
          <w:rFonts w:ascii="Noto Sans" w:hAnsi="Noto Sans" w:cs="Noto Sans"/>
          <w:b/>
          <w:bCs/>
          <w:sz w:val="22"/>
          <w:szCs w:val="22"/>
        </w:rPr>
        <w:t>olaboración</w:t>
      </w:r>
    </w:p>
    <w:p w14:paraId="4F5D90F4" w14:textId="77777777" w:rsidR="0021041B" w:rsidRPr="00567DE3" w:rsidRDefault="0021041B" w:rsidP="005707D3">
      <w:pPr>
        <w:spacing w:line="276" w:lineRule="auto"/>
        <w:jc w:val="both"/>
        <w:rPr>
          <w:rFonts w:ascii="Noto Sans" w:hAnsi="Noto Sans" w:cs="Noto Sans"/>
          <w:sz w:val="22"/>
          <w:szCs w:val="22"/>
        </w:rPr>
      </w:pPr>
      <w:r w:rsidRPr="00567DE3">
        <w:rPr>
          <w:rFonts w:ascii="Noto Sans" w:hAnsi="Noto Sans" w:cs="Noto Sans"/>
          <w:sz w:val="22"/>
          <w:szCs w:val="22"/>
        </w:rPr>
        <w:t>Para sostener estas dinámicas, ECOSUR ha fortalecido su marco normativo de colaboración.</w:t>
      </w:r>
    </w:p>
    <w:p w14:paraId="538ECC50" w14:textId="590219C0" w:rsidR="0021041B" w:rsidRPr="00567DE3" w:rsidRDefault="0021041B" w:rsidP="005707D3">
      <w:pPr>
        <w:numPr>
          <w:ilvl w:val="0"/>
          <w:numId w:val="3"/>
        </w:numPr>
        <w:spacing w:line="276" w:lineRule="auto"/>
        <w:jc w:val="both"/>
        <w:rPr>
          <w:rFonts w:ascii="Noto Sans" w:hAnsi="Noto Sans" w:cs="Noto Sans"/>
          <w:sz w:val="22"/>
          <w:szCs w:val="22"/>
        </w:rPr>
      </w:pPr>
      <w:r w:rsidRPr="00567DE3">
        <w:rPr>
          <w:rFonts w:ascii="Noto Sans" w:hAnsi="Noto Sans" w:cs="Noto Sans"/>
          <w:b/>
          <w:bCs/>
          <w:sz w:val="22"/>
          <w:szCs w:val="22"/>
        </w:rPr>
        <w:t>Convenios Estratégicos</w:t>
      </w:r>
      <w:r w:rsidR="00EA69AB" w:rsidRPr="00567DE3">
        <w:rPr>
          <w:rFonts w:ascii="Noto Sans" w:hAnsi="Noto Sans" w:cs="Noto Sans"/>
          <w:b/>
          <w:bCs/>
          <w:sz w:val="22"/>
          <w:szCs w:val="22"/>
        </w:rPr>
        <w:t>.</w:t>
      </w:r>
      <w:r w:rsidRPr="00567DE3">
        <w:rPr>
          <w:rFonts w:ascii="Noto Sans" w:hAnsi="Noto Sans" w:cs="Noto Sans"/>
          <w:sz w:val="22"/>
          <w:szCs w:val="22"/>
        </w:rPr>
        <w:t xml:space="preserve"> En 2025, firmó </w:t>
      </w:r>
      <w:r w:rsidR="00AA54CC" w:rsidRPr="00567DE3">
        <w:rPr>
          <w:rFonts w:ascii="Noto Sans" w:hAnsi="Noto Sans" w:cs="Noto Sans"/>
          <w:sz w:val="22"/>
          <w:szCs w:val="22"/>
        </w:rPr>
        <w:t xml:space="preserve">dos convenios generales con </w:t>
      </w:r>
      <w:r w:rsidR="00EA69AB" w:rsidRPr="00567DE3">
        <w:rPr>
          <w:rFonts w:ascii="Noto Sans" w:hAnsi="Noto Sans" w:cs="Noto Sans"/>
          <w:sz w:val="22"/>
          <w:szCs w:val="22"/>
        </w:rPr>
        <w:t xml:space="preserve">el </w:t>
      </w:r>
      <w:r w:rsidR="00AA54CC" w:rsidRPr="00567DE3">
        <w:rPr>
          <w:rFonts w:ascii="Noto Sans" w:hAnsi="Noto Sans" w:cs="Noto Sans"/>
          <w:sz w:val="22"/>
          <w:szCs w:val="22"/>
        </w:rPr>
        <w:t>CICY</w:t>
      </w:r>
      <w:r w:rsidR="00EA69AB" w:rsidRPr="00567DE3">
        <w:rPr>
          <w:rFonts w:ascii="Noto Sans" w:hAnsi="Noto Sans" w:cs="Noto Sans"/>
          <w:sz w:val="22"/>
          <w:szCs w:val="22"/>
        </w:rPr>
        <w:t xml:space="preserve"> y</w:t>
      </w:r>
      <w:r w:rsidR="00AA54CC" w:rsidRPr="00567DE3">
        <w:rPr>
          <w:rFonts w:ascii="Noto Sans" w:hAnsi="Noto Sans" w:cs="Noto Sans"/>
          <w:sz w:val="22"/>
          <w:szCs w:val="22"/>
        </w:rPr>
        <w:t xml:space="preserve"> COLEF)</w:t>
      </w:r>
      <w:r w:rsidR="00EA69AB" w:rsidRPr="00567DE3">
        <w:rPr>
          <w:rFonts w:ascii="Noto Sans" w:hAnsi="Noto Sans" w:cs="Noto Sans"/>
          <w:sz w:val="22"/>
          <w:szCs w:val="22"/>
        </w:rPr>
        <w:t xml:space="preserve">, mientras que los </w:t>
      </w:r>
      <w:r w:rsidR="00AC3CC3" w:rsidRPr="00567DE3">
        <w:rPr>
          <w:rFonts w:ascii="Noto Sans" w:hAnsi="Noto Sans" w:cs="Noto Sans"/>
          <w:sz w:val="22"/>
          <w:szCs w:val="22"/>
        </w:rPr>
        <w:t>firmados con CIBNOR y CICESE</w:t>
      </w:r>
      <w:r w:rsidR="00EA69AB" w:rsidRPr="00567DE3">
        <w:rPr>
          <w:rFonts w:ascii="Noto Sans" w:hAnsi="Noto Sans" w:cs="Noto Sans"/>
          <w:sz w:val="22"/>
          <w:szCs w:val="22"/>
        </w:rPr>
        <w:t xml:space="preserve"> se</w:t>
      </w:r>
      <w:r w:rsidR="00AA54CC" w:rsidRPr="00567DE3">
        <w:rPr>
          <w:rFonts w:ascii="Noto Sans" w:hAnsi="Noto Sans" w:cs="Noto Sans"/>
          <w:sz w:val="22"/>
          <w:szCs w:val="22"/>
        </w:rPr>
        <w:t xml:space="preserve"> mantienen vigente</w:t>
      </w:r>
      <w:r w:rsidR="00EA69AB" w:rsidRPr="00567DE3">
        <w:rPr>
          <w:rFonts w:ascii="Noto Sans" w:hAnsi="Noto Sans" w:cs="Noto Sans"/>
          <w:sz w:val="22"/>
          <w:szCs w:val="22"/>
        </w:rPr>
        <w:t>s</w:t>
      </w:r>
      <w:r w:rsidRPr="00567DE3">
        <w:rPr>
          <w:rFonts w:ascii="Noto Sans" w:hAnsi="Noto Sans" w:cs="Noto Sans"/>
          <w:sz w:val="22"/>
          <w:szCs w:val="22"/>
        </w:rPr>
        <w:t>. Destaca la renovación del convenio con el CIESAS para la "Cátedra Jan De Vos" (2025-2028</w:t>
      </w:r>
      <w:r w:rsidR="00AA54CC" w:rsidRPr="00567DE3">
        <w:rPr>
          <w:rFonts w:ascii="Noto Sans" w:hAnsi="Noto Sans" w:cs="Noto Sans"/>
          <w:sz w:val="22"/>
          <w:szCs w:val="22"/>
        </w:rPr>
        <w:t>),</w:t>
      </w:r>
      <w:r w:rsidRPr="00567DE3">
        <w:rPr>
          <w:rFonts w:ascii="Noto Sans" w:hAnsi="Noto Sans" w:cs="Noto Sans"/>
          <w:sz w:val="22"/>
          <w:szCs w:val="22"/>
        </w:rPr>
        <w:t xml:space="preserve"> que garantiza la continuidad de un espacio de alto nivel para el análisis histórico de la frontera sur.</w:t>
      </w:r>
    </w:p>
    <w:p w14:paraId="531D209C" w14:textId="7C90E5CD" w:rsidR="0021041B" w:rsidRPr="00567DE3" w:rsidRDefault="0021041B" w:rsidP="00AC3CC3">
      <w:pPr>
        <w:spacing w:line="276" w:lineRule="auto"/>
        <w:jc w:val="both"/>
        <w:rPr>
          <w:rFonts w:ascii="Noto Sans" w:hAnsi="Noto Sans" w:cs="Noto Sans"/>
          <w:sz w:val="22"/>
          <w:szCs w:val="22"/>
        </w:rPr>
      </w:pPr>
      <w:r w:rsidRPr="00567DE3">
        <w:rPr>
          <w:rFonts w:ascii="Noto Sans" w:hAnsi="Noto Sans" w:cs="Noto Sans"/>
          <w:sz w:val="22"/>
          <w:szCs w:val="22"/>
        </w:rPr>
        <w:t>ECOSUR ha transitado de una lógica de "participación" a una lógica de "gestión de redes de conocimiento</w:t>
      </w:r>
      <w:r w:rsidR="00427C20" w:rsidRPr="00567DE3">
        <w:rPr>
          <w:rFonts w:ascii="Noto Sans" w:hAnsi="Noto Sans" w:cs="Noto Sans"/>
          <w:sz w:val="22"/>
          <w:szCs w:val="22"/>
        </w:rPr>
        <w:t>”.</w:t>
      </w:r>
      <w:r w:rsidRPr="00567DE3">
        <w:rPr>
          <w:rFonts w:ascii="Noto Sans" w:hAnsi="Noto Sans" w:cs="Noto Sans"/>
          <w:sz w:val="22"/>
          <w:szCs w:val="22"/>
        </w:rPr>
        <w:t xml:space="preserve"> La institución no solo reporta actividades, sino que evidencia resultados tangibles de su articulación: diagnósticos regionales, protocolos técnicos para políticas públicas, generaciones de posgrado consolidadas, infraestructura optimizada y producción académica conjunta.</w:t>
      </w:r>
    </w:p>
    <w:sectPr w:rsidR="0021041B" w:rsidRPr="00567DE3" w:rsidSect="009D6457">
      <w:headerReference w:type="default" r:id="rId10"/>
      <w:footerReference w:type="default" r:id="rId11"/>
      <w:pgSz w:w="12240" w:h="15840"/>
      <w:pgMar w:top="2268" w:right="1701" w:bottom="1134" w:left="1418"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716B" w14:textId="77777777" w:rsidR="00FE38FB" w:rsidRDefault="00FE38FB" w:rsidP="008B0322">
      <w:pPr>
        <w:spacing w:after="0" w:line="240" w:lineRule="auto"/>
      </w:pPr>
      <w:r>
        <w:separator/>
      </w:r>
    </w:p>
  </w:endnote>
  <w:endnote w:type="continuationSeparator" w:id="0">
    <w:p w14:paraId="75ED8133" w14:textId="77777777" w:rsidR="00FE38FB" w:rsidRDefault="00FE38FB" w:rsidP="008B0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8E5A" w14:textId="77777777" w:rsidR="009D6457" w:rsidRDefault="009D6457" w:rsidP="009D6457">
    <w:pPr>
      <w:pStyle w:val="Piedepgina"/>
      <w:rPr>
        <w:noProof/>
      </w:rPr>
    </w:pPr>
    <w:r>
      <w:rPr>
        <w:noProof/>
      </w:rPr>
      <w:drawing>
        <wp:anchor distT="0" distB="0" distL="114300" distR="114300" simplePos="0" relativeHeight="251661312" behindDoc="0" locked="0" layoutInCell="1" allowOverlap="1" wp14:anchorId="6D5608DC" wp14:editId="268C4CC4">
          <wp:simplePos x="0" y="0"/>
          <wp:positionH relativeFrom="column">
            <wp:posOffset>-400685</wp:posOffset>
          </wp:positionH>
          <wp:positionV relativeFrom="paragraph">
            <wp:posOffset>127635</wp:posOffset>
          </wp:positionV>
          <wp:extent cx="1076325" cy="611328"/>
          <wp:effectExtent l="0" t="0" r="0" b="0"/>
          <wp:wrapNone/>
          <wp:docPr id="830542335" name="Imagen 4"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07580" name="Imagen 4" descr="Interfaz de usuario gráfica, Texto, Aplicación&#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5608" t="86577" r="71765" b="3492"/>
                  <a:stretch>
                    <a:fillRect/>
                  </a:stretch>
                </pic:blipFill>
                <pic:spPr bwMode="auto">
                  <a:xfrm>
                    <a:off x="0" y="0"/>
                    <a:ext cx="1076325" cy="611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EBEB90" w14:textId="77777777" w:rsidR="009D6457" w:rsidRDefault="009D6457" w:rsidP="009D6457">
    <w:pPr>
      <w:pStyle w:val="Piedepgina"/>
      <w:rPr>
        <w:noProof/>
      </w:rPr>
    </w:pPr>
  </w:p>
  <w:p w14:paraId="74B8B71F" w14:textId="77777777" w:rsidR="009D6457" w:rsidRPr="004376FE" w:rsidRDefault="009D6457" w:rsidP="009D6457">
    <w:pPr>
      <w:pStyle w:val="Piedepgina"/>
      <w:jc w:val="center"/>
      <w:rPr>
        <w:rFonts w:ascii="Noto Sans" w:hAnsi="Noto Sans" w:cs="Noto Sans"/>
      </w:rPr>
    </w:pPr>
    <w:r>
      <w:tab/>
    </w:r>
    <w:r w:rsidRPr="004376FE">
      <w:rPr>
        <w:rFonts w:ascii="Noto Sans" w:hAnsi="Noto Sans" w:cs="Noto Sans"/>
      </w:rPr>
      <w:t>Primera Sesión Ordinaria 2026 de Órgano de Gobierno de ECOSUR</w:t>
    </w:r>
  </w:p>
  <w:p w14:paraId="445DC2FB" w14:textId="77777777" w:rsidR="00245DE9" w:rsidRDefault="00245D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9EE7" w14:textId="77777777" w:rsidR="00FE38FB" w:rsidRDefault="00FE38FB" w:rsidP="008B0322">
      <w:pPr>
        <w:spacing w:after="0" w:line="240" w:lineRule="auto"/>
      </w:pPr>
      <w:r>
        <w:separator/>
      </w:r>
    </w:p>
  </w:footnote>
  <w:footnote w:type="continuationSeparator" w:id="0">
    <w:p w14:paraId="7AE14B26" w14:textId="77777777" w:rsidR="00FE38FB" w:rsidRDefault="00FE38FB" w:rsidP="008B0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4FF7" w14:textId="3D135063" w:rsidR="008B0322" w:rsidRDefault="008B0322">
    <w:pPr>
      <w:pStyle w:val="Encabezado"/>
    </w:pPr>
    <w:r w:rsidRPr="008B0322">
      <w:rPr>
        <w:rFonts w:ascii="Calibri" w:eastAsia="Yu Mincho" w:hAnsi="Calibri" w:cs="Times New Roman"/>
        <w:noProof/>
        <w:kern w:val="0"/>
        <w:sz w:val="22"/>
        <w:szCs w:val="22"/>
        <w:lang w:val="es-ES_tradnl"/>
        <w14:ligatures w14:val="none"/>
      </w:rPr>
      <w:drawing>
        <wp:anchor distT="0" distB="0" distL="114300" distR="114300" simplePos="0" relativeHeight="251659264" behindDoc="0" locked="0" layoutInCell="1" allowOverlap="1" wp14:anchorId="28FFAA3A" wp14:editId="77517DC0">
          <wp:simplePos x="0" y="0"/>
          <wp:positionH relativeFrom="margin">
            <wp:align>left</wp:align>
          </wp:positionH>
          <wp:positionV relativeFrom="paragraph">
            <wp:posOffset>-175563</wp:posOffset>
          </wp:positionV>
          <wp:extent cx="6224756" cy="828675"/>
          <wp:effectExtent l="0" t="0" r="5080" b="0"/>
          <wp:wrapNone/>
          <wp:docPr id="66296478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4756" cy="828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449BA"/>
    <w:multiLevelType w:val="multilevel"/>
    <w:tmpl w:val="3968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A5975"/>
    <w:multiLevelType w:val="multilevel"/>
    <w:tmpl w:val="2836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E6188"/>
    <w:multiLevelType w:val="multilevel"/>
    <w:tmpl w:val="FA12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249216">
    <w:abstractNumId w:val="1"/>
  </w:num>
  <w:num w:numId="2" w16cid:durableId="110364973">
    <w:abstractNumId w:val="2"/>
  </w:num>
  <w:num w:numId="3" w16cid:durableId="57582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1B"/>
    <w:rsid w:val="00065E0A"/>
    <w:rsid w:val="00114D53"/>
    <w:rsid w:val="00133F1F"/>
    <w:rsid w:val="00136A5F"/>
    <w:rsid w:val="00141D02"/>
    <w:rsid w:val="0021041B"/>
    <w:rsid w:val="00245DE9"/>
    <w:rsid w:val="0025325E"/>
    <w:rsid w:val="002C1DA7"/>
    <w:rsid w:val="003027A3"/>
    <w:rsid w:val="003C44A9"/>
    <w:rsid w:val="003F219B"/>
    <w:rsid w:val="00427C20"/>
    <w:rsid w:val="00484B1F"/>
    <w:rsid w:val="004E5FB7"/>
    <w:rsid w:val="00567DE3"/>
    <w:rsid w:val="005707D3"/>
    <w:rsid w:val="005747D7"/>
    <w:rsid w:val="00826EB2"/>
    <w:rsid w:val="008B0322"/>
    <w:rsid w:val="008F6D00"/>
    <w:rsid w:val="009A3725"/>
    <w:rsid w:val="009D6457"/>
    <w:rsid w:val="00AA54CC"/>
    <w:rsid w:val="00AC3CC3"/>
    <w:rsid w:val="00AE6B4B"/>
    <w:rsid w:val="00B269A7"/>
    <w:rsid w:val="00CB2410"/>
    <w:rsid w:val="00D706C0"/>
    <w:rsid w:val="00E86E78"/>
    <w:rsid w:val="00EA69AB"/>
    <w:rsid w:val="00F67111"/>
    <w:rsid w:val="00FE38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BE8A"/>
  <w15:chartTrackingRefBased/>
  <w15:docId w15:val="{73044272-433E-425B-8DB5-9BAFEB7A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0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0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04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04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04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04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04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04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04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4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04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04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04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04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04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04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04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041B"/>
    <w:rPr>
      <w:rFonts w:eastAsiaTheme="majorEastAsia" w:cstheme="majorBidi"/>
      <w:color w:val="272727" w:themeColor="text1" w:themeTint="D8"/>
    </w:rPr>
  </w:style>
  <w:style w:type="paragraph" w:styleId="Ttulo">
    <w:name w:val="Title"/>
    <w:basedOn w:val="Normal"/>
    <w:next w:val="Normal"/>
    <w:link w:val="TtuloCar"/>
    <w:uiPriority w:val="10"/>
    <w:qFormat/>
    <w:rsid w:val="00210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04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04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04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041B"/>
    <w:pPr>
      <w:spacing w:before="160"/>
      <w:jc w:val="center"/>
    </w:pPr>
    <w:rPr>
      <w:i/>
      <w:iCs/>
      <w:color w:val="404040" w:themeColor="text1" w:themeTint="BF"/>
    </w:rPr>
  </w:style>
  <w:style w:type="character" w:customStyle="1" w:styleId="CitaCar">
    <w:name w:val="Cita Car"/>
    <w:basedOn w:val="Fuentedeprrafopredeter"/>
    <w:link w:val="Cita"/>
    <w:uiPriority w:val="29"/>
    <w:rsid w:val="0021041B"/>
    <w:rPr>
      <w:i/>
      <w:iCs/>
      <w:color w:val="404040" w:themeColor="text1" w:themeTint="BF"/>
    </w:rPr>
  </w:style>
  <w:style w:type="paragraph" w:styleId="Prrafodelista">
    <w:name w:val="List Paragraph"/>
    <w:basedOn w:val="Normal"/>
    <w:uiPriority w:val="34"/>
    <w:qFormat/>
    <w:rsid w:val="0021041B"/>
    <w:pPr>
      <w:ind w:left="720"/>
      <w:contextualSpacing/>
    </w:pPr>
  </w:style>
  <w:style w:type="character" w:styleId="nfasisintenso">
    <w:name w:val="Intense Emphasis"/>
    <w:basedOn w:val="Fuentedeprrafopredeter"/>
    <w:uiPriority w:val="21"/>
    <w:qFormat/>
    <w:rsid w:val="0021041B"/>
    <w:rPr>
      <w:i/>
      <w:iCs/>
      <w:color w:val="0F4761" w:themeColor="accent1" w:themeShade="BF"/>
    </w:rPr>
  </w:style>
  <w:style w:type="paragraph" w:styleId="Citadestacada">
    <w:name w:val="Intense Quote"/>
    <w:basedOn w:val="Normal"/>
    <w:next w:val="Normal"/>
    <w:link w:val="CitadestacadaCar"/>
    <w:uiPriority w:val="30"/>
    <w:qFormat/>
    <w:rsid w:val="00210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041B"/>
    <w:rPr>
      <w:i/>
      <w:iCs/>
      <w:color w:val="0F4761" w:themeColor="accent1" w:themeShade="BF"/>
    </w:rPr>
  </w:style>
  <w:style w:type="character" w:styleId="Referenciaintensa">
    <w:name w:val="Intense Reference"/>
    <w:basedOn w:val="Fuentedeprrafopredeter"/>
    <w:uiPriority w:val="32"/>
    <w:qFormat/>
    <w:rsid w:val="0021041B"/>
    <w:rPr>
      <w:b/>
      <w:bCs/>
      <w:smallCaps/>
      <w:color w:val="0F4761" w:themeColor="accent1" w:themeShade="BF"/>
      <w:spacing w:val="5"/>
    </w:rPr>
  </w:style>
  <w:style w:type="paragraph" w:styleId="Encabezado">
    <w:name w:val="header"/>
    <w:basedOn w:val="Normal"/>
    <w:link w:val="EncabezadoCar"/>
    <w:uiPriority w:val="99"/>
    <w:unhideWhenUsed/>
    <w:rsid w:val="008B03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0322"/>
  </w:style>
  <w:style w:type="paragraph" w:styleId="Piedepgina">
    <w:name w:val="footer"/>
    <w:basedOn w:val="Normal"/>
    <w:link w:val="PiedepginaCar"/>
    <w:uiPriority w:val="99"/>
    <w:unhideWhenUsed/>
    <w:rsid w:val="008B03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cion xmlns="a0269784-4d34-4e81-8704-71bf86e9d8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E94E7AE413B4EAAD81C914EA5857A" ma:contentTypeVersion="4" ma:contentTypeDescription="Create a new document." ma:contentTypeScope="" ma:versionID="515cf0ae728efb81997eb8cbe847e058">
  <xsd:schema xmlns:xsd="http://www.w3.org/2001/XMLSchema" xmlns:xs="http://www.w3.org/2001/XMLSchema" xmlns:p="http://schemas.microsoft.com/office/2006/metadata/properties" xmlns:ns2="a0269784-4d34-4e81-8704-71bf86e9d8c2" targetNamespace="http://schemas.microsoft.com/office/2006/metadata/properties" ma:root="true" ma:fieldsID="5dc5e9f307c7e801bdd91867ec0efe04" ns2:_="">
    <xsd:import namespace="a0269784-4d34-4e81-8704-71bf86e9d8c2"/>
    <xsd:element name="properties">
      <xsd:complexType>
        <xsd:sequence>
          <xsd:element name="documentManagement">
            <xsd:complexType>
              <xsd:all>
                <xsd:element ref="ns2:Descripc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9784-4d34-4e81-8704-71bf86e9d8c2" elementFormDefault="qualified">
    <xsd:import namespace="http://schemas.microsoft.com/office/2006/documentManagement/types"/>
    <xsd:import namespace="http://schemas.microsoft.com/office/infopath/2007/PartnerControls"/>
    <xsd:element name="Descripcion" ma:index="8" nillable="true" ma:displayName="Descripcion" ma:description="Resumen del objetivo del folder" ma:format="Dropdown" ma:internalName="Descripc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11911-4746-4946-9C0B-056C83F8B0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868BCE-324F-4F41-8CE7-BCE1239B13A1}">
  <ds:schemaRefs>
    <ds:schemaRef ds:uri="http://schemas.microsoft.com/sharepoint/v3/contenttype/forms"/>
  </ds:schemaRefs>
</ds:datastoreItem>
</file>

<file path=customXml/itemProps3.xml><?xml version="1.0" encoding="utf-8"?>
<ds:datastoreItem xmlns:ds="http://schemas.openxmlformats.org/officeDocument/2006/customXml" ds:itemID="{2B47379D-C21F-43FB-AB19-FD495FF2D31E}"/>
</file>

<file path=docProps/app.xml><?xml version="1.0" encoding="utf-8"?>
<Properties xmlns="http://schemas.openxmlformats.org/officeDocument/2006/extended-properties" xmlns:vt="http://schemas.openxmlformats.org/officeDocument/2006/docPropsVTypes">
  <Template>Normal.dotm</Template>
  <TotalTime>47</TotalTime>
  <Pages>3</Pages>
  <Words>926</Words>
  <Characters>5096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Benigno Gómez y Gómez</dc:creator>
  <cp:keywords/>
  <dc:description/>
  <cp:lastModifiedBy>Habib Augusto Roldán Moreno Cruz</cp:lastModifiedBy>
  <cp:revision>21</cp:revision>
  <dcterms:created xsi:type="dcterms:W3CDTF">2026-03-19T11:51:00Z</dcterms:created>
  <dcterms:modified xsi:type="dcterms:W3CDTF">2026-05-04T19:19:00Z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0x010100FAFE94E7AE413B4EAAD81C914EA5857A</vt:lpwstr>
  </property>
  <property fmtid="{D5CDD505-2E9C-101B-9397-08002B2CF9AE}" pid="3" name="Order">
    <vt:r8>49500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