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31D8E" w14:textId="77777777" w:rsidR="00092445" w:rsidRPr="00AD6C3F" w:rsidRDefault="00092445" w:rsidP="00AD6C3F">
      <w:pPr>
        <w:spacing w:after="120" w:line="276" w:lineRule="auto"/>
        <w:rPr>
          <w:rFonts w:ascii="Noto Sans" w:eastAsia="Times New Roman" w:hAnsi="Noto Sans" w:cs="Noto Sans"/>
          <w:b/>
          <w:bCs/>
          <w:color w:val="0A0A0A"/>
          <w:sz w:val="28"/>
          <w:szCs w:val="28"/>
          <w:lang w:val="es-MX" w:eastAsia="es-MX"/>
        </w:rPr>
      </w:pPr>
      <w:r w:rsidRPr="00AD6C3F">
        <w:rPr>
          <w:rFonts w:ascii="Noto Sans" w:eastAsia="Times New Roman" w:hAnsi="Noto Sans" w:cs="Noto Sans"/>
          <w:b/>
          <w:bCs/>
          <w:color w:val="0A0A0A"/>
          <w:sz w:val="28"/>
          <w:szCs w:val="28"/>
          <w:lang w:val="es-MX" w:eastAsia="es-MX"/>
        </w:rPr>
        <w:t>5.5.1 Cumplimiento de los Compromisos del Gobierno</w:t>
      </w:r>
    </w:p>
    <w:p w14:paraId="5141C27B" w14:textId="77777777" w:rsidR="00092445" w:rsidRPr="00AD6C3F" w:rsidRDefault="00092445" w:rsidP="00AD6C3F">
      <w:pPr>
        <w:spacing w:after="120" w:line="276" w:lineRule="auto"/>
        <w:jc w:val="both"/>
        <w:rPr>
          <w:rFonts w:ascii="Noto Sans" w:eastAsia="Times New Roman" w:hAnsi="Noto Sans" w:cs="Noto Sans"/>
          <w:color w:val="0A0A0A"/>
          <w:sz w:val="22"/>
          <w:szCs w:val="22"/>
          <w:lang w:val="es-MX" w:eastAsia="es-MX"/>
        </w:rPr>
      </w:pPr>
      <w:r w:rsidRPr="00AD6C3F">
        <w:rPr>
          <w:rFonts w:ascii="Noto Sans" w:eastAsia="Times New Roman" w:hAnsi="Noto Sans" w:cs="Noto Sans"/>
          <w:color w:val="0A0A0A"/>
          <w:sz w:val="22"/>
          <w:szCs w:val="22"/>
          <w:lang w:val="es-MX" w:eastAsia="es-MX"/>
        </w:rPr>
        <w:t>Durante 2025, ECOSUR ha consolidado una gestión académica y científica profundamente articulada con los compromisos del Gobierno de México para el segundo piso de la transformación. Las acciones realizadas reflejan esfuerzos de vinculación y colaboración transdisciplinaria para avanzar hacia el bienestar social y ambiental de la Frontera Sur, bajo los pilares de justicia social, sostenibilidad e innovación pública.</w:t>
      </w:r>
    </w:p>
    <w:p w14:paraId="62CEB6D5" w14:textId="77777777" w:rsidR="00092445" w:rsidRPr="00AD6C3F" w:rsidRDefault="00092445" w:rsidP="00AD6C3F">
      <w:pPr>
        <w:spacing w:after="120" w:line="276" w:lineRule="auto"/>
        <w:rPr>
          <w:rFonts w:ascii="Noto Sans" w:eastAsia="Times New Roman" w:hAnsi="Noto Sans" w:cs="Noto Sans"/>
          <w:b/>
          <w:bCs/>
          <w:color w:val="0A0A0A"/>
          <w:sz w:val="22"/>
          <w:szCs w:val="22"/>
          <w:lang w:val="es-MX" w:eastAsia="es-MX"/>
        </w:rPr>
      </w:pPr>
      <w:r w:rsidRPr="00AD6C3F">
        <w:rPr>
          <w:rFonts w:ascii="Noto Sans" w:eastAsia="Times New Roman" w:hAnsi="Noto Sans" w:cs="Noto Sans"/>
          <w:b/>
          <w:bCs/>
          <w:color w:val="0A0A0A"/>
          <w:sz w:val="22"/>
          <w:szCs w:val="22"/>
          <w:lang w:val="es-MX" w:eastAsia="es-MX"/>
        </w:rPr>
        <w:t>República educadora, humanista y científica</w:t>
      </w:r>
    </w:p>
    <w:p w14:paraId="2F48F487" w14:textId="77777777" w:rsidR="00092445" w:rsidRPr="00AD6C3F" w:rsidRDefault="00092445" w:rsidP="00AD6C3F">
      <w:pPr>
        <w:spacing w:after="120" w:line="276" w:lineRule="auto"/>
        <w:jc w:val="both"/>
        <w:rPr>
          <w:rFonts w:ascii="Noto Sans" w:eastAsia="Times New Roman" w:hAnsi="Noto Sans" w:cs="Noto Sans"/>
          <w:color w:val="0A0A0A"/>
          <w:sz w:val="22"/>
          <w:szCs w:val="22"/>
          <w:lang w:val="es-MX" w:eastAsia="es-MX"/>
        </w:rPr>
      </w:pPr>
      <w:r w:rsidRPr="00AD6C3F">
        <w:rPr>
          <w:rFonts w:ascii="Noto Sans" w:eastAsia="Times New Roman" w:hAnsi="Noto Sans" w:cs="Noto Sans"/>
          <w:color w:val="0A0A0A"/>
          <w:sz w:val="22"/>
          <w:szCs w:val="22"/>
          <w:lang w:val="es-MX" w:eastAsia="es-MX"/>
        </w:rPr>
        <w:t xml:space="preserve">En sintonía con el impulso a la educación superior y la democratización del conocimiento, ECOSUR cerró el ejercicio 2025 con una matrícula total </w:t>
      </w:r>
      <w:r w:rsidRPr="00C4341E">
        <w:rPr>
          <w:rFonts w:ascii="Noto Sans" w:eastAsia="Times New Roman" w:hAnsi="Noto Sans" w:cs="Noto Sans"/>
          <w:color w:val="0A0A0A"/>
          <w:sz w:val="22"/>
          <w:szCs w:val="22"/>
          <w:lang w:val="es-MX" w:eastAsia="es-MX"/>
        </w:rPr>
        <w:t>de 473 estudiantes en sus posgrados de alta calidad, de los cuales el 63.8% son mujeres, fortaleciendo la equidad de género en la ciencia. Se consolidó la oferta académica con el reconocimiento</w:t>
      </w:r>
      <w:r w:rsidRPr="00AD6C3F">
        <w:rPr>
          <w:rFonts w:ascii="Noto Sans" w:eastAsia="Times New Roman" w:hAnsi="Noto Sans" w:cs="Noto Sans"/>
          <w:color w:val="0A0A0A"/>
          <w:sz w:val="22"/>
          <w:szCs w:val="22"/>
          <w:lang w:val="es-MX" w:eastAsia="es-MX"/>
        </w:rPr>
        <w:t xml:space="preserve"> de seis programas en el Sistema Nacional de Posgrados (SNP), incluyendo el innovador Doctorado interinstitucional en Agroecología. La institución reafirmó la educación como un derecho mediante la política </w:t>
      </w:r>
      <w:r w:rsidRPr="00C4341E">
        <w:rPr>
          <w:rFonts w:ascii="Noto Sans" w:eastAsia="Times New Roman" w:hAnsi="Noto Sans" w:cs="Noto Sans"/>
          <w:color w:val="0A0A0A"/>
          <w:sz w:val="22"/>
          <w:szCs w:val="22"/>
          <w:lang w:val="es-MX" w:eastAsia="es-MX"/>
        </w:rPr>
        <w:t>de gratuidad total y el fomento a la inclusión de pueblos originarios, eliminando barreras</w:t>
      </w:r>
      <w:r w:rsidRPr="00AD6C3F">
        <w:rPr>
          <w:rFonts w:ascii="Noto Sans" w:eastAsia="Times New Roman" w:hAnsi="Noto Sans" w:cs="Noto Sans"/>
          <w:color w:val="0A0A0A"/>
          <w:sz w:val="22"/>
          <w:szCs w:val="22"/>
          <w:lang w:val="es-MX" w:eastAsia="es-MX"/>
        </w:rPr>
        <w:t xml:space="preserve"> lingüísticas para hablantes de lenguas maternas.</w:t>
      </w:r>
    </w:p>
    <w:p w14:paraId="1CD9AF25" w14:textId="77777777" w:rsidR="00092445" w:rsidRPr="00AD6C3F" w:rsidRDefault="00092445" w:rsidP="00AD6C3F">
      <w:pPr>
        <w:spacing w:after="120" w:line="276" w:lineRule="auto"/>
        <w:rPr>
          <w:rFonts w:ascii="Noto Sans" w:eastAsia="Times New Roman" w:hAnsi="Noto Sans" w:cs="Noto Sans"/>
          <w:b/>
          <w:bCs/>
          <w:color w:val="0A0A0A"/>
          <w:sz w:val="22"/>
          <w:szCs w:val="22"/>
          <w:lang w:val="es-MX" w:eastAsia="es-MX"/>
        </w:rPr>
      </w:pPr>
      <w:r w:rsidRPr="00AD6C3F">
        <w:rPr>
          <w:rFonts w:ascii="Noto Sans" w:eastAsia="Times New Roman" w:hAnsi="Noto Sans" w:cs="Noto Sans"/>
          <w:b/>
          <w:bCs/>
          <w:color w:val="0A0A0A"/>
          <w:sz w:val="22"/>
          <w:szCs w:val="22"/>
          <w:lang w:val="es-MX" w:eastAsia="es-MX"/>
        </w:rPr>
        <w:t>República rural justa y soberana</w:t>
      </w:r>
    </w:p>
    <w:p w14:paraId="6620D895" w14:textId="77777777" w:rsidR="00092445" w:rsidRPr="00AD6C3F" w:rsidRDefault="00092445" w:rsidP="00AD6C3F">
      <w:pPr>
        <w:spacing w:after="120" w:line="276" w:lineRule="auto"/>
        <w:jc w:val="both"/>
        <w:rPr>
          <w:rFonts w:ascii="Noto Sans" w:eastAsia="Times New Roman" w:hAnsi="Noto Sans" w:cs="Noto Sans"/>
          <w:color w:val="0A0A0A"/>
          <w:sz w:val="22"/>
          <w:szCs w:val="22"/>
          <w:lang w:val="es-MX" w:eastAsia="es-MX"/>
        </w:rPr>
      </w:pPr>
      <w:r w:rsidRPr="00AD6C3F">
        <w:rPr>
          <w:rFonts w:ascii="Noto Sans" w:eastAsia="Times New Roman" w:hAnsi="Noto Sans" w:cs="Noto Sans"/>
          <w:color w:val="0A0A0A"/>
          <w:sz w:val="22"/>
          <w:szCs w:val="22"/>
          <w:lang w:val="es-MX" w:eastAsia="es-MX"/>
        </w:rPr>
        <w:t xml:space="preserve">Para contribuir a la soberanía alimentaria, se desarrollaron investigaciones aplicadas en agroecología, sistemas silvopastoriles en la Cuenca del Usumacinta y meliponicultura tradicional. Destaca la </w:t>
      </w:r>
      <w:r w:rsidRPr="00C4341E">
        <w:rPr>
          <w:rFonts w:ascii="Noto Sans" w:eastAsia="Times New Roman" w:hAnsi="Noto Sans" w:cs="Noto Sans"/>
          <w:color w:val="0A0A0A"/>
          <w:sz w:val="22"/>
          <w:szCs w:val="22"/>
          <w:lang w:val="es-MX" w:eastAsia="es-MX"/>
        </w:rPr>
        <w:t>creación de 37 procesos de innovación ambiental y</w:t>
      </w:r>
      <w:r w:rsidRPr="00AD6C3F">
        <w:rPr>
          <w:rFonts w:ascii="Noto Sans" w:eastAsia="Times New Roman" w:hAnsi="Noto Sans" w:cs="Noto Sans"/>
          <w:color w:val="0A0A0A"/>
          <w:sz w:val="22"/>
          <w:szCs w:val="22"/>
          <w:lang w:val="es-MX" w:eastAsia="es-MX"/>
        </w:rPr>
        <w:t xml:space="preserve"> el acompañamiento a familias campesinas y cooperativas. El enfoque de "Una sola salud" se materializó en la atención a emergencias zoosanitarias, como el control del gusano barrenador, protegiendo tanto la sanidad animal como el sustento de los pequeños productores.</w:t>
      </w:r>
    </w:p>
    <w:p w14:paraId="1521CA89" w14:textId="77777777" w:rsidR="00092445" w:rsidRPr="00AD6C3F" w:rsidRDefault="00092445" w:rsidP="00AD6C3F">
      <w:pPr>
        <w:spacing w:after="120" w:line="276" w:lineRule="auto"/>
        <w:rPr>
          <w:rFonts w:ascii="Noto Sans" w:eastAsia="Times New Roman" w:hAnsi="Noto Sans" w:cs="Noto Sans"/>
          <w:b/>
          <w:bCs/>
          <w:color w:val="0A0A0A"/>
          <w:sz w:val="22"/>
          <w:szCs w:val="22"/>
          <w:lang w:val="es-MX" w:eastAsia="es-MX"/>
        </w:rPr>
      </w:pPr>
      <w:r w:rsidRPr="00AD6C3F">
        <w:rPr>
          <w:rFonts w:ascii="Noto Sans" w:eastAsia="Times New Roman" w:hAnsi="Noto Sans" w:cs="Noto Sans"/>
          <w:b/>
          <w:bCs/>
          <w:color w:val="0A0A0A"/>
          <w:sz w:val="22"/>
          <w:szCs w:val="22"/>
          <w:lang w:val="es-MX" w:eastAsia="es-MX"/>
        </w:rPr>
        <w:t>República que protege el medio ambiente y sus recursos naturales</w:t>
      </w:r>
    </w:p>
    <w:p w14:paraId="7D2E324A" w14:textId="44EF5A3E" w:rsidR="00FE7EF4" w:rsidRPr="00AD6C3F" w:rsidRDefault="00092445" w:rsidP="00AD6C3F">
      <w:pPr>
        <w:spacing w:after="120" w:line="276" w:lineRule="auto"/>
        <w:jc w:val="both"/>
        <w:rPr>
          <w:rFonts w:ascii="Noto Sans" w:eastAsia="Times New Roman" w:hAnsi="Noto Sans" w:cs="Noto Sans"/>
          <w:color w:val="0A0A0A"/>
          <w:sz w:val="22"/>
          <w:szCs w:val="22"/>
          <w:lang w:val="es-MX" w:eastAsia="es-MX"/>
        </w:rPr>
      </w:pPr>
      <w:r w:rsidRPr="00AD6C3F">
        <w:rPr>
          <w:rFonts w:ascii="Noto Sans" w:eastAsia="Times New Roman" w:hAnsi="Noto Sans" w:cs="Noto Sans"/>
          <w:color w:val="0A0A0A"/>
          <w:sz w:val="22"/>
          <w:szCs w:val="22"/>
          <w:lang w:val="es-MX" w:eastAsia="es-MX"/>
        </w:rPr>
        <w:t>ECOSUR se posicionó como referente en la mitigación del cambio climático y la conservación biocultural. Los logros incluyen el monitoreo automatizado del sargazo en el Caribe</w:t>
      </w:r>
      <w:r w:rsidR="00C4341E">
        <w:rPr>
          <w:rFonts w:ascii="Noto Sans" w:eastAsia="Times New Roman" w:hAnsi="Noto Sans" w:cs="Noto Sans"/>
          <w:color w:val="0A0A0A"/>
          <w:sz w:val="22"/>
          <w:szCs w:val="22"/>
          <w:lang w:val="es-MX" w:eastAsia="es-MX"/>
        </w:rPr>
        <w:t xml:space="preserve"> y del petróleo en </w:t>
      </w:r>
      <w:r w:rsidR="00D95A7F">
        <w:rPr>
          <w:rFonts w:ascii="Noto Sans" w:eastAsia="Times New Roman" w:hAnsi="Noto Sans" w:cs="Noto Sans"/>
          <w:color w:val="0A0A0A"/>
          <w:sz w:val="22"/>
          <w:szCs w:val="22"/>
          <w:lang w:val="es-MX" w:eastAsia="es-MX"/>
        </w:rPr>
        <w:t>la Sonda de Campeche</w:t>
      </w:r>
      <w:r w:rsidRPr="00AD6C3F">
        <w:rPr>
          <w:rFonts w:ascii="Noto Sans" w:eastAsia="Times New Roman" w:hAnsi="Noto Sans" w:cs="Noto Sans"/>
          <w:color w:val="0A0A0A"/>
          <w:sz w:val="22"/>
          <w:szCs w:val="22"/>
          <w:lang w:val="es-MX" w:eastAsia="es-MX"/>
        </w:rPr>
        <w:t xml:space="preserve">, la restauración comunitaria de manglares en la Reserva de la Biosfera La Encrucijada y el diseño de caudales ecológicos para el sistema Grijalva-Usumacinta. </w:t>
      </w:r>
    </w:p>
    <w:p w14:paraId="4C63ADA7" w14:textId="1939850B" w:rsidR="00092445" w:rsidRPr="00AD6C3F" w:rsidRDefault="00092445" w:rsidP="00D95A7F">
      <w:pPr>
        <w:spacing w:after="120" w:line="276" w:lineRule="auto"/>
        <w:jc w:val="both"/>
        <w:rPr>
          <w:rFonts w:ascii="Noto Sans" w:eastAsia="Times New Roman" w:hAnsi="Noto Sans" w:cs="Noto Sans"/>
          <w:color w:val="0A0A0A"/>
          <w:sz w:val="22"/>
          <w:szCs w:val="22"/>
          <w:lang w:val="es-MX" w:eastAsia="es-MX"/>
        </w:rPr>
      </w:pPr>
      <w:r w:rsidRPr="00AD6C3F">
        <w:rPr>
          <w:rFonts w:ascii="Noto Sans" w:eastAsia="Times New Roman" w:hAnsi="Noto Sans" w:cs="Noto Sans"/>
          <w:color w:val="0A0A0A"/>
          <w:sz w:val="22"/>
          <w:szCs w:val="22"/>
          <w:lang w:val="es-MX" w:eastAsia="es-MX"/>
        </w:rPr>
        <w:t>Estas acciones</w:t>
      </w:r>
      <w:r w:rsidR="00D95A7F">
        <w:rPr>
          <w:rFonts w:ascii="Noto Sans" w:eastAsia="Times New Roman" w:hAnsi="Noto Sans" w:cs="Noto Sans"/>
          <w:color w:val="0A0A0A"/>
          <w:sz w:val="22"/>
          <w:szCs w:val="22"/>
          <w:lang w:val="es-MX" w:eastAsia="es-MX"/>
        </w:rPr>
        <w:t xml:space="preserve"> y otras</w:t>
      </w:r>
      <w:r w:rsidRPr="00AD6C3F">
        <w:rPr>
          <w:rFonts w:ascii="Noto Sans" w:eastAsia="Times New Roman" w:hAnsi="Noto Sans" w:cs="Noto Sans"/>
          <w:color w:val="0A0A0A"/>
          <w:sz w:val="22"/>
          <w:szCs w:val="22"/>
          <w:lang w:val="es-MX" w:eastAsia="es-MX"/>
        </w:rPr>
        <w:t xml:space="preserve">, respaldadas </w:t>
      </w:r>
      <w:r w:rsidRPr="00D95A7F">
        <w:rPr>
          <w:rFonts w:ascii="Noto Sans" w:eastAsia="Times New Roman" w:hAnsi="Noto Sans" w:cs="Noto Sans"/>
          <w:color w:val="0A0A0A"/>
          <w:sz w:val="22"/>
          <w:szCs w:val="22"/>
          <w:lang w:val="es-MX" w:eastAsia="es-MX"/>
        </w:rPr>
        <w:t>por 447 publicaciones arbitradas, aportan</w:t>
      </w:r>
      <w:r w:rsidRPr="00AD6C3F">
        <w:rPr>
          <w:rFonts w:ascii="Noto Sans" w:eastAsia="Times New Roman" w:hAnsi="Noto Sans" w:cs="Noto Sans"/>
          <w:color w:val="0A0A0A"/>
          <w:sz w:val="22"/>
          <w:szCs w:val="22"/>
          <w:lang w:val="es-MX" w:eastAsia="es-MX"/>
        </w:rPr>
        <w:t xml:space="preserve"> evidencia científica crítica para la toma de decisiones y el cumplimiento de los compromisos de reforestación y saneamiento de cuerpos de agua.</w:t>
      </w:r>
    </w:p>
    <w:p w14:paraId="2709CF3D" w14:textId="77777777" w:rsidR="00092445" w:rsidRPr="00AD6C3F" w:rsidRDefault="00092445" w:rsidP="00AD6C3F">
      <w:pPr>
        <w:spacing w:after="120" w:line="276" w:lineRule="auto"/>
        <w:rPr>
          <w:rFonts w:ascii="Noto Sans" w:eastAsia="Times New Roman" w:hAnsi="Noto Sans" w:cs="Noto Sans"/>
          <w:b/>
          <w:bCs/>
          <w:color w:val="0A0A0A"/>
          <w:sz w:val="22"/>
          <w:szCs w:val="22"/>
          <w:lang w:val="es-MX" w:eastAsia="es-MX"/>
        </w:rPr>
      </w:pPr>
      <w:r w:rsidRPr="00AD6C3F">
        <w:rPr>
          <w:rFonts w:ascii="Noto Sans" w:eastAsia="Times New Roman" w:hAnsi="Noto Sans" w:cs="Noto Sans"/>
          <w:b/>
          <w:bCs/>
          <w:color w:val="0A0A0A"/>
          <w:sz w:val="22"/>
          <w:szCs w:val="22"/>
          <w:lang w:val="es-MX" w:eastAsia="es-MX"/>
        </w:rPr>
        <w:lastRenderedPageBreak/>
        <w:t>República sana y con innovación pública</w:t>
      </w:r>
    </w:p>
    <w:p w14:paraId="3E601C65" w14:textId="77777777" w:rsidR="00092445" w:rsidRPr="00D95A7F" w:rsidRDefault="00092445" w:rsidP="00AD6C3F">
      <w:pPr>
        <w:spacing w:after="120" w:line="276" w:lineRule="auto"/>
        <w:jc w:val="both"/>
        <w:rPr>
          <w:rFonts w:ascii="Noto Sans" w:eastAsia="Times New Roman" w:hAnsi="Noto Sans" w:cs="Noto Sans"/>
          <w:color w:val="0A0A0A"/>
          <w:sz w:val="22"/>
          <w:szCs w:val="22"/>
          <w:lang w:val="es-MX" w:eastAsia="es-MX"/>
        </w:rPr>
      </w:pPr>
      <w:r w:rsidRPr="00AD6C3F">
        <w:rPr>
          <w:rFonts w:ascii="Noto Sans" w:eastAsia="Times New Roman" w:hAnsi="Noto Sans" w:cs="Noto Sans"/>
          <w:color w:val="0A0A0A"/>
          <w:sz w:val="22"/>
          <w:szCs w:val="22"/>
          <w:lang w:val="es-MX" w:eastAsia="es-MX"/>
        </w:rPr>
        <w:t xml:space="preserve">La salud comunitaria se abordó mediante la vigilancia epidemiológica de enfermedades como el dengue en escuelas y </w:t>
      </w:r>
      <w:r w:rsidRPr="00D95A7F">
        <w:rPr>
          <w:rFonts w:ascii="Noto Sans" w:eastAsia="Times New Roman" w:hAnsi="Noto Sans" w:cs="Noto Sans"/>
          <w:color w:val="0A0A0A"/>
          <w:sz w:val="22"/>
          <w:szCs w:val="22"/>
          <w:lang w:val="es-MX" w:eastAsia="es-MX"/>
        </w:rPr>
        <w:t>estudios sobre determinantes sociales de la salud en poblaciones migrantes. En materia de innovación, se registraron dos Diseños Industriales y un Modelo de Utilidad, demostrando la capacidad de transformar el conocimiento en soluciones tecnológicas territoriales. La formalización de 37 convenios de colaboración con comunidades y gobiernos locales asegura que la ciencia pública se traduzca en beneficios directos para la población.</w:t>
      </w:r>
    </w:p>
    <w:p w14:paraId="082E223D" w14:textId="77777777" w:rsidR="00092445" w:rsidRPr="00AD6C3F" w:rsidRDefault="00092445" w:rsidP="00AD6C3F">
      <w:pPr>
        <w:spacing w:after="120" w:line="276" w:lineRule="auto"/>
        <w:rPr>
          <w:rFonts w:ascii="Noto Sans" w:eastAsia="Times New Roman" w:hAnsi="Noto Sans" w:cs="Noto Sans"/>
          <w:b/>
          <w:bCs/>
          <w:color w:val="0A0A0A"/>
          <w:sz w:val="22"/>
          <w:szCs w:val="22"/>
          <w:lang w:val="es-MX" w:eastAsia="es-MX"/>
        </w:rPr>
      </w:pPr>
      <w:r w:rsidRPr="00AD6C3F">
        <w:rPr>
          <w:rFonts w:ascii="Noto Sans" w:eastAsia="Times New Roman" w:hAnsi="Noto Sans" w:cs="Noto Sans"/>
          <w:b/>
          <w:bCs/>
          <w:color w:val="0A0A0A"/>
          <w:sz w:val="22"/>
          <w:szCs w:val="22"/>
          <w:lang w:val="es-MX" w:eastAsia="es-MX"/>
        </w:rPr>
        <w:t>República cultural y lectora</w:t>
      </w:r>
    </w:p>
    <w:p w14:paraId="6CE445F0" w14:textId="77777777" w:rsidR="00092445" w:rsidRPr="00AD6C3F" w:rsidRDefault="00092445" w:rsidP="00AD6C3F">
      <w:pPr>
        <w:spacing w:after="120" w:line="276" w:lineRule="auto"/>
        <w:jc w:val="both"/>
        <w:rPr>
          <w:rFonts w:ascii="Noto Sans" w:eastAsia="Times New Roman" w:hAnsi="Noto Sans" w:cs="Noto Sans"/>
          <w:color w:val="0A0A0A"/>
          <w:sz w:val="22"/>
          <w:szCs w:val="22"/>
          <w:lang w:val="es-MX" w:eastAsia="es-MX"/>
        </w:rPr>
      </w:pPr>
      <w:r w:rsidRPr="00AD6C3F">
        <w:rPr>
          <w:rFonts w:ascii="Noto Sans" w:eastAsia="Times New Roman" w:hAnsi="Noto Sans" w:cs="Noto Sans"/>
          <w:color w:val="0A0A0A"/>
          <w:sz w:val="22"/>
          <w:szCs w:val="22"/>
          <w:lang w:val="es-MX" w:eastAsia="es-MX"/>
        </w:rPr>
        <w:t xml:space="preserve">La apropiación social del conocimiento alcanzó a </w:t>
      </w:r>
      <w:r w:rsidRPr="00D95A7F">
        <w:rPr>
          <w:rFonts w:ascii="Noto Sans" w:eastAsia="Times New Roman" w:hAnsi="Noto Sans" w:cs="Noto Sans"/>
          <w:color w:val="0A0A0A"/>
          <w:sz w:val="22"/>
          <w:szCs w:val="22"/>
          <w:lang w:val="es-MX" w:eastAsia="es-MX"/>
        </w:rPr>
        <w:t>casi 18,000 personas beneficiarias. La política editorial incluyó la publicación de nueve títulos y la revista </w:t>
      </w:r>
      <w:r w:rsidRPr="00D95A7F">
        <w:rPr>
          <w:rFonts w:ascii="Noto Sans" w:eastAsia="Times New Roman" w:hAnsi="Noto Sans" w:cs="Noto Sans"/>
          <w:i/>
          <w:iCs/>
          <w:color w:val="0A0A0A"/>
          <w:sz w:val="22"/>
          <w:szCs w:val="22"/>
          <w:lang w:val="es-MX" w:eastAsia="es-MX"/>
        </w:rPr>
        <w:t>Ecofronteras</w:t>
      </w:r>
      <w:r w:rsidRPr="00D95A7F">
        <w:rPr>
          <w:rFonts w:ascii="Noto Sans" w:eastAsia="Times New Roman" w:hAnsi="Noto Sans" w:cs="Noto Sans"/>
          <w:color w:val="0A0A0A"/>
          <w:sz w:val="22"/>
          <w:szCs w:val="22"/>
          <w:lang w:val="es-MX" w:eastAsia="es-MX"/>
        </w:rPr>
        <w:t> con versiones en tsotsil y maya yucateco, garantizando el derecho a la ciencia con pertinencia cultural. A través de estrategias multicanal como el podcast </w:t>
      </w:r>
      <w:r w:rsidRPr="00D95A7F">
        <w:rPr>
          <w:rFonts w:ascii="Noto Sans" w:eastAsia="Times New Roman" w:hAnsi="Noto Sans" w:cs="Noto Sans"/>
          <w:i/>
          <w:iCs/>
          <w:color w:val="0A0A0A"/>
          <w:sz w:val="22"/>
          <w:szCs w:val="22"/>
          <w:lang w:val="es-MX" w:eastAsia="es-MX"/>
        </w:rPr>
        <w:t>Voces de</w:t>
      </w:r>
      <w:r w:rsidRPr="00AD6C3F">
        <w:rPr>
          <w:rFonts w:ascii="Noto Sans" w:eastAsia="Times New Roman" w:hAnsi="Noto Sans" w:cs="Noto Sans"/>
          <w:i/>
          <w:iCs/>
          <w:color w:val="0A0A0A"/>
          <w:sz w:val="22"/>
          <w:szCs w:val="22"/>
          <w:lang w:val="es-MX" w:eastAsia="es-MX"/>
        </w:rPr>
        <w:t xml:space="preserve"> la Ciencia desde el Sur Mexicano</w:t>
      </w:r>
      <w:r w:rsidRPr="00AD6C3F">
        <w:rPr>
          <w:rFonts w:ascii="Noto Sans" w:eastAsia="Times New Roman" w:hAnsi="Noto Sans" w:cs="Noto Sans"/>
          <w:color w:val="0A0A0A"/>
          <w:sz w:val="22"/>
          <w:szCs w:val="22"/>
          <w:lang w:val="es-MX" w:eastAsia="es-MX"/>
        </w:rPr>
        <w:t>, ECOSUR contribuye a la construcción de una ciudadanía informada y orgullosa de su diversidad biocultural.</w:t>
      </w:r>
    </w:p>
    <w:p w14:paraId="13C5C2A4" w14:textId="77777777" w:rsidR="00CF0C6E" w:rsidRPr="00AD6C3F" w:rsidRDefault="00CF0C6E" w:rsidP="00AD6C3F">
      <w:pPr>
        <w:spacing w:after="120" w:line="276" w:lineRule="auto"/>
        <w:jc w:val="both"/>
        <w:rPr>
          <w:rFonts w:ascii="Noto Sans" w:hAnsi="Noto Sans" w:cs="Noto Sans"/>
          <w:sz w:val="22"/>
          <w:szCs w:val="22"/>
          <w:lang w:val="es-MX"/>
        </w:rPr>
      </w:pPr>
    </w:p>
    <w:p w14:paraId="7D23611C" w14:textId="44AA4644" w:rsidR="00CF0C6E" w:rsidRPr="00AD6C3F" w:rsidRDefault="00CF0C6E" w:rsidP="00AD6C3F">
      <w:pPr>
        <w:spacing w:after="120" w:line="276" w:lineRule="auto"/>
        <w:jc w:val="both"/>
        <w:rPr>
          <w:rFonts w:ascii="Noto Sans" w:eastAsia="Arial" w:hAnsi="Noto Sans" w:cs="Noto Sans"/>
          <w:kern w:val="2"/>
          <w:sz w:val="22"/>
          <w:szCs w:val="22"/>
          <w:lang w:val="es-MX"/>
          <w14:ligatures w14:val="standardContextual"/>
        </w:rPr>
      </w:pPr>
    </w:p>
    <w:p w14:paraId="19C051AE" w14:textId="77777777" w:rsidR="004B31B2" w:rsidRPr="00AD6C3F" w:rsidRDefault="004B31B2" w:rsidP="00AD6C3F">
      <w:pPr>
        <w:spacing w:after="120" w:line="276" w:lineRule="auto"/>
        <w:jc w:val="both"/>
        <w:rPr>
          <w:rFonts w:ascii="Noto Sans" w:hAnsi="Noto Sans" w:cs="Noto Sans"/>
          <w:sz w:val="22"/>
          <w:szCs w:val="22"/>
          <w:lang w:val="es-ES_tradnl"/>
        </w:rPr>
      </w:pPr>
    </w:p>
    <w:sectPr w:rsidR="004B31B2" w:rsidRPr="00AD6C3F" w:rsidSect="00B21B0C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843" w:right="1467" w:bottom="1701" w:left="1276" w:header="708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CF3DC" w14:textId="77777777" w:rsidR="004534AB" w:rsidRDefault="004534AB" w:rsidP="00A73D65">
      <w:r>
        <w:separator/>
      </w:r>
    </w:p>
  </w:endnote>
  <w:endnote w:type="continuationSeparator" w:id="0">
    <w:p w14:paraId="55DE6337" w14:textId="77777777" w:rsidR="004534AB" w:rsidRDefault="004534AB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F6604" w14:textId="77777777" w:rsidR="00B21B0C" w:rsidRDefault="00B21B0C" w:rsidP="00B21B0C">
    <w:pPr>
      <w:pStyle w:val="Piedepgina"/>
      <w:rPr>
        <w:noProof/>
      </w:rPr>
    </w:pPr>
    <w:r>
      <w:rPr>
        <w:noProof/>
      </w:rPr>
      <w:drawing>
        <wp:anchor distT="0" distB="0" distL="114300" distR="114300" simplePos="0" relativeHeight="251679744" behindDoc="0" locked="0" layoutInCell="1" allowOverlap="1" wp14:anchorId="08BCAF9E" wp14:editId="073DD14C">
          <wp:simplePos x="0" y="0"/>
          <wp:positionH relativeFrom="column">
            <wp:posOffset>-336419</wp:posOffset>
          </wp:positionH>
          <wp:positionV relativeFrom="paragraph">
            <wp:posOffset>131204</wp:posOffset>
          </wp:positionV>
          <wp:extent cx="1076325" cy="611328"/>
          <wp:effectExtent l="0" t="0" r="0" b="0"/>
          <wp:wrapNone/>
          <wp:docPr id="413392800" name="Imagen 4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 descr="Interfaz de usuario gráfica, Texto, Aplicación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8" t="86577" r="71765" b="3492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113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A9AEA1" w14:textId="77777777" w:rsidR="00B21B0C" w:rsidRDefault="00B21B0C" w:rsidP="00B21B0C">
    <w:pPr>
      <w:pStyle w:val="Piedepgina"/>
      <w:rPr>
        <w:noProof/>
      </w:rPr>
    </w:pPr>
  </w:p>
  <w:p w14:paraId="139CFDAE" w14:textId="77777777" w:rsidR="00B21B0C" w:rsidRPr="004376FE" w:rsidRDefault="00B21B0C" w:rsidP="00B21B0C">
    <w:pPr>
      <w:pStyle w:val="Piedepgina"/>
      <w:jc w:val="center"/>
      <w:rPr>
        <w:rFonts w:ascii="Noto Sans" w:hAnsi="Noto Sans" w:cs="Noto Sans"/>
      </w:rPr>
    </w:pPr>
    <w:r>
      <w:tab/>
    </w:r>
    <w:r w:rsidRPr="004376FE">
      <w:rPr>
        <w:rFonts w:ascii="Noto Sans" w:hAnsi="Noto Sans" w:cs="Noto Sans"/>
      </w:rPr>
      <w:t>Primera Sesión Ordinaria 2026 de Órgano de Gobierno de ECOSUR</w:t>
    </w:r>
  </w:p>
  <w:p w14:paraId="3508C4FA" w14:textId="673638AC" w:rsidR="00B21B0C" w:rsidRDefault="00B21B0C">
    <w:pPr>
      <w:pStyle w:val="Piedepgina"/>
    </w:pPr>
  </w:p>
  <w:p w14:paraId="7E4999EE" w14:textId="77777777" w:rsidR="00DD2B5C" w:rsidRDefault="00DD2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9E5E2" w14:textId="0DF045F5" w:rsidR="00B21B0C" w:rsidRDefault="00B21B0C" w:rsidP="00B21B0C">
    <w:pPr>
      <w:pStyle w:val="Piedepgina"/>
      <w:rPr>
        <w:noProof/>
      </w:rPr>
    </w:pPr>
    <w:r>
      <w:rPr>
        <w:noProof/>
      </w:rPr>
      <w:drawing>
        <wp:anchor distT="0" distB="0" distL="114300" distR="114300" simplePos="0" relativeHeight="251677696" behindDoc="0" locked="0" layoutInCell="1" allowOverlap="1" wp14:anchorId="6FEBD2D0" wp14:editId="3E9A4664">
          <wp:simplePos x="0" y="0"/>
          <wp:positionH relativeFrom="column">
            <wp:posOffset>-273685</wp:posOffset>
          </wp:positionH>
          <wp:positionV relativeFrom="paragraph">
            <wp:posOffset>89535</wp:posOffset>
          </wp:positionV>
          <wp:extent cx="1077508" cy="612000"/>
          <wp:effectExtent l="0" t="0" r="2540" b="0"/>
          <wp:wrapNone/>
          <wp:docPr id="1914381441" name="Imagen 4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 descr="Interfaz de usuario gráfica, Texto, Aplicación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8" t="86577" r="71765" b="3492"/>
                  <a:stretch>
                    <a:fillRect/>
                  </a:stretch>
                </pic:blipFill>
                <pic:spPr bwMode="auto">
                  <a:xfrm>
                    <a:off x="0" y="0"/>
                    <a:ext cx="1077508" cy="61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50185" w14:textId="77777777" w:rsidR="00B21B0C" w:rsidRDefault="00B21B0C" w:rsidP="00B21B0C">
    <w:pPr>
      <w:pStyle w:val="Piedepgina"/>
      <w:rPr>
        <w:noProof/>
      </w:rPr>
    </w:pPr>
  </w:p>
  <w:p w14:paraId="40580CCE" w14:textId="77777777" w:rsidR="00B21B0C" w:rsidRPr="004376FE" w:rsidRDefault="00B21B0C" w:rsidP="00B21B0C">
    <w:pPr>
      <w:pStyle w:val="Piedepgina"/>
      <w:jc w:val="center"/>
      <w:rPr>
        <w:rFonts w:ascii="Noto Sans" w:hAnsi="Noto Sans" w:cs="Noto Sans"/>
      </w:rPr>
    </w:pPr>
    <w:r>
      <w:tab/>
    </w:r>
    <w:r w:rsidRPr="004376FE">
      <w:rPr>
        <w:rFonts w:ascii="Noto Sans" w:hAnsi="Noto Sans" w:cs="Noto Sans"/>
      </w:rPr>
      <w:t>Primera Sesión Ordinaria 2026 de Órgano de Gobierno de ECOSUR</w:t>
    </w:r>
  </w:p>
  <w:p w14:paraId="5803CF20" w14:textId="5037F64A" w:rsidR="00B21B0C" w:rsidRDefault="00B21B0C">
    <w:pPr>
      <w:pStyle w:val="Piedepgina"/>
    </w:pPr>
  </w:p>
  <w:p w14:paraId="77BD2B97" w14:textId="77777777" w:rsidR="00B21B0C" w:rsidRDefault="00B21B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CDA0F" w14:textId="77777777" w:rsidR="004534AB" w:rsidRDefault="004534AB" w:rsidP="00A73D65">
      <w:r>
        <w:separator/>
      </w:r>
    </w:p>
  </w:footnote>
  <w:footnote w:type="continuationSeparator" w:id="0">
    <w:p w14:paraId="68535D77" w14:textId="77777777" w:rsidR="004534AB" w:rsidRDefault="004534AB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6B5DA235" w:rsidR="003F49A8" w:rsidRDefault="00AD6C3F">
    <w:pPr>
      <w:pStyle w:val="Encabezado"/>
    </w:pPr>
    <w:r w:rsidRPr="00D6384A">
      <w:rPr>
        <w:rFonts w:ascii="Calibri" w:eastAsia="DengXian" w:hAnsi="Calibri" w:cs="Arial"/>
        <w:noProof/>
      </w:rPr>
      <w:drawing>
        <wp:anchor distT="0" distB="0" distL="114300" distR="114300" simplePos="0" relativeHeight="251675648" behindDoc="1" locked="0" layoutInCell="1" allowOverlap="1" wp14:anchorId="67105D0A" wp14:editId="7676D848">
          <wp:simplePos x="0" y="0"/>
          <wp:positionH relativeFrom="margin">
            <wp:posOffset>-577901</wp:posOffset>
          </wp:positionH>
          <wp:positionV relativeFrom="paragraph">
            <wp:posOffset>-278613</wp:posOffset>
          </wp:positionV>
          <wp:extent cx="7103059" cy="994124"/>
          <wp:effectExtent l="0" t="0" r="3175" b="0"/>
          <wp:wrapNone/>
          <wp:docPr id="25284010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2" t="3336" r="2589" b="86373"/>
                  <a:stretch>
                    <a:fillRect/>
                  </a:stretch>
                </pic:blipFill>
                <pic:spPr bwMode="auto">
                  <a:xfrm>
                    <a:off x="0" y="0"/>
                    <a:ext cx="7103059" cy="9941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28222479" w:rsidR="00A73D65" w:rsidRPr="00B67AB0" w:rsidRDefault="00D6384A" w:rsidP="00B67AB0">
    <w:pPr>
      <w:pStyle w:val="Encabezado"/>
    </w:pPr>
    <w:r w:rsidRPr="00D6384A">
      <w:rPr>
        <w:rFonts w:ascii="Calibri" w:eastAsia="DengXian" w:hAnsi="Calibri" w:cs="Arial"/>
        <w:noProof/>
      </w:rPr>
      <w:drawing>
        <wp:anchor distT="0" distB="0" distL="114300" distR="114300" simplePos="0" relativeHeight="251673600" behindDoc="1" locked="0" layoutInCell="1" allowOverlap="1" wp14:anchorId="40DE0349" wp14:editId="4A959D22">
          <wp:simplePos x="0" y="0"/>
          <wp:positionH relativeFrom="margin">
            <wp:align>center</wp:align>
          </wp:positionH>
          <wp:positionV relativeFrom="paragraph">
            <wp:posOffset>-342541</wp:posOffset>
          </wp:positionV>
          <wp:extent cx="7103059" cy="994124"/>
          <wp:effectExtent l="0" t="0" r="3175" b="0"/>
          <wp:wrapNone/>
          <wp:docPr id="83054233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42335" name="Imagen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2" t="3336" r="2589" b="86373"/>
                  <a:stretch>
                    <a:fillRect/>
                  </a:stretch>
                </pic:blipFill>
                <pic:spPr bwMode="auto">
                  <a:xfrm>
                    <a:off x="0" y="0"/>
                    <a:ext cx="7103059" cy="9941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8C6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7156476"/>
    <w:multiLevelType w:val="hybridMultilevel"/>
    <w:tmpl w:val="28BE542E"/>
    <w:lvl w:ilvl="0" w:tplc="9B1E462C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  <w:color w:val="003B60"/>
      </w:rPr>
    </w:lvl>
    <w:lvl w:ilvl="1" w:tplc="DF5EA07E">
      <w:start w:val="1"/>
      <w:numFmt w:val="bullet"/>
      <w:lvlText w:val="¢"/>
      <w:lvlJc w:val="left"/>
      <w:pPr>
        <w:ind w:left="1797" w:hanging="360"/>
      </w:pPr>
      <w:rPr>
        <w:rFonts w:ascii="Wingdings" w:hAnsi="Wingdings" w:hint="default"/>
        <w:color w:val="404040" w:themeColor="text1" w:themeTint="BF"/>
        <w:sz w:val="18"/>
        <w:szCs w:val="18"/>
      </w:rPr>
    </w:lvl>
    <w:lvl w:ilvl="2" w:tplc="080A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E5E5EF2"/>
    <w:multiLevelType w:val="hybridMultilevel"/>
    <w:tmpl w:val="637E330E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E7E87"/>
    <w:multiLevelType w:val="multilevel"/>
    <w:tmpl w:val="39B89D7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4" w15:restartNumberingAfterBreak="0">
    <w:nsid w:val="148D2A50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CCB579F"/>
    <w:multiLevelType w:val="multilevel"/>
    <w:tmpl w:val="6712AC14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FC33786"/>
    <w:multiLevelType w:val="multilevel"/>
    <w:tmpl w:val="A24E36E8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6F001CC"/>
    <w:multiLevelType w:val="multilevel"/>
    <w:tmpl w:val="5BC0560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8" w15:restartNumberingAfterBreak="0">
    <w:nsid w:val="290A1D61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BB85C21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BD418D1"/>
    <w:multiLevelType w:val="multilevel"/>
    <w:tmpl w:val="7464B802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B9D3DBE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E186C0A"/>
    <w:multiLevelType w:val="multilevel"/>
    <w:tmpl w:val="18BAE99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66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3" w15:restartNumberingAfterBreak="0">
    <w:nsid w:val="48D54853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95873FE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AEC7D94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F065DC4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6E311BC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F77B21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D005AE4"/>
    <w:multiLevelType w:val="hybridMultilevel"/>
    <w:tmpl w:val="C6903132"/>
    <w:lvl w:ilvl="0" w:tplc="B1964F90">
      <w:start w:val="4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26" w:hanging="360"/>
      </w:pPr>
    </w:lvl>
    <w:lvl w:ilvl="2" w:tplc="080A001B" w:tentative="1">
      <w:start w:val="1"/>
      <w:numFmt w:val="lowerRoman"/>
      <w:lvlText w:val="%3."/>
      <w:lvlJc w:val="right"/>
      <w:pPr>
        <w:ind w:left="2946" w:hanging="180"/>
      </w:pPr>
    </w:lvl>
    <w:lvl w:ilvl="3" w:tplc="080A000F" w:tentative="1">
      <w:start w:val="1"/>
      <w:numFmt w:val="decimal"/>
      <w:lvlText w:val="%4."/>
      <w:lvlJc w:val="left"/>
      <w:pPr>
        <w:ind w:left="3666" w:hanging="360"/>
      </w:pPr>
    </w:lvl>
    <w:lvl w:ilvl="4" w:tplc="080A0019" w:tentative="1">
      <w:start w:val="1"/>
      <w:numFmt w:val="lowerLetter"/>
      <w:lvlText w:val="%5."/>
      <w:lvlJc w:val="left"/>
      <w:pPr>
        <w:ind w:left="4386" w:hanging="360"/>
      </w:pPr>
    </w:lvl>
    <w:lvl w:ilvl="5" w:tplc="080A001B" w:tentative="1">
      <w:start w:val="1"/>
      <w:numFmt w:val="lowerRoman"/>
      <w:lvlText w:val="%6."/>
      <w:lvlJc w:val="right"/>
      <w:pPr>
        <w:ind w:left="5106" w:hanging="180"/>
      </w:pPr>
    </w:lvl>
    <w:lvl w:ilvl="6" w:tplc="080A000F" w:tentative="1">
      <w:start w:val="1"/>
      <w:numFmt w:val="decimal"/>
      <w:lvlText w:val="%7."/>
      <w:lvlJc w:val="left"/>
      <w:pPr>
        <w:ind w:left="5826" w:hanging="360"/>
      </w:pPr>
    </w:lvl>
    <w:lvl w:ilvl="7" w:tplc="080A0019" w:tentative="1">
      <w:start w:val="1"/>
      <w:numFmt w:val="lowerLetter"/>
      <w:lvlText w:val="%8."/>
      <w:lvlJc w:val="left"/>
      <w:pPr>
        <w:ind w:left="6546" w:hanging="360"/>
      </w:pPr>
    </w:lvl>
    <w:lvl w:ilvl="8" w:tplc="080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763B0C8F"/>
    <w:multiLevelType w:val="hybridMultilevel"/>
    <w:tmpl w:val="484E68F8"/>
    <w:lvl w:ilvl="0" w:tplc="0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7E100256"/>
    <w:multiLevelType w:val="hybridMultilevel"/>
    <w:tmpl w:val="0DA0196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09959">
    <w:abstractNumId w:val="14"/>
  </w:num>
  <w:num w:numId="2" w16cid:durableId="1215774906">
    <w:abstractNumId w:val="20"/>
  </w:num>
  <w:num w:numId="3" w16cid:durableId="482241137">
    <w:abstractNumId w:val="13"/>
  </w:num>
  <w:num w:numId="4" w16cid:durableId="2249468">
    <w:abstractNumId w:val="11"/>
  </w:num>
  <w:num w:numId="5" w16cid:durableId="742069330">
    <w:abstractNumId w:val="17"/>
  </w:num>
  <w:num w:numId="6" w16cid:durableId="1468281550">
    <w:abstractNumId w:val="9"/>
  </w:num>
  <w:num w:numId="7" w16cid:durableId="858010479">
    <w:abstractNumId w:val="18"/>
  </w:num>
  <w:num w:numId="8" w16cid:durableId="1615751285">
    <w:abstractNumId w:val="16"/>
  </w:num>
  <w:num w:numId="9" w16cid:durableId="1908878356">
    <w:abstractNumId w:val="4"/>
  </w:num>
  <w:num w:numId="10" w16cid:durableId="1853374935">
    <w:abstractNumId w:val="15"/>
  </w:num>
  <w:num w:numId="11" w16cid:durableId="2032339576">
    <w:abstractNumId w:val="8"/>
  </w:num>
  <w:num w:numId="12" w16cid:durableId="996687618">
    <w:abstractNumId w:val="0"/>
  </w:num>
  <w:num w:numId="13" w16cid:durableId="552425018">
    <w:abstractNumId w:val="1"/>
  </w:num>
  <w:num w:numId="14" w16cid:durableId="802889789">
    <w:abstractNumId w:val="3"/>
  </w:num>
  <w:num w:numId="15" w16cid:durableId="1996251815">
    <w:abstractNumId w:val="7"/>
  </w:num>
  <w:num w:numId="16" w16cid:durableId="2141344099">
    <w:abstractNumId w:val="12"/>
  </w:num>
  <w:num w:numId="17" w16cid:durableId="1071387023">
    <w:abstractNumId w:val="19"/>
  </w:num>
  <w:num w:numId="18" w16cid:durableId="1991442454">
    <w:abstractNumId w:val="21"/>
  </w:num>
  <w:num w:numId="19" w16cid:durableId="789973960">
    <w:abstractNumId w:val="2"/>
  </w:num>
  <w:num w:numId="20" w16cid:durableId="1798141388">
    <w:abstractNumId w:val="6"/>
  </w:num>
  <w:num w:numId="21" w16cid:durableId="1981686766">
    <w:abstractNumId w:val="5"/>
  </w:num>
  <w:num w:numId="22" w16cid:durableId="160572115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012F"/>
    <w:rsid w:val="000016F7"/>
    <w:rsid w:val="000029DF"/>
    <w:rsid w:val="0000543D"/>
    <w:rsid w:val="00007765"/>
    <w:rsid w:val="00007C78"/>
    <w:rsid w:val="00012A2F"/>
    <w:rsid w:val="00013E2F"/>
    <w:rsid w:val="000205E7"/>
    <w:rsid w:val="00023AA0"/>
    <w:rsid w:val="0003039A"/>
    <w:rsid w:val="00033C74"/>
    <w:rsid w:val="00034101"/>
    <w:rsid w:val="00034412"/>
    <w:rsid w:val="00035177"/>
    <w:rsid w:val="00035BF6"/>
    <w:rsid w:val="0003602C"/>
    <w:rsid w:val="00041353"/>
    <w:rsid w:val="000423BE"/>
    <w:rsid w:val="00042C72"/>
    <w:rsid w:val="000469A8"/>
    <w:rsid w:val="000469FA"/>
    <w:rsid w:val="00055F43"/>
    <w:rsid w:val="00057F92"/>
    <w:rsid w:val="00060DF3"/>
    <w:rsid w:val="00070982"/>
    <w:rsid w:val="00075929"/>
    <w:rsid w:val="000817AD"/>
    <w:rsid w:val="0008680C"/>
    <w:rsid w:val="00092445"/>
    <w:rsid w:val="000938A6"/>
    <w:rsid w:val="00097206"/>
    <w:rsid w:val="000B012A"/>
    <w:rsid w:val="000B0883"/>
    <w:rsid w:val="000B1F93"/>
    <w:rsid w:val="000D2D6C"/>
    <w:rsid w:val="000E3024"/>
    <w:rsid w:val="000E6EB0"/>
    <w:rsid w:val="000F5D31"/>
    <w:rsid w:val="000F7769"/>
    <w:rsid w:val="000F7AF9"/>
    <w:rsid w:val="00104461"/>
    <w:rsid w:val="00106103"/>
    <w:rsid w:val="00112FDF"/>
    <w:rsid w:val="001157C8"/>
    <w:rsid w:val="00115F66"/>
    <w:rsid w:val="00116ADD"/>
    <w:rsid w:val="001205B4"/>
    <w:rsid w:val="0012277E"/>
    <w:rsid w:val="001353D0"/>
    <w:rsid w:val="00135A0D"/>
    <w:rsid w:val="0014127E"/>
    <w:rsid w:val="001412F9"/>
    <w:rsid w:val="00145CC6"/>
    <w:rsid w:val="00150215"/>
    <w:rsid w:val="00156A3E"/>
    <w:rsid w:val="00161740"/>
    <w:rsid w:val="00161CA2"/>
    <w:rsid w:val="0016350C"/>
    <w:rsid w:val="001741EA"/>
    <w:rsid w:val="00180A38"/>
    <w:rsid w:val="001839A1"/>
    <w:rsid w:val="00184325"/>
    <w:rsid w:val="00184EF4"/>
    <w:rsid w:val="00191345"/>
    <w:rsid w:val="00192E55"/>
    <w:rsid w:val="00195FEB"/>
    <w:rsid w:val="001A2B8F"/>
    <w:rsid w:val="001A2F78"/>
    <w:rsid w:val="001A5025"/>
    <w:rsid w:val="001A64F4"/>
    <w:rsid w:val="001C3063"/>
    <w:rsid w:val="001C5F04"/>
    <w:rsid w:val="001D62DA"/>
    <w:rsid w:val="001E215F"/>
    <w:rsid w:val="001E4166"/>
    <w:rsid w:val="001F3602"/>
    <w:rsid w:val="001F4F48"/>
    <w:rsid w:val="001F55DA"/>
    <w:rsid w:val="002007D4"/>
    <w:rsid w:val="002070E5"/>
    <w:rsid w:val="0021168B"/>
    <w:rsid w:val="00213873"/>
    <w:rsid w:val="002142A2"/>
    <w:rsid w:val="00217CE3"/>
    <w:rsid w:val="00224020"/>
    <w:rsid w:val="002367B8"/>
    <w:rsid w:val="00236C4B"/>
    <w:rsid w:val="0024013F"/>
    <w:rsid w:val="00242A52"/>
    <w:rsid w:val="002455A0"/>
    <w:rsid w:val="002464CD"/>
    <w:rsid w:val="00255A38"/>
    <w:rsid w:val="00256B1D"/>
    <w:rsid w:val="00261F41"/>
    <w:rsid w:val="00265474"/>
    <w:rsid w:val="002717D3"/>
    <w:rsid w:val="00273378"/>
    <w:rsid w:val="00273FF9"/>
    <w:rsid w:val="002856C6"/>
    <w:rsid w:val="00286845"/>
    <w:rsid w:val="002870B3"/>
    <w:rsid w:val="002871E1"/>
    <w:rsid w:val="00290A5C"/>
    <w:rsid w:val="0029125B"/>
    <w:rsid w:val="0029237F"/>
    <w:rsid w:val="0029542D"/>
    <w:rsid w:val="002A1D95"/>
    <w:rsid w:val="002A2E7B"/>
    <w:rsid w:val="002A4AEF"/>
    <w:rsid w:val="002C293A"/>
    <w:rsid w:val="002C3E92"/>
    <w:rsid w:val="002D3A63"/>
    <w:rsid w:val="002D60F5"/>
    <w:rsid w:val="002E0A43"/>
    <w:rsid w:val="002E0D3A"/>
    <w:rsid w:val="002E1C43"/>
    <w:rsid w:val="002E2142"/>
    <w:rsid w:val="002F1877"/>
    <w:rsid w:val="0030476A"/>
    <w:rsid w:val="00305BE6"/>
    <w:rsid w:val="0031066C"/>
    <w:rsid w:val="003131B5"/>
    <w:rsid w:val="00316A07"/>
    <w:rsid w:val="00321BA1"/>
    <w:rsid w:val="00324B7F"/>
    <w:rsid w:val="00324CE8"/>
    <w:rsid w:val="00326C0B"/>
    <w:rsid w:val="00332D1B"/>
    <w:rsid w:val="003334A3"/>
    <w:rsid w:val="00334B8B"/>
    <w:rsid w:val="0034281E"/>
    <w:rsid w:val="00342A9A"/>
    <w:rsid w:val="003441E5"/>
    <w:rsid w:val="00346629"/>
    <w:rsid w:val="00351098"/>
    <w:rsid w:val="003538FF"/>
    <w:rsid w:val="0035794D"/>
    <w:rsid w:val="00363222"/>
    <w:rsid w:val="00363D42"/>
    <w:rsid w:val="00365CEA"/>
    <w:rsid w:val="00366A59"/>
    <w:rsid w:val="0036711C"/>
    <w:rsid w:val="00370465"/>
    <w:rsid w:val="003800D4"/>
    <w:rsid w:val="00384ECA"/>
    <w:rsid w:val="00385385"/>
    <w:rsid w:val="003865C2"/>
    <w:rsid w:val="00387A1C"/>
    <w:rsid w:val="00396139"/>
    <w:rsid w:val="003D416E"/>
    <w:rsid w:val="003D6640"/>
    <w:rsid w:val="003E1335"/>
    <w:rsid w:val="003E2FC4"/>
    <w:rsid w:val="003E469F"/>
    <w:rsid w:val="003E692B"/>
    <w:rsid w:val="003F177F"/>
    <w:rsid w:val="003F46CC"/>
    <w:rsid w:val="003F49A8"/>
    <w:rsid w:val="003F57FA"/>
    <w:rsid w:val="00402CEB"/>
    <w:rsid w:val="0042037E"/>
    <w:rsid w:val="0042368C"/>
    <w:rsid w:val="00427862"/>
    <w:rsid w:val="00432695"/>
    <w:rsid w:val="004339B8"/>
    <w:rsid w:val="00436F53"/>
    <w:rsid w:val="004378DD"/>
    <w:rsid w:val="004479F5"/>
    <w:rsid w:val="004534AB"/>
    <w:rsid w:val="00454479"/>
    <w:rsid w:val="00455607"/>
    <w:rsid w:val="00457F2E"/>
    <w:rsid w:val="00460AF5"/>
    <w:rsid w:val="00460B99"/>
    <w:rsid w:val="00477F45"/>
    <w:rsid w:val="004814E1"/>
    <w:rsid w:val="00483507"/>
    <w:rsid w:val="004912CE"/>
    <w:rsid w:val="0049178E"/>
    <w:rsid w:val="00497A4A"/>
    <w:rsid w:val="004A31EA"/>
    <w:rsid w:val="004A4C4E"/>
    <w:rsid w:val="004A513B"/>
    <w:rsid w:val="004B31B2"/>
    <w:rsid w:val="004B4522"/>
    <w:rsid w:val="004C1378"/>
    <w:rsid w:val="004C1E75"/>
    <w:rsid w:val="004D0D09"/>
    <w:rsid w:val="004D146C"/>
    <w:rsid w:val="004D4BF4"/>
    <w:rsid w:val="004D6E40"/>
    <w:rsid w:val="004E13A8"/>
    <w:rsid w:val="004E307F"/>
    <w:rsid w:val="004F0C09"/>
    <w:rsid w:val="004F5209"/>
    <w:rsid w:val="00502EFF"/>
    <w:rsid w:val="00504228"/>
    <w:rsid w:val="0051219E"/>
    <w:rsid w:val="00512FF7"/>
    <w:rsid w:val="005244BF"/>
    <w:rsid w:val="00526051"/>
    <w:rsid w:val="00533F1D"/>
    <w:rsid w:val="005378AF"/>
    <w:rsid w:val="00540835"/>
    <w:rsid w:val="005421A7"/>
    <w:rsid w:val="005523EA"/>
    <w:rsid w:val="00553EB1"/>
    <w:rsid w:val="00554648"/>
    <w:rsid w:val="0055740F"/>
    <w:rsid w:val="0055776F"/>
    <w:rsid w:val="005632A5"/>
    <w:rsid w:val="0056771B"/>
    <w:rsid w:val="0056796C"/>
    <w:rsid w:val="00594851"/>
    <w:rsid w:val="00596DD5"/>
    <w:rsid w:val="005A6BEA"/>
    <w:rsid w:val="005B09B4"/>
    <w:rsid w:val="005B1F63"/>
    <w:rsid w:val="005B516B"/>
    <w:rsid w:val="005B6015"/>
    <w:rsid w:val="005C1A7C"/>
    <w:rsid w:val="005C2F24"/>
    <w:rsid w:val="005C48D2"/>
    <w:rsid w:val="005D14D4"/>
    <w:rsid w:val="005D35E6"/>
    <w:rsid w:val="005E7E6E"/>
    <w:rsid w:val="005F22B2"/>
    <w:rsid w:val="005F3347"/>
    <w:rsid w:val="005F3835"/>
    <w:rsid w:val="005F6B97"/>
    <w:rsid w:val="00603671"/>
    <w:rsid w:val="00605C78"/>
    <w:rsid w:val="00626EE3"/>
    <w:rsid w:val="00630FE2"/>
    <w:rsid w:val="00631824"/>
    <w:rsid w:val="006322C1"/>
    <w:rsid w:val="00652BD4"/>
    <w:rsid w:val="00652CCC"/>
    <w:rsid w:val="00657C37"/>
    <w:rsid w:val="00662BBD"/>
    <w:rsid w:val="00663BB7"/>
    <w:rsid w:val="00681882"/>
    <w:rsid w:val="00683E59"/>
    <w:rsid w:val="006A1E9A"/>
    <w:rsid w:val="006A5549"/>
    <w:rsid w:val="006B36CA"/>
    <w:rsid w:val="006C0425"/>
    <w:rsid w:val="006C3B4E"/>
    <w:rsid w:val="006C6305"/>
    <w:rsid w:val="006C6702"/>
    <w:rsid w:val="006D6575"/>
    <w:rsid w:val="006F19AE"/>
    <w:rsid w:val="00706456"/>
    <w:rsid w:val="00706680"/>
    <w:rsid w:val="00711481"/>
    <w:rsid w:val="00714074"/>
    <w:rsid w:val="00714C0D"/>
    <w:rsid w:val="00720A42"/>
    <w:rsid w:val="007276CC"/>
    <w:rsid w:val="00733EDF"/>
    <w:rsid w:val="007347BD"/>
    <w:rsid w:val="007372D1"/>
    <w:rsid w:val="007375F5"/>
    <w:rsid w:val="00737D57"/>
    <w:rsid w:val="00737F08"/>
    <w:rsid w:val="007421E3"/>
    <w:rsid w:val="007553B1"/>
    <w:rsid w:val="0077033E"/>
    <w:rsid w:val="00770661"/>
    <w:rsid w:val="007719AD"/>
    <w:rsid w:val="007738F7"/>
    <w:rsid w:val="0078195E"/>
    <w:rsid w:val="00781FB0"/>
    <w:rsid w:val="00793649"/>
    <w:rsid w:val="007956BE"/>
    <w:rsid w:val="007A113F"/>
    <w:rsid w:val="007A6467"/>
    <w:rsid w:val="007B74AD"/>
    <w:rsid w:val="007C0A8C"/>
    <w:rsid w:val="007C2F20"/>
    <w:rsid w:val="007C30F7"/>
    <w:rsid w:val="007C4073"/>
    <w:rsid w:val="007D2C2A"/>
    <w:rsid w:val="007D558C"/>
    <w:rsid w:val="007D633A"/>
    <w:rsid w:val="007D77D1"/>
    <w:rsid w:val="007D79E9"/>
    <w:rsid w:val="007E235C"/>
    <w:rsid w:val="007E5888"/>
    <w:rsid w:val="007E740D"/>
    <w:rsid w:val="007F19CA"/>
    <w:rsid w:val="007F380F"/>
    <w:rsid w:val="007F42D2"/>
    <w:rsid w:val="007F6A68"/>
    <w:rsid w:val="00804DDD"/>
    <w:rsid w:val="00811DC9"/>
    <w:rsid w:val="00813F2A"/>
    <w:rsid w:val="00822E62"/>
    <w:rsid w:val="00831EE7"/>
    <w:rsid w:val="00834146"/>
    <w:rsid w:val="008355B8"/>
    <w:rsid w:val="00837D4F"/>
    <w:rsid w:val="00841318"/>
    <w:rsid w:val="00842025"/>
    <w:rsid w:val="008429EF"/>
    <w:rsid w:val="00842FF7"/>
    <w:rsid w:val="00847096"/>
    <w:rsid w:val="0085033F"/>
    <w:rsid w:val="008552B0"/>
    <w:rsid w:val="00857B2E"/>
    <w:rsid w:val="00861719"/>
    <w:rsid w:val="008635E8"/>
    <w:rsid w:val="00870645"/>
    <w:rsid w:val="00873631"/>
    <w:rsid w:val="00877936"/>
    <w:rsid w:val="00886E79"/>
    <w:rsid w:val="008A3251"/>
    <w:rsid w:val="008A32A7"/>
    <w:rsid w:val="008A6E50"/>
    <w:rsid w:val="008D3B21"/>
    <w:rsid w:val="008D757F"/>
    <w:rsid w:val="008E266B"/>
    <w:rsid w:val="008E3302"/>
    <w:rsid w:val="008E6B9E"/>
    <w:rsid w:val="008F338D"/>
    <w:rsid w:val="00903DE5"/>
    <w:rsid w:val="00904825"/>
    <w:rsid w:val="00904CC6"/>
    <w:rsid w:val="009066A7"/>
    <w:rsid w:val="00906978"/>
    <w:rsid w:val="00907F1C"/>
    <w:rsid w:val="00913067"/>
    <w:rsid w:val="00932BA0"/>
    <w:rsid w:val="00932C27"/>
    <w:rsid w:val="00936564"/>
    <w:rsid w:val="00937C98"/>
    <w:rsid w:val="00942415"/>
    <w:rsid w:val="0094503D"/>
    <w:rsid w:val="00945B89"/>
    <w:rsid w:val="00953FC4"/>
    <w:rsid w:val="009618A2"/>
    <w:rsid w:val="00972E7E"/>
    <w:rsid w:val="00973FB2"/>
    <w:rsid w:val="00976253"/>
    <w:rsid w:val="00986ACE"/>
    <w:rsid w:val="00991DCF"/>
    <w:rsid w:val="0099633C"/>
    <w:rsid w:val="009A4A3E"/>
    <w:rsid w:val="009A6D85"/>
    <w:rsid w:val="009B73B3"/>
    <w:rsid w:val="009C12D6"/>
    <w:rsid w:val="009C602F"/>
    <w:rsid w:val="009E063E"/>
    <w:rsid w:val="009E47C2"/>
    <w:rsid w:val="009E550D"/>
    <w:rsid w:val="009F1035"/>
    <w:rsid w:val="009F2BA1"/>
    <w:rsid w:val="009F6CAC"/>
    <w:rsid w:val="009F7DD5"/>
    <w:rsid w:val="00A04166"/>
    <w:rsid w:val="00A0555C"/>
    <w:rsid w:val="00A05B35"/>
    <w:rsid w:val="00A05FEB"/>
    <w:rsid w:val="00A07674"/>
    <w:rsid w:val="00A07ABC"/>
    <w:rsid w:val="00A11EF6"/>
    <w:rsid w:val="00A135A7"/>
    <w:rsid w:val="00A13E69"/>
    <w:rsid w:val="00A160BF"/>
    <w:rsid w:val="00A17BE4"/>
    <w:rsid w:val="00A20E71"/>
    <w:rsid w:val="00A228EE"/>
    <w:rsid w:val="00A301D7"/>
    <w:rsid w:val="00A313A9"/>
    <w:rsid w:val="00A314BF"/>
    <w:rsid w:val="00A31A13"/>
    <w:rsid w:val="00A34D7E"/>
    <w:rsid w:val="00A4024E"/>
    <w:rsid w:val="00A403F4"/>
    <w:rsid w:val="00A45421"/>
    <w:rsid w:val="00A468DE"/>
    <w:rsid w:val="00A514C9"/>
    <w:rsid w:val="00A518B9"/>
    <w:rsid w:val="00A57443"/>
    <w:rsid w:val="00A57FF1"/>
    <w:rsid w:val="00A60C77"/>
    <w:rsid w:val="00A63D3E"/>
    <w:rsid w:val="00A65462"/>
    <w:rsid w:val="00A671C6"/>
    <w:rsid w:val="00A71DCD"/>
    <w:rsid w:val="00A73D65"/>
    <w:rsid w:val="00A76E14"/>
    <w:rsid w:val="00A8003E"/>
    <w:rsid w:val="00A808CC"/>
    <w:rsid w:val="00A85F38"/>
    <w:rsid w:val="00AA1ACE"/>
    <w:rsid w:val="00AB125D"/>
    <w:rsid w:val="00AB1270"/>
    <w:rsid w:val="00AC0018"/>
    <w:rsid w:val="00AC086A"/>
    <w:rsid w:val="00AD6C3F"/>
    <w:rsid w:val="00AD6C47"/>
    <w:rsid w:val="00AE0E23"/>
    <w:rsid w:val="00AE0FB8"/>
    <w:rsid w:val="00AE172C"/>
    <w:rsid w:val="00AE2557"/>
    <w:rsid w:val="00AE7316"/>
    <w:rsid w:val="00AF5BDE"/>
    <w:rsid w:val="00B0460F"/>
    <w:rsid w:val="00B05BAB"/>
    <w:rsid w:val="00B11350"/>
    <w:rsid w:val="00B136C6"/>
    <w:rsid w:val="00B21938"/>
    <w:rsid w:val="00B21B0C"/>
    <w:rsid w:val="00B3393A"/>
    <w:rsid w:val="00B34DD4"/>
    <w:rsid w:val="00B34E23"/>
    <w:rsid w:val="00B35CDF"/>
    <w:rsid w:val="00B4351D"/>
    <w:rsid w:val="00B45ED3"/>
    <w:rsid w:val="00B47E64"/>
    <w:rsid w:val="00B51AD6"/>
    <w:rsid w:val="00B541BC"/>
    <w:rsid w:val="00B67AB0"/>
    <w:rsid w:val="00B70207"/>
    <w:rsid w:val="00B71373"/>
    <w:rsid w:val="00B72D65"/>
    <w:rsid w:val="00B75285"/>
    <w:rsid w:val="00B7603B"/>
    <w:rsid w:val="00B84F01"/>
    <w:rsid w:val="00B853BC"/>
    <w:rsid w:val="00B868DA"/>
    <w:rsid w:val="00B8790F"/>
    <w:rsid w:val="00B87C85"/>
    <w:rsid w:val="00B942FB"/>
    <w:rsid w:val="00B95150"/>
    <w:rsid w:val="00BA73EE"/>
    <w:rsid w:val="00BB21A6"/>
    <w:rsid w:val="00BB2DFF"/>
    <w:rsid w:val="00BB7A9A"/>
    <w:rsid w:val="00BC43BD"/>
    <w:rsid w:val="00BC465C"/>
    <w:rsid w:val="00BC4A8C"/>
    <w:rsid w:val="00BC4C6B"/>
    <w:rsid w:val="00BC68FE"/>
    <w:rsid w:val="00BC7C00"/>
    <w:rsid w:val="00BD446A"/>
    <w:rsid w:val="00BE1F63"/>
    <w:rsid w:val="00BE46DD"/>
    <w:rsid w:val="00BF0E4D"/>
    <w:rsid w:val="00BF52CA"/>
    <w:rsid w:val="00C02E98"/>
    <w:rsid w:val="00C10174"/>
    <w:rsid w:val="00C12747"/>
    <w:rsid w:val="00C23B9E"/>
    <w:rsid w:val="00C279A3"/>
    <w:rsid w:val="00C30849"/>
    <w:rsid w:val="00C33C5D"/>
    <w:rsid w:val="00C35AC1"/>
    <w:rsid w:val="00C42C9D"/>
    <w:rsid w:val="00C4341E"/>
    <w:rsid w:val="00C43AA9"/>
    <w:rsid w:val="00C465FE"/>
    <w:rsid w:val="00C47DE0"/>
    <w:rsid w:val="00C51709"/>
    <w:rsid w:val="00C51C5F"/>
    <w:rsid w:val="00C67047"/>
    <w:rsid w:val="00C71C1F"/>
    <w:rsid w:val="00C734C1"/>
    <w:rsid w:val="00C838EB"/>
    <w:rsid w:val="00C90CED"/>
    <w:rsid w:val="00CA0BEF"/>
    <w:rsid w:val="00CA14E2"/>
    <w:rsid w:val="00CA16CB"/>
    <w:rsid w:val="00CA41C7"/>
    <w:rsid w:val="00CB3490"/>
    <w:rsid w:val="00CB4E0B"/>
    <w:rsid w:val="00CB7D4F"/>
    <w:rsid w:val="00CC0C68"/>
    <w:rsid w:val="00CC2DFD"/>
    <w:rsid w:val="00CC3C80"/>
    <w:rsid w:val="00CD05AE"/>
    <w:rsid w:val="00CD0B5D"/>
    <w:rsid w:val="00CD53BB"/>
    <w:rsid w:val="00CD5F1A"/>
    <w:rsid w:val="00CD7310"/>
    <w:rsid w:val="00CE3E99"/>
    <w:rsid w:val="00CE5D9E"/>
    <w:rsid w:val="00CF03B4"/>
    <w:rsid w:val="00CF0C6E"/>
    <w:rsid w:val="00CF11ED"/>
    <w:rsid w:val="00CF4044"/>
    <w:rsid w:val="00CF4D69"/>
    <w:rsid w:val="00D04431"/>
    <w:rsid w:val="00D076F0"/>
    <w:rsid w:val="00D1103A"/>
    <w:rsid w:val="00D1354D"/>
    <w:rsid w:val="00D13CA1"/>
    <w:rsid w:val="00D23032"/>
    <w:rsid w:val="00D30D80"/>
    <w:rsid w:val="00D335E2"/>
    <w:rsid w:val="00D344EB"/>
    <w:rsid w:val="00D350E4"/>
    <w:rsid w:val="00D3657E"/>
    <w:rsid w:val="00D458CC"/>
    <w:rsid w:val="00D45EDD"/>
    <w:rsid w:val="00D479D4"/>
    <w:rsid w:val="00D54F97"/>
    <w:rsid w:val="00D551BD"/>
    <w:rsid w:val="00D56A29"/>
    <w:rsid w:val="00D6384A"/>
    <w:rsid w:val="00D666AC"/>
    <w:rsid w:val="00D66758"/>
    <w:rsid w:val="00D72DE4"/>
    <w:rsid w:val="00D73349"/>
    <w:rsid w:val="00D75B9A"/>
    <w:rsid w:val="00D84E05"/>
    <w:rsid w:val="00D95A7F"/>
    <w:rsid w:val="00DA4B56"/>
    <w:rsid w:val="00DB53A4"/>
    <w:rsid w:val="00DC18FA"/>
    <w:rsid w:val="00DD2B5C"/>
    <w:rsid w:val="00DD2DED"/>
    <w:rsid w:val="00DD5460"/>
    <w:rsid w:val="00DD58EC"/>
    <w:rsid w:val="00DE34A0"/>
    <w:rsid w:val="00DE351D"/>
    <w:rsid w:val="00DE6E86"/>
    <w:rsid w:val="00DF65BF"/>
    <w:rsid w:val="00DF7402"/>
    <w:rsid w:val="00E155A4"/>
    <w:rsid w:val="00E15C8B"/>
    <w:rsid w:val="00E15CAB"/>
    <w:rsid w:val="00E228AA"/>
    <w:rsid w:val="00E3053B"/>
    <w:rsid w:val="00E37187"/>
    <w:rsid w:val="00E431D6"/>
    <w:rsid w:val="00E434D2"/>
    <w:rsid w:val="00E4758D"/>
    <w:rsid w:val="00E53588"/>
    <w:rsid w:val="00E5392D"/>
    <w:rsid w:val="00E57D17"/>
    <w:rsid w:val="00E7338A"/>
    <w:rsid w:val="00E746BD"/>
    <w:rsid w:val="00E74A05"/>
    <w:rsid w:val="00E77341"/>
    <w:rsid w:val="00E8297D"/>
    <w:rsid w:val="00E86E78"/>
    <w:rsid w:val="00E93867"/>
    <w:rsid w:val="00EA348B"/>
    <w:rsid w:val="00EA5952"/>
    <w:rsid w:val="00EA7EEA"/>
    <w:rsid w:val="00EB01BE"/>
    <w:rsid w:val="00EB1445"/>
    <w:rsid w:val="00EB23BF"/>
    <w:rsid w:val="00EB3811"/>
    <w:rsid w:val="00EB407F"/>
    <w:rsid w:val="00EB6013"/>
    <w:rsid w:val="00EC25CE"/>
    <w:rsid w:val="00EC7133"/>
    <w:rsid w:val="00ED3397"/>
    <w:rsid w:val="00EE053F"/>
    <w:rsid w:val="00EE68FB"/>
    <w:rsid w:val="00EE7ADE"/>
    <w:rsid w:val="00EF332E"/>
    <w:rsid w:val="00EF637F"/>
    <w:rsid w:val="00EF76CA"/>
    <w:rsid w:val="00F02C0A"/>
    <w:rsid w:val="00F06F57"/>
    <w:rsid w:val="00F10659"/>
    <w:rsid w:val="00F10BA3"/>
    <w:rsid w:val="00F13A86"/>
    <w:rsid w:val="00F16A92"/>
    <w:rsid w:val="00F21D30"/>
    <w:rsid w:val="00F24915"/>
    <w:rsid w:val="00F267BD"/>
    <w:rsid w:val="00F30647"/>
    <w:rsid w:val="00F3312F"/>
    <w:rsid w:val="00F339B3"/>
    <w:rsid w:val="00F35DEC"/>
    <w:rsid w:val="00F401F9"/>
    <w:rsid w:val="00F47538"/>
    <w:rsid w:val="00F501CD"/>
    <w:rsid w:val="00F50533"/>
    <w:rsid w:val="00F51491"/>
    <w:rsid w:val="00F56634"/>
    <w:rsid w:val="00F61C83"/>
    <w:rsid w:val="00F70A0E"/>
    <w:rsid w:val="00F745B2"/>
    <w:rsid w:val="00F75B68"/>
    <w:rsid w:val="00F835EC"/>
    <w:rsid w:val="00F8403F"/>
    <w:rsid w:val="00F936BD"/>
    <w:rsid w:val="00F945F2"/>
    <w:rsid w:val="00F95E8B"/>
    <w:rsid w:val="00F9649B"/>
    <w:rsid w:val="00FA1135"/>
    <w:rsid w:val="00FA2B9C"/>
    <w:rsid w:val="00FB5BE3"/>
    <w:rsid w:val="00FB6BA2"/>
    <w:rsid w:val="00FC2A0A"/>
    <w:rsid w:val="00FC34D9"/>
    <w:rsid w:val="00FD1854"/>
    <w:rsid w:val="00FD754F"/>
    <w:rsid w:val="00FD75E1"/>
    <w:rsid w:val="00FE5496"/>
    <w:rsid w:val="00FE585D"/>
    <w:rsid w:val="00FE7EF4"/>
    <w:rsid w:val="00FF06FA"/>
    <w:rsid w:val="00FF3593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FE2"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Sinespaciado">
    <w:name w:val="No Spacing"/>
    <w:uiPriority w:val="1"/>
    <w:qFormat/>
    <w:rsid w:val="005378AF"/>
    <w:rPr>
      <w:rFonts w:eastAsiaTheme="minorEastAsia"/>
      <w:lang w:val="es-ES"/>
    </w:rPr>
  </w:style>
  <w:style w:type="paragraph" w:styleId="Prrafodelista">
    <w:name w:val="List Paragraph"/>
    <w:aliases w:val="4 Párrafo de lista,Figuras,Dot pt,No Spacing1,List Paragraph Char Char Char,Indicator Text,List Paragraph1,Numbered Para 1,DH1,lp1,Bullet List,FooterText,numbered,Paragraphe de liste1,Bulletr List Paragraph,列出段落,列出段落1,Listas,List Parag"/>
    <w:basedOn w:val="Normal"/>
    <w:link w:val="PrrafodelistaCar"/>
    <w:uiPriority w:val="34"/>
    <w:qFormat/>
    <w:rsid w:val="007553B1"/>
    <w:pPr>
      <w:ind w:left="720"/>
      <w:contextualSpacing/>
    </w:pPr>
  </w:style>
  <w:style w:type="character" w:customStyle="1" w:styleId="PrrafodelistaCar">
    <w:name w:val="Párrafo de lista Car"/>
    <w:aliases w:val="4 Párrafo de lista Car,Figuras Car,Dot pt Car,No Spacing1 Car,List Paragraph Char Char Char Car,Indicator Text Car,List Paragraph1 Car,Numbered Para 1 Car,DH1 Car,lp1 Car,Bullet List Car,FooterText Car,numbered Car,列出段落 Car"/>
    <w:link w:val="Prrafodelista"/>
    <w:uiPriority w:val="34"/>
    <w:qFormat/>
    <w:rsid w:val="00AE7316"/>
    <w:rPr>
      <w:rFonts w:eastAsiaTheme="minorEastAsia"/>
      <w:lang w:val="es-ES"/>
    </w:rPr>
  </w:style>
  <w:style w:type="table" w:styleId="Tabladelista4">
    <w:name w:val="List Table 4"/>
    <w:basedOn w:val="Tablanormal"/>
    <w:uiPriority w:val="49"/>
    <w:rsid w:val="00A403F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">
    <w:name w:val="Table Grid"/>
    <w:basedOn w:val="Tablanormal"/>
    <w:uiPriority w:val="39"/>
    <w:rsid w:val="008E3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59"/>
    <w:rsid w:val="00CF0C6E"/>
    <w:rPr>
      <w:rFonts w:eastAsia="Aptos"/>
      <w:kern w:val="2"/>
      <w:sz w:val="22"/>
      <w:szCs w:val="22"/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E94E7AE413B4EAAD81C914EA5857A" ma:contentTypeVersion="4" ma:contentTypeDescription="Create a new document." ma:contentTypeScope="" ma:versionID="515cf0ae728efb81997eb8cbe847e058">
  <xsd:schema xmlns:xsd="http://www.w3.org/2001/XMLSchema" xmlns:xs="http://www.w3.org/2001/XMLSchema" xmlns:p="http://schemas.microsoft.com/office/2006/metadata/properties" xmlns:ns2="a0269784-4d34-4e81-8704-71bf86e9d8c2" targetNamespace="http://schemas.microsoft.com/office/2006/metadata/properties" ma:root="true" ma:fieldsID="5dc5e9f307c7e801bdd91867ec0efe04" ns2:_="">
    <xsd:import namespace="a0269784-4d34-4e81-8704-71bf86e9d8c2"/>
    <xsd:element name="properties">
      <xsd:complexType>
        <xsd:sequence>
          <xsd:element name="documentManagement">
            <xsd:complexType>
              <xsd:all>
                <xsd:element ref="ns2:Descripcion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69784-4d34-4e81-8704-71bf86e9d8c2" elementFormDefault="qualified">
    <xsd:import namespace="http://schemas.microsoft.com/office/2006/documentManagement/types"/>
    <xsd:import namespace="http://schemas.microsoft.com/office/infopath/2007/PartnerControls"/>
    <xsd:element name="Descripcion" ma:index="8" nillable="true" ma:displayName="Descripcion" ma:description="Resumen del objetivo del folder" ma:format="Dropdown" ma:internalName="Descripcion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on xmlns="a0269784-4d34-4e81-8704-71bf86e9d8c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3B11E-AE73-44DA-8351-9E8CC289CDBF}"/>
</file>

<file path=customXml/itemProps2.xml><?xml version="1.0" encoding="utf-8"?>
<ds:datastoreItem xmlns:ds="http://schemas.openxmlformats.org/officeDocument/2006/customXml" ds:itemID="{9D2EF9D4-080B-4EB5-989F-766A6E3457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8D267-1017-41FB-A1FE-910DB8706C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522A5C-535E-4FF4-80A0-F6A938D1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539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Habib Augusto Roldán Moreno Cruz</cp:lastModifiedBy>
  <cp:revision>24</cp:revision>
  <cp:lastPrinted>2025-10-29T17:22:00Z</cp:lastPrinted>
  <dcterms:created xsi:type="dcterms:W3CDTF">2026-04-29T23:47:00Z</dcterms:created>
  <dcterms:modified xsi:type="dcterms:W3CDTF">2026-05-06T17:33:00Z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0x010100FAFE94E7AE413B4EAAD81C914EA5857A</vt:lpwstr>
  </property>
  <property fmtid="{D5CDD505-2E9C-101B-9397-08002B2CF9AE}" pid="3" name="Order">
    <vt:r8>60500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