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DEC5" w14:textId="0D198D0A" w:rsidR="00E367A6" w:rsidRPr="005D4320" w:rsidRDefault="005D4320" w:rsidP="00E367A6">
      <w:pPr>
        <w:rPr>
          <w:rFonts w:ascii="Noto Sans" w:hAnsi="Noto Sans" w:cs="Noto Sans"/>
          <w:b/>
          <w:iCs/>
        </w:rPr>
      </w:pPr>
      <w:r w:rsidRPr="005D4320">
        <w:rPr>
          <w:rFonts w:ascii="Noto Sans" w:hAnsi="Noto Sans" w:cs="Noto Sans"/>
          <w:b/>
          <w:iCs/>
        </w:rPr>
        <w:t>5.4. Situación Financiera</w:t>
      </w:r>
    </w:p>
    <w:p w14:paraId="721CF3D8" w14:textId="77777777" w:rsidR="00A82449" w:rsidRDefault="00A82449" w:rsidP="00E367A6">
      <w:pPr>
        <w:rPr>
          <w:rFonts w:ascii="Noto Sans" w:hAnsi="Noto Sans" w:cs="Noto Sans"/>
          <w:b/>
          <w:i/>
          <w:sz w:val="26"/>
          <w:szCs w:val="26"/>
        </w:rPr>
      </w:pPr>
    </w:p>
    <w:p w14:paraId="68970C45" w14:textId="683B0D4B"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 xml:space="preserve">El presente informe tiene como propósito exponer, de manera general, las variaciones más relevantes observadas en la situación financiera de El Colegio de la Frontera Sur (ECOSUR) durante el ejercicio fiscal 2025, tomando como referencia la información financiera, presupuestaria y administrativa correspondiente al periodo. </w:t>
      </w:r>
    </w:p>
    <w:p w14:paraId="2D60C8EB" w14:textId="77777777" w:rsidR="00A20322" w:rsidRPr="00A20322" w:rsidRDefault="00A20322" w:rsidP="00446DC4">
      <w:pPr>
        <w:jc w:val="both"/>
        <w:rPr>
          <w:rFonts w:ascii="Noto Sans" w:hAnsi="Noto Sans" w:cs="Noto Sans"/>
          <w:bCs/>
          <w:iCs/>
          <w:sz w:val="22"/>
          <w:szCs w:val="22"/>
          <w:lang w:val="es-MX"/>
        </w:rPr>
      </w:pPr>
    </w:p>
    <w:p w14:paraId="05BEA70F" w14:textId="77777777"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Durante 2025, ECOSUR mantuvo una política institucional orientada al cumplimiento de las disposiciones federales en materia de austeridad, racionalidad del gasto, modernización administrativa y control presupuestario, lo que permitió preservar la estabilidad financiera de la entidad, aun cuando se presentaron ajustes y registros contables relevantes derivados de operaciones presupuestarias, fiscales y patrimoniales.</w:t>
      </w:r>
    </w:p>
    <w:p w14:paraId="5C96AAA0" w14:textId="77777777" w:rsidR="00CC551D" w:rsidRDefault="00CC551D" w:rsidP="00446DC4">
      <w:pPr>
        <w:jc w:val="both"/>
        <w:rPr>
          <w:rFonts w:ascii="Noto Sans" w:hAnsi="Noto Sans" w:cs="Noto Sans"/>
          <w:bCs/>
          <w:iCs/>
          <w:sz w:val="22"/>
          <w:szCs w:val="22"/>
          <w:lang w:val="es-MX"/>
        </w:rPr>
      </w:pPr>
    </w:p>
    <w:p w14:paraId="7E1BA4D1" w14:textId="729516C0" w:rsidR="00446DC4" w:rsidRPr="00CC551D" w:rsidRDefault="00446DC4" w:rsidP="00446DC4">
      <w:pPr>
        <w:jc w:val="both"/>
        <w:rPr>
          <w:rFonts w:ascii="Noto Sans" w:hAnsi="Noto Sans" w:cs="Noto Sans"/>
          <w:b/>
          <w:iCs/>
          <w:sz w:val="22"/>
          <w:szCs w:val="22"/>
          <w:lang w:val="es-MX"/>
        </w:rPr>
      </w:pPr>
      <w:r w:rsidRPr="00CC551D">
        <w:rPr>
          <w:rFonts w:ascii="Noto Sans" w:hAnsi="Noto Sans" w:cs="Noto Sans"/>
          <w:b/>
          <w:iCs/>
          <w:sz w:val="22"/>
          <w:szCs w:val="22"/>
          <w:lang w:val="es-MX"/>
        </w:rPr>
        <w:t>Comportamiento de la Recaudación y de los Ingresos</w:t>
      </w:r>
    </w:p>
    <w:p w14:paraId="058ED2E0" w14:textId="77777777"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En materia de recaudación, ECOSUR mantuvo una tendencia histórica de crecimiento sostenido en sus ingresos. Para el ejercicio 2025 se registró una recaudación total de $449,823,011.00, cifra superior a la observada en 2024, cuando se obtuvieron $444,078,668.00. Este comportamiento confirma la recuperación y estabilidad financiera posterior a la disminución registrada en 2020 derivada de los efectos económicos y operativos ocasionados por la pandemia por COVID-19.</w:t>
      </w:r>
    </w:p>
    <w:p w14:paraId="34F69C48" w14:textId="77777777" w:rsidR="00CC551D" w:rsidRDefault="00CC551D" w:rsidP="00446DC4">
      <w:pPr>
        <w:jc w:val="both"/>
        <w:rPr>
          <w:rFonts w:ascii="Noto Sans" w:hAnsi="Noto Sans" w:cs="Noto Sans"/>
          <w:bCs/>
          <w:iCs/>
          <w:sz w:val="22"/>
          <w:szCs w:val="22"/>
          <w:lang w:val="es-MX"/>
        </w:rPr>
      </w:pPr>
    </w:p>
    <w:p w14:paraId="55E20BA0" w14:textId="439F3F35"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El incremento de los ingresos refleja la continuidad de las actividades sustantivas de investigación, servicios especializados, asesorías, convenios y proyectos financiados con recursos propios y externos. Asimismo, evidencia una adecuada capacidad institucional para gestionar recursos y mantener operaciones académicas y administrativas estables.</w:t>
      </w:r>
      <w:r w:rsidR="00B11607">
        <w:rPr>
          <w:rFonts w:ascii="Noto Sans" w:hAnsi="Noto Sans" w:cs="Noto Sans"/>
          <w:bCs/>
          <w:iCs/>
          <w:sz w:val="22"/>
          <w:szCs w:val="22"/>
          <w:lang w:val="es-MX"/>
        </w:rPr>
        <w:t xml:space="preserve"> </w:t>
      </w:r>
      <w:r w:rsidRPr="00A20322">
        <w:rPr>
          <w:rFonts w:ascii="Noto Sans" w:hAnsi="Noto Sans" w:cs="Noto Sans"/>
          <w:bCs/>
          <w:iCs/>
          <w:sz w:val="22"/>
          <w:szCs w:val="22"/>
          <w:lang w:val="es-MX"/>
        </w:rPr>
        <w:t>Adicionalmente, se informó que para el ejercicio 2026 se proyectó una recaudación de $441,155,889.00 por concepto de recursos fiscales y de $22,583,422.00 correspondientes a recursos propios, lo cual permite prever continuidad operativa y sostenibilidad presupuestaria.</w:t>
      </w:r>
    </w:p>
    <w:p w14:paraId="336B1376" w14:textId="77777777" w:rsidR="00B11607" w:rsidRDefault="00B11607" w:rsidP="00446DC4">
      <w:pPr>
        <w:jc w:val="both"/>
        <w:rPr>
          <w:rFonts w:ascii="Noto Sans" w:hAnsi="Noto Sans" w:cs="Noto Sans"/>
          <w:bCs/>
          <w:iCs/>
          <w:sz w:val="22"/>
          <w:szCs w:val="22"/>
          <w:lang w:val="es-MX"/>
        </w:rPr>
      </w:pPr>
    </w:p>
    <w:p w14:paraId="5BE4D1EA" w14:textId="4F48B596"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Dentro del rubro de ingresos de gestión, ECOSUR continuó obteniendo recursos derivados de convenios de investigación, prestación de servicios especializados, análisis de laboratorio, capacitación, asesorías técnicas y proyectos financiados por diversas entidades públicas y privadas. Estos ingresos constituyen una fuente complementaria relevante para el desarrollo de las actividades institucionales.</w:t>
      </w:r>
    </w:p>
    <w:p w14:paraId="5E2D0B86" w14:textId="77777777" w:rsidR="007F6D60" w:rsidRDefault="007F6D60" w:rsidP="00446DC4">
      <w:pPr>
        <w:jc w:val="both"/>
        <w:rPr>
          <w:rFonts w:ascii="Noto Sans" w:hAnsi="Noto Sans" w:cs="Noto Sans"/>
          <w:bCs/>
          <w:iCs/>
          <w:sz w:val="22"/>
          <w:szCs w:val="22"/>
          <w:lang w:val="es-MX"/>
        </w:rPr>
      </w:pPr>
    </w:p>
    <w:p w14:paraId="7455E136" w14:textId="56A6F5B5"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 xml:space="preserve">Un aspecto financiero relevante del ejercicio 2025 fue el reconocimiento contable de $47,544,131.00 provenientes de la Tesorería de la Federación, registrados temporalmente en el rubro de “Otros productos financieros”. Esta situación obedeció a que al cierre del ejercicio no se contaba con la autorización de ampliación presupuestal correspondiente en el sistema MAPE, lo que impidió su registro presupuestario normal en el capítulo de transferencias y subsidios. No obstante, para </w:t>
      </w:r>
      <w:r w:rsidRPr="00A20322">
        <w:rPr>
          <w:rFonts w:ascii="Noto Sans" w:hAnsi="Noto Sans" w:cs="Noto Sans"/>
          <w:bCs/>
          <w:iCs/>
          <w:sz w:val="22"/>
          <w:szCs w:val="22"/>
          <w:lang w:val="es-MX"/>
        </w:rPr>
        <w:lastRenderedPageBreak/>
        <w:t>efectos de presentación razonable de los estados financieros, el importe fue reconocido contablemente, evitando distorsiones en la información financiera.</w:t>
      </w:r>
    </w:p>
    <w:p w14:paraId="227CB565" w14:textId="77777777" w:rsidR="005022BB" w:rsidRDefault="005022BB" w:rsidP="00446DC4">
      <w:pPr>
        <w:jc w:val="both"/>
        <w:rPr>
          <w:rFonts w:ascii="Noto Sans" w:hAnsi="Noto Sans" w:cs="Noto Sans"/>
          <w:bCs/>
          <w:iCs/>
          <w:sz w:val="22"/>
          <w:szCs w:val="22"/>
          <w:lang w:val="es-MX"/>
        </w:rPr>
      </w:pPr>
    </w:p>
    <w:p w14:paraId="1DADC157" w14:textId="09126A17" w:rsidR="00446DC4" w:rsidRPr="005022BB" w:rsidRDefault="00446DC4" w:rsidP="00446DC4">
      <w:pPr>
        <w:jc w:val="both"/>
        <w:rPr>
          <w:rFonts w:ascii="Noto Sans" w:hAnsi="Noto Sans" w:cs="Noto Sans"/>
          <w:b/>
          <w:iCs/>
          <w:sz w:val="22"/>
          <w:szCs w:val="22"/>
          <w:lang w:val="es-MX"/>
        </w:rPr>
      </w:pPr>
      <w:r w:rsidRPr="005022BB">
        <w:rPr>
          <w:rFonts w:ascii="Noto Sans" w:hAnsi="Noto Sans" w:cs="Noto Sans"/>
          <w:b/>
          <w:iCs/>
          <w:sz w:val="22"/>
          <w:szCs w:val="22"/>
          <w:lang w:val="es-MX"/>
        </w:rPr>
        <w:t>Variaciones en Pasivos y Obligaciones Fiscales</w:t>
      </w:r>
    </w:p>
    <w:p w14:paraId="5C9D040E" w14:textId="0885E90D"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En el rubro de deuda y obligaciones fiscales, el incremento registrado durante 2025 se originó principalmente por obligaciones pendientes relacionadas con el pago del Impuesto Sobre la Renta (ISR) correspondiente a sueldos y salarios, así como retenciones de ISR e IVA derivadas de servicios profesionales. Dichos pagos fueron aplicados en enero de 2025, situación que impactó temporalmente el comportamiento de los pasivos.</w:t>
      </w:r>
      <w:r w:rsidR="005022BB">
        <w:rPr>
          <w:rFonts w:ascii="Noto Sans" w:hAnsi="Noto Sans" w:cs="Noto Sans"/>
          <w:bCs/>
          <w:iCs/>
          <w:sz w:val="22"/>
          <w:szCs w:val="22"/>
          <w:lang w:val="es-MX"/>
        </w:rPr>
        <w:t xml:space="preserve"> </w:t>
      </w:r>
      <w:r w:rsidRPr="00A20322">
        <w:rPr>
          <w:rFonts w:ascii="Noto Sans" w:hAnsi="Noto Sans" w:cs="Noto Sans"/>
          <w:bCs/>
          <w:iCs/>
          <w:sz w:val="22"/>
          <w:szCs w:val="22"/>
          <w:lang w:val="es-MX"/>
        </w:rPr>
        <w:t>Es importante señalar que ECOSUR no contrató deuda financiera ni recibió calificaciones crediticias durante el ejercicio 2025, por lo que no existieron operaciones relacionadas con financiamientos bancarios o emisiones de deuda pública.</w:t>
      </w:r>
    </w:p>
    <w:p w14:paraId="7EFD6EAC" w14:textId="77777777" w:rsidR="00EF3D26" w:rsidRDefault="00EF3D26" w:rsidP="00446DC4">
      <w:pPr>
        <w:jc w:val="both"/>
        <w:rPr>
          <w:rFonts w:ascii="Noto Sans" w:hAnsi="Noto Sans" w:cs="Noto Sans"/>
          <w:bCs/>
          <w:iCs/>
          <w:sz w:val="22"/>
          <w:szCs w:val="22"/>
          <w:lang w:val="es-MX"/>
        </w:rPr>
      </w:pPr>
    </w:p>
    <w:p w14:paraId="47112068" w14:textId="0E558AA7"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En cuanto al rubro “Derechos a Recibir Efectivo y Equivalentes”, al cierre del ejercicio se reportó un saldo total de $1,580,158.00, integrado principalmente por depósitos en garantía, adeudos de funcionarios y empleados, registros administrativos y cuentas por recuperar.</w:t>
      </w:r>
      <w:r w:rsidR="00EF3D26">
        <w:rPr>
          <w:rFonts w:ascii="Noto Sans" w:hAnsi="Noto Sans" w:cs="Noto Sans"/>
          <w:bCs/>
          <w:iCs/>
          <w:sz w:val="22"/>
          <w:szCs w:val="22"/>
          <w:lang w:val="es-MX"/>
        </w:rPr>
        <w:t xml:space="preserve"> </w:t>
      </w:r>
      <w:r w:rsidRPr="00A20322">
        <w:rPr>
          <w:rFonts w:ascii="Noto Sans" w:hAnsi="Noto Sans" w:cs="Noto Sans"/>
          <w:bCs/>
          <w:iCs/>
          <w:sz w:val="22"/>
          <w:szCs w:val="22"/>
          <w:lang w:val="es-MX"/>
        </w:rPr>
        <w:t>Dentro de este rubro destaca el importe de $1,406,355.00 relacionado con retiros bancarios no reconocidos efectuados desde 2018 en cuentas de la Unidad Campeche. Sobre este asunto, ECOSUR ha mantenido acciones legales y procedimientos ante la Comisión Nacional para la Protección y Defensa de los Usuarios de Servicios Financieros (CONDUSEF) y la Fiscalía General de la República, a fin de lograr la recuperación de los recursos. Durante 2024 y 2025 continuaron las diligencias jurídicas y requerimientos de información relacionados con la investigación.</w:t>
      </w:r>
    </w:p>
    <w:p w14:paraId="7E87273C" w14:textId="77777777" w:rsidR="00C51189" w:rsidRDefault="00C51189" w:rsidP="00446DC4">
      <w:pPr>
        <w:jc w:val="both"/>
        <w:rPr>
          <w:rFonts w:ascii="Noto Sans" w:hAnsi="Noto Sans" w:cs="Noto Sans"/>
          <w:bCs/>
          <w:iCs/>
          <w:sz w:val="22"/>
          <w:szCs w:val="22"/>
          <w:lang w:val="es-MX"/>
        </w:rPr>
      </w:pPr>
    </w:p>
    <w:p w14:paraId="7F248B7F" w14:textId="64507AE2" w:rsidR="00446DC4" w:rsidRPr="00C51189" w:rsidRDefault="00446DC4" w:rsidP="00446DC4">
      <w:pPr>
        <w:jc w:val="both"/>
        <w:rPr>
          <w:rFonts w:ascii="Noto Sans" w:hAnsi="Noto Sans" w:cs="Noto Sans"/>
          <w:b/>
          <w:iCs/>
          <w:sz w:val="22"/>
          <w:szCs w:val="22"/>
          <w:lang w:val="es-MX"/>
        </w:rPr>
      </w:pPr>
      <w:r w:rsidRPr="00C51189">
        <w:rPr>
          <w:rFonts w:ascii="Noto Sans" w:hAnsi="Noto Sans" w:cs="Noto Sans"/>
          <w:b/>
          <w:iCs/>
          <w:sz w:val="22"/>
          <w:szCs w:val="22"/>
          <w:lang w:val="es-MX"/>
        </w:rPr>
        <w:t>Medidas de Austeridad, Modernización y Control del Gasto</w:t>
      </w:r>
    </w:p>
    <w:p w14:paraId="380890EE" w14:textId="77777777"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Durante el ejercicio 2025, ECOSUR dio cumplimiento a las disposiciones del Presupuesto de Egresos de la Federación y a las medidas de austeridad emitidas por el Gobierno Federal, implementando acciones orientadas a la contención y optimización del gasto corriente.</w:t>
      </w:r>
    </w:p>
    <w:p w14:paraId="4453E856" w14:textId="77777777" w:rsidR="003D540B" w:rsidRDefault="003D540B" w:rsidP="00446DC4">
      <w:pPr>
        <w:jc w:val="both"/>
        <w:rPr>
          <w:rFonts w:ascii="Noto Sans" w:hAnsi="Noto Sans" w:cs="Noto Sans"/>
          <w:bCs/>
          <w:iCs/>
          <w:sz w:val="22"/>
          <w:szCs w:val="22"/>
          <w:lang w:val="es-MX"/>
        </w:rPr>
      </w:pPr>
    </w:p>
    <w:p w14:paraId="3BACD5CD" w14:textId="713CCB65"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Entre las principales medidas aplicadas destaca la no creación de plazas laborales durante el ejercicio. Los incrementos salariales y de prestaciones se limitaron exclusivamente a aquellos autorizados por las instancias competentes, conforme a la política salarial determinada por la Secretaría de Hacienda y Crédito Público.</w:t>
      </w:r>
    </w:p>
    <w:p w14:paraId="7092DD0E" w14:textId="77777777"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De igual forma, se observó cumplimiento al Manual de Percepciones de los Servidores Públicos emitido el 30 de mayo de 2025, el cual estableció que no habría incrementos salariales para personal de mando.</w:t>
      </w:r>
    </w:p>
    <w:p w14:paraId="4D375C25" w14:textId="77777777"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En materia patrimonial, ECOSUR no realizó adquisiciones ni arrendamientos de inmuebles durante el ejercicio, ni efectuó compras de vehículos institucionales, lo que contribuyó a la contención del gasto de inversión.</w:t>
      </w:r>
    </w:p>
    <w:p w14:paraId="77FC6D24" w14:textId="77777777" w:rsidR="003D540B" w:rsidRDefault="003D540B" w:rsidP="00446DC4">
      <w:pPr>
        <w:jc w:val="both"/>
        <w:rPr>
          <w:rFonts w:ascii="Noto Sans" w:hAnsi="Noto Sans" w:cs="Noto Sans"/>
          <w:bCs/>
          <w:iCs/>
          <w:sz w:val="22"/>
          <w:szCs w:val="22"/>
          <w:lang w:val="es-MX"/>
        </w:rPr>
      </w:pPr>
    </w:p>
    <w:p w14:paraId="5FD6CD3C" w14:textId="620514D0"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lastRenderedPageBreak/>
        <w:t>Adicionalmente, continuaron aplicándose medidas administrativas derivadas de los esquemas de trabajo implementados desde la pandemia por COVID-19. Entre ellas sobresalen:</w:t>
      </w:r>
    </w:p>
    <w:p w14:paraId="4E8C4FD0" w14:textId="77777777" w:rsidR="00446DC4" w:rsidRPr="00A20322" w:rsidRDefault="00446DC4" w:rsidP="00446DC4">
      <w:pPr>
        <w:numPr>
          <w:ilvl w:val="0"/>
          <w:numId w:val="2"/>
        </w:numPr>
        <w:jc w:val="both"/>
        <w:rPr>
          <w:rFonts w:ascii="Noto Sans" w:hAnsi="Noto Sans" w:cs="Noto Sans"/>
          <w:bCs/>
          <w:iCs/>
          <w:sz w:val="22"/>
          <w:szCs w:val="22"/>
          <w:lang w:val="es-MX"/>
        </w:rPr>
      </w:pPr>
      <w:r w:rsidRPr="00A20322">
        <w:rPr>
          <w:rFonts w:ascii="Noto Sans" w:hAnsi="Noto Sans" w:cs="Noto Sans"/>
          <w:bCs/>
          <w:iCs/>
          <w:sz w:val="22"/>
          <w:szCs w:val="22"/>
          <w:lang w:val="es-MX"/>
        </w:rPr>
        <w:t>Incremento del uso de videoconferencias y plataformas digitales para reuniones académicas, administrativas y de órganos colegiados.</w:t>
      </w:r>
    </w:p>
    <w:p w14:paraId="77DEB04E" w14:textId="77777777" w:rsidR="00446DC4" w:rsidRPr="00A20322" w:rsidRDefault="00446DC4" w:rsidP="00446DC4">
      <w:pPr>
        <w:numPr>
          <w:ilvl w:val="0"/>
          <w:numId w:val="2"/>
        </w:numPr>
        <w:jc w:val="both"/>
        <w:rPr>
          <w:rFonts w:ascii="Noto Sans" w:hAnsi="Noto Sans" w:cs="Noto Sans"/>
          <w:bCs/>
          <w:iCs/>
          <w:sz w:val="22"/>
          <w:szCs w:val="22"/>
          <w:lang w:val="es-MX"/>
        </w:rPr>
      </w:pPr>
      <w:r w:rsidRPr="00A20322">
        <w:rPr>
          <w:rFonts w:ascii="Noto Sans" w:hAnsi="Noto Sans" w:cs="Noto Sans"/>
          <w:bCs/>
          <w:iCs/>
          <w:sz w:val="22"/>
          <w:szCs w:val="22"/>
          <w:lang w:val="es-MX"/>
        </w:rPr>
        <w:t>Disminución de traslados y diligencias administrativas.</w:t>
      </w:r>
    </w:p>
    <w:p w14:paraId="351EA70F" w14:textId="77777777" w:rsidR="00446DC4" w:rsidRPr="00A20322" w:rsidRDefault="00446DC4" w:rsidP="00446DC4">
      <w:pPr>
        <w:numPr>
          <w:ilvl w:val="0"/>
          <w:numId w:val="2"/>
        </w:numPr>
        <w:jc w:val="both"/>
        <w:rPr>
          <w:rFonts w:ascii="Noto Sans" w:hAnsi="Noto Sans" w:cs="Noto Sans"/>
          <w:bCs/>
          <w:iCs/>
          <w:sz w:val="22"/>
          <w:szCs w:val="22"/>
          <w:lang w:val="es-MX"/>
        </w:rPr>
      </w:pPr>
      <w:r w:rsidRPr="00A20322">
        <w:rPr>
          <w:rFonts w:ascii="Noto Sans" w:hAnsi="Noto Sans" w:cs="Noto Sans"/>
          <w:bCs/>
          <w:iCs/>
          <w:sz w:val="22"/>
          <w:szCs w:val="22"/>
          <w:lang w:val="es-MX"/>
        </w:rPr>
        <w:t>Digitalización de documentos y reducción del uso de impresiones.</w:t>
      </w:r>
    </w:p>
    <w:p w14:paraId="73FBB4B3" w14:textId="77777777" w:rsidR="00446DC4" w:rsidRPr="00A20322" w:rsidRDefault="00446DC4" w:rsidP="00446DC4">
      <w:pPr>
        <w:numPr>
          <w:ilvl w:val="0"/>
          <w:numId w:val="2"/>
        </w:numPr>
        <w:jc w:val="both"/>
        <w:rPr>
          <w:rFonts w:ascii="Noto Sans" w:hAnsi="Noto Sans" w:cs="Noto Sans"/>
          <w:bCs/>
          <w:iCs/>
          <w:sz w:val="22"/>
          <w:szCs w:val="22"/>
          <w:lang w:val="es-MX"/>
        </w:rPr>
      </w:pPr>
      <w:r w:rsidRPr="00A20322">
        <w:rPr>
          <w:rFonts w:ascii="Noto Sans" w:hAnsi="Noto Sans" w:cs="Noto Sans"/>
          <w:bCs/>
          <w:iCs/>
          <w:sz w:val="22"/>
          <w:szCs w:val="22"/>
          <w:lang w:val="es-MX"/>
        </w:rPr>
        <w:t>Acciones de ahorro energético mediante control de iluminación y sustitución de equipos por tecnologías ahorradoras.</w:t>
      </w:r>
    </w:p>
    <w:p w14:paraId="0D2787AB" w14:textId="77777777" w:rsidR="003D540B" w:rsidRDefault="003D540B" w:rsidP="00446DC4">
      <w:pPr>
        <w:jc w:val="both"/>
        <w:rPr>
          <w:rFonts w:ascii="Noto Sans" w:hAnsi="Noto Sans" w:cs="Noto Sans"/>
          <w:bCs/>
          <w:iCs/>
          <w:sz w:val="22"/>
          <w:szCs w:val="22"/>
          <w:lang w:val="es-MX"/>
        </w:rPr>
      </w:pPr>
    </w:p>
    <w:p w14:paraId="1A503775" w14:textId="29F3E867"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A través de la plataforma Microsoft Teams se realizaron 43,237 reuniones durante el ejercicio, con la participación de 6,990 usuarios y un total de 43,487 horas de conexión, lo que evidencia una consolidación de mecanismos de operación digital y reducción de costos administrativos.</w:t>
      </w:r>
    </w:p>
    <w:p w14:paraId="672C61B0" w14:textId="77777777" w:rsidR="003D540B" w:rsidRDefault="003D540B" w:rsidP="00446DC4">
      <w:pPr>
        <w:jc w:val="both"/>
        <w:rPr>
          <w:rFonts w:ascii="Noto Sans" w:hAnsi="Noto Sans" w:cs="Noto Sans"/>
          <w:bCs/>
          <w:iCs/>
          <w:sz w:val="22"/>
          <w:szCs w:val="22"/>
          <w:lang w:val="es-MX"/>
        </w:rPr>
      </w:pPr>
    </w:p>
    <w:p w14:paraId="126C43DF" w14:textId="408C7334" w:rsidR="00446DC4" w:rsidRPr="003D540B" w:rsidRDefault="00446DC4" w:rsidP="00446DC4">
      <w:pPr>
        <w:jc w:val="both"/>
        <w:rPr>
          <w:rFonts w:ascii="Noto Sans" w:hAnsi="Noto Sans" w:cs="Noto Sans"/>
          <w:b/>
          <w:iCs/>
          <w:sz w:val="22"/>
          <w:szCs w:val="22"/>
          <w:lang w:val="es-MX"/>
        </w:rPr>
      </w:pPr>
      <w:r w:rsidRPr="003D540B">
        <w:rPr>
          <w:rFonts w:ascii="Noto Sans" w:hAnsi="Noto Sans" w:cs="Noto Sans"/>
          <w:b/>
          <w:iCs/>
          <w:sz w:val="22"/>
          <w:szCs w:val="22"/>
          <w:lang w:val="es-MX"/>
        </w:rPr>
        <w:t>Contrataciones Consolidadas y Adquisiciones Relevantes</w:t>
      </w:r>
    </w:p>
    <w:p w14:paraId="5E74769C" w14:textId="77777777"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Durante 2025, ECOSUR continuó privilegiando esquemas de contratación consolidada mediante licitaciones públicas nacionales electrónicas y mecanismos coordinados con la Secretaría de Hacienda y Crédito Público (SHCP) y la Secretaría de Ciencia, Humanidades, Tecnología e Innovación (SECIHTI).</w:t>
      </w:r>
    </w:p>
    <w:p w14:paraId="411F3D0F" w14:textId="77777777" w:rsidR="00291228" w:rsidRDefault="00291228" w:rsidP="00446DC4">
      <w:pPr>
        <w:jc w:val="both"/>
        <w:rPr>
          <w:rFonts w:ascii="Noto Sans" w:hAnsi="Noto Sans" w:cs="Noto Sans"/>
          <w:bCs/>
          <w:iCs/>
          <w:sz w:val="22"/>
          <w:szCs w:val="22"/>
          <w:lang w:val="es-MX"/>
        </w:rPr>
      </w:pPr>
    </w:p>
    <w:p w14:paraId="09654962" w14:textId="13EE4AE7"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Entre las contrataciones más relevantes destacan los servicios de seguros, limpieza, vigilancia, suministro de combustible, boletos de avión, licenciamiento de software Microsoft y aseguramiento patrimonial.</w:t>
      </w:r>
      <w:r w:rsidR="00291228">
        <w:rPr>
          <w:rFonts w:ascii="Noto Sans" w:hAnsi="Noto Sans" w:cs="Noto Sans"/>
          <w:bCs/>
          <w:iCs/>
          <w:sz w:val="22"/>
          <w:szCs w:val="22"/>
          <w:lang w:val="es-MX"/>
        </w:rPr>
        <w:t xml:space="preserve"> </w:t>
      </w:r>
      <w:r w:rsidRPr="00A20322">
        <w:rPr>
          <w:rFonts w:ascii="Noto Sans" w:hAnsi="Noto Sans" w:cs="Noto Sans"/>
          <w:bCs/>
          <w:iCs/>
          <w:sz w:val="22"/>
          <w:szCs w:val="22"/>
          <w:lang w:val="es-MX"/>
        </w:rPr>
        <w:t>Asimismo, se llevaron a cabo adquisiciones relevantes relacionadas con el fortalecimiento de la infraestructura operativa y científica institucional, entre las cuales sobresalen:</w:t>
      </w:r>
    </w:p>
    <w:p w14:paraId="0DBCE216" w14:textId="77777777" w:rsidR="00446DC4" w:rsidRPr="00A20322" w:rsidRDefault="00446DC4" w:rsidP="00446DC4">
      <w:pPr>
        <w:numPr>
          <w:ilvl w:val="0"/>
          <w:numId w:val="3"/>
        </w:numPr>
        <w:jc w:val="both"/>
        <w:rPr>
          <w:rFonts w:ascii="Noto Sans" w:hAnsi="Noto Sans" w:cs="Noto Sans"/>
          <w:bCs/>
          <w:iCs/>
          <w:sz w:val="22"/>
          <w:szCs w:val="22"/>
          <w:lang w:val="es-MX"/>
        </w:rPr>
      </w:pPr>
      <w:r w:rsidRPr="00A20322">
        <w:rPr>
          <w:rFonts w:ascii="Noto Sans" w:hAnsi="Noto Sans" w:cs="Noto Sans"/>
          <w:bCs/>
          <w:iCs/>
          <w:sz w:val="22"/>
          <w:szCs w:val="22"/>
          <w:lang w:val="es-MX"/>
        </w:rPr>
        <w:t>Instrumental médico y de laboratorio por un monto de $3,088,821.69.</w:t>
      </w:r>
    </w:p>
    <w:p w14:paraId="223A2349" w14:textId="77777777" w:rsidR="00446DC4" w:rsidRPr="00A20322" w:rsidRDefault="00446DC4" w:rsidP="00446DC4">
      <w:pPr>
        <w:numPr>
          <w:ilvl w:val="0"/>
          <w:numId w:val="3"/>
        </w:numPr>
        <w:jc w:val="both"/>
        <w:rPr>
          <w:rFonts w:ascii="Noto Sans" w:hAnsi="Noto Sans" w:cs="Noto Sans"/>
          <w:bCs/>
          <w:iCs/>
          <w:sz w:val="22"/>
          <w:szCs w:val="22"/>
          <w:lang w:val="es-MX"/>
        </w:rPr>
      </w:pPr>
      <w:r w:rsidRPr="00A20322">
        <w:rPr>
          <w:rFonts w:ascii="Noto Sans" w:hAnsi="Noto Sans" w:cs="Noto Sans"/>
          <w:bCs/>
          <w:iCs/>
          <w:sz w:val="22"/>
          <w:szCs w:val="22"/>
          <w:lang w:val="es-MX"/>
        </w:rPr>
        <w:t>Plantas generadoras de energía por $2,131,996.73.</w:t>
      </w:r>
    </w:p>
    <w:p w14:paraId="2B687153" w14:textId="77777777" w:rsidR="00446DC4" w:rsidRPr="00A20322" w:rsidRDefault="00446DC4" w:rsidP="00446DC4">
      <w:pPr>
        <w:numPr>
          <w:ilvl w:val="0"/>
          <w:numId w:val="3"/>
        </w:numPr>
        <w:jc w:val="both"/>
        <w:rPr>
          <w:rFonts w:ascii="Noto Sans" w:hAnsi="Noto Sans" w:cs="Noto Sans"/>
          <w:bCs/>
          <w:iCs/>
          <w:sz w:val="22"/>
          <w:szCs w:val="22"/>
          <w:lang w:val="es-MX"/>
        </w:rPr>
      </w:pPr>
      <w:r w:rsidRPr="00A20322">
        <w:rPr>
          <w:rFonts w:ascii="Noto Sans" w:hAnsi="Noto Sans" w:cs="Noto Sans"/>
          <w:bCs/>
          <w:iCs/>
          <w:sz w:val="22"/>
          <w:szCs w:val="22"/>
          <w:lang w:val="es-MX"/>
        </w:rPr>
        <w:t>Servicios de seguridad y vigilancia por más de $4 millones.</w:t>
      </w:r>
    </w:p>
    <w:p w14:paraId="60D053C5" w14:textId="77777777" w:rsidR="00446DC4" w:rsidRPr="00A20322" w:rsidRDefault="00446DC4" w:rsidP="00446DC4">
      <w:pPr>
        <w:numPr>
          <w:ilvl w:val="0"/>
          <w:numId w:val="3"/>
        </w:numPr>
        <w:jc w:val="both"/>
        <w:rPr>
          <w:rFonts w:ascii="Noto Sans" w:hAnsi="Noto Sans" w:cs="Noto Sans"/>
          <w:bCs/>
          <w:iCs/>
          <w:sz w:val="22"/>
          <w:szCs w:val="22"/>
          <w:lang w:val="es-MX"/>
        </w:rPr>
      </w:pPr>
      <w:r w:rsidRPr="00A20322">
        <w:rPr>
          <w:rFonts w:ascii="Noto Sans" w:hAnsi="Noto Sans" w:cs="Noto Sans"/>
          <w:bCs/>
          <w:iCs/>
          <w:sz w:val="22"/>
          <w:szCs w:val="22"/>
          <w:lang w:val="es-MX"/>
        </w:rPr>
        <w:t>Servicios integrales de limpieza y jardinería por más de $4.3 millones.</w:t>
      </w:r>
    </w:p>
    <w:p w14:paraId="4968A2BC" w14:textId="77777777" w:rsidR="00291228" w:rsidRDefault="00291228" w:rsidP="00446DC4">
      <w:pPr>
        <w:jc w:val="both"/>
        <w:rPr>
          <w:rFonts w:ascii="Noto Sans" w:hAnsi="Noto Sans" w:cs="Noto Sans"/>
          <w:bCs/>
          <w:iCs/>
          <w:sz w:val="22"/>
          <w:szCs w:val="22"/>
          <w:lang w:val="es-MX"/>
        </w:rPr>
      </w:pPr>
    </w:p>
    <w:p w14:paraId="332A8582" w14:textId="37BC2F20"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Estas contrataciones se realizaron conforme a los procedimientos establecidos en la Ley de Adquisiciones, Arrendamientos y Servicios del Sector Público, privilegiando mecanismos de transparencia, competencia y economía.</w:t>
      </w:r>
    </w:p>
    <w:p w14:paraId="51424904" w14:textId="77777777" w:rsidR="00291228" w:rsidRDefault="00291228" w:rsidP="00446DC4">
      <w:pPr>
        <w:jc w:val="both"/>
        <w:rPr>
          <w:rFonts w:ascii="Noto Sans" w:hAnsi="Noto Sans" w:cs="Noto Sans"/>
          <w:bCs/>
          <w:iCs/>
          <w:sz w:val="22"/>
          <w:szCs w:val="22"/>
          <w:lang w:val="es-MX"/>
        </w:rPr>
      </w:pPr>
    </w:p>
    <w:p w14:paraId="01509702" w14:textId="4E37E468" w:rsidR="00446DC4" w:rsidRPr="00291228" w:rsidRDefault="00446DC4" w:rsidP="00446DC4">
      <w:pPr>
        <w:jc w:val="both"/>
        <w:rPr>
          <w:rFonts w:ascii="Noto Sans" w:hAnsi="Noto Sans" w:cs="Noto Sans"/>
          <w:b/>
          <w:iCs/>
          <w:sz w:val="22"/>
          <w:szCs w:val="22"/>
          <w:lang w:val="es-MX"/>
        </w:rPr>
      </w:pPr>
      <w:r w:rsidRPr="00291228">
        <w:rPr>
          <w:rFonts w:ascii="Noto Sans" w:hAnsi="Noto Sans" w:cs="Noto Sans"/>
          <w:b/>
          <w:iCs/>
          <w:sz w:val="22"/>
          <w:szCs w:val="22"/>
          <w:lang w:val="es-MX"/>
        </w:rPr>
        <w:t>Variaciones Patrimoniales y Depreciación</w:t>
      </w:r>
    </w:p>
    <w:p w14:paraId="0F275934" w14:textId="63FF97F5"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En el rubro patrimonial, durante 2025 se registraron bajas de bienes muebles por concepto de enajenación por un importe de $4,749,247.00. Paralelamente, se efectuaron adquisiciones de bienes muebles nuevos por $7,087,210.00, fortaleciendo parcialmente la infraestructura institucional.</w:t>
      </w:r>
      <w:r w:rsidR="00413B8E">
        <w:rPr>
          <w:rFonts w:ascii="Noto Sans" w:hAnsi="Noto Sans" w:cs="Noto Sans"/>
          <w:bCs/>
          <w:iCs/>
          <w:sz w:val="22"/>
          <w:szCs w:val="22"/>
          <w:lang w:val="es-MX"/>
        </w:rPr>
        <w:t xml:space="preserve"> </w:t>
      </w:r>
      <w:r w:rsidRPr="00A20322">
        <w:rPr>
          <w:rFonts w:ascii="Noto Sans" w:hAnsi="Noto Sans" w:cs="Noto Sans"/>
          <w:bCs/>
          <w:iCs/>
          <w:sz w:val="22"/>
          <w:szCs w:val="22"/>
          <w:lang w:val="es-MX"/>
        </w:rPr>
        <w:t>Respecto a la depreciación de activos, se reconoció una depreciación anual por $8,738,064.00, calculada mediante el método de línea recta y aplicada conforme a la normatividad contable gubernamental vigente. Asimismo, se registró un gasto por amortización de $228,602.00.</w:t>
      </w:r>
    </w:p>
    <w:p w14:paraId="39495187" w14:textId="77777777" w:rsidR="00413B8E" w:rsidRDefault="00413B8E" w:rsidP="00446DC4">
      <w:pPr>
        <w:jc w:val="both"/>
        <w:rPr>
          <w:rFonts w:ascii="Noto Sans" w:hAnsi="Noto Sans" w:cs="Noto Sans"/>
          <w:bCs/>
          <w:iCs/>
          <w:sz w:val="22"/>
          <w:szCs w:val="22"/>
          <w:lang w:val="es-MX"/>
        </w:rPr>
      </w:pPr>
    </w:p>
    <w:p w14:paraId="560CDC8E" w14:textId="608D458C"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Adicionalmente, se realizaron traspasos de bienes muebles entre las distintas unidades institucionales, reconociendo en cada caso los efectos correspondientes de depreciación y revaluación.</w:t>
      </w:r>
      <w:r w:rsidR="00413B8E">
        <w:rPr>
          <w:rFonts w:ascii="Noto Sans" w:hAnsi="Noto Sans" w:cs="Noto Sans"/>
          <w:bCs/>
          <w:iCs/>
          <w:sz w:val="22"/>
          <w:szCs w:val="22"/>
          <w:lang w:val="es-MX"/>
        </w:rPr>
        <w:t xml:space="preserve"> </w:t>
      </w:r>
      <w:r w:rsidRPr="00A20322">
        <w:rPr>
          <w:rFonts w:ascii="Noto Sans" w:hAnsi="Noto Sans" w:cs="Noto Sans"/>
          <w:bCs/>
          <w:iCs/>
          <w:sz w:val="22"/>
          <w:szCs w:val="22"/>
          <w:lang w:val="es-MX"/>
        </w:rPr>
        <w:t>Estos registros tuvieron impacto directo en el resultado contable del ejercicio y reflejan el desgaste natural de los activos utilizados en las operaciones académicas, científicas y administrativas de ECOSUR.</w:t>
      </w:r>
    </w:p>
    <w:p w14:paraId="3E04A637" w14:textId="77777777" w:rsidR="00D24A98" w:rsidRDefault="00D24A98" w:rsidP="00446DC4">
      <w:pPr>
        <w:jc w:val="both"/>
        <w:rPr>
          <w:rFonts w:ascii="Noto Sans" w:hAnsi="Noto Sans" w:cs="Noto Sans"/>
          <w:bCs/>
          <w:iCs/>
          <w:sz w:val="22"/>
          <w:szCs w:val="22"/>
          <w:lang w:val="es-MX"/>
        </w:rPr>
      </w:pPr>
    </w:p>
    <w:p w14:paraId="467624CD" w14:textId="5B2F3B59" w:rsidR="00446DC4" w:rsidRPr="00D24A98" w:rsidRDefault="00446DC4" w:rsidP="00446DC4">
      <w:pPr>
        <w:jc w:val="both"/>
        <w:rPr>
          <w:rFonts w:ascii="Noto Sans" w:hAnsi="Noto Sans" w:cs="Noto Sans"/>
          <w:b/>
          <w:iCs/>
          <w:sz w:val="22"/>
          <w:szCs w:val="22"/>
          <w:lang w:val="es-MX"/>
        </w:rPr>
      </w:pPr>
      <w:r w:rsidRPr="00D24A98">
        <w:rPr>
          <w:rFonts w:ascii="Noto Sans" w:hAnsi="Noto Sans" w:cs="Noto Sans"/>
          <w:b/>
          <w:iCs/>
          <w:sz w:val="22"/>
          <w:szCs w:val="22"/>
          <w:lang w:val="es-MX"/>
        </w:rPr>
        <w:t>Gastos de Funcionamiento y Resultado del Ejercicio</w:t>
      </w:r>
    </w:p>
    <w:p w14:paraId="5B929E57" w14:textId="28B40A4F" w:rsidR="00446DC4"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En cuanto a los gastos de funcionamiento, ECOSUR reportó erogaciones por $363,140,591.00 durante 2025, en comparación con los $433,277,438.00 registrados en 2024. Esta disminución refleja una política institucional orientada al control y racionalización del gasto operativo.</w:t>
      </w:r>
      <w:r w:rsidR="00D24A98">
        <w:rPr>
          <w:rFonts w:ascii="Noto Sans" w:hAnsi="Noto Sans" w:cs="Noto Sans"/>
          <w:bCs/>
          <w:iCs/>
          <w:sz w:val="22"/>
          <w:szCs w:val="22"/>
          <w:lang w:val="es-MX"/>
        </w:rPr>
        <w:t xml:space="preserve"> </w:t>
      </w:r>
      <w:r w:rsidRPr="00A20322">
        <w:rPr>
          <w:rFonts w:ascii="Noto Sans" w:hAnsi="Noto Sans" w:cs="Noto Sans"/>
          <w:bCs/>
          <w:iCs/>
          <w:sz w:val="22"/>
          <w:szCs w:val="22"/>
          <w:lang w:val="es-MX"/>
        </w:rPr>
        <w:t>Los gastos de funcionamiento comprendieron erogaciones correspondientes a servicios personales, materiales y suministros, servicios generales y otros conceptos presupuestarios autorizados conforme al clasificador por objeto del gasto.</w:t>
      </w:r>
    </w:p>
    <w:p w14:paraId="6F14E20F" w14:textId="77777777" w:rsidR="00D24A98" w:rsidRPr="00A20322" w:rsidRDefault="00D24A98" w:rsidP="00446DC4">
      <w:pPr>
        <w:jc w:val="both"/>
        <w:rPr>
          <w:rFonts w:ascii="Noto Sans" w:hAnsi="Noto Sans" w:cs="Noto Sans"/>
          <w:bCs/>
          <w:iCs/>
          <w:sz w:val="22"/>
          <w:szCs w:val="22"/>
          <w:lang w:val="es-MX"/>
        </w:rPr>
      </w:pPr>
    </w:p>
    <w:p w14:paraId="22D165FF" w14:textId="77777777" w:rsidR="00446DC4" w:rsidRPr="00A20322"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Al cierre del ejercicio 2025, la entidad reportó un ahorro neto de $4,491,011.00. Dicho resultado se integró principalmente por:</w:t>
      </w:r>
    </w:p>
    <w:p w14:paraId="56429AD0" w14:textId="77777777" w:rsidR="00446DC4" w:rsidRPr="00A20322" w:rsidRDefault="00446DC4" w:rsidP="00446DC4">
      <w:pPr>
        <w:numPr>
          <w:ilvl w:val="0"/>
          <w:numId w:val="4"/>
        </w:numPr>
        <w:jc w:val="both"/>
        <w:rPr>
          <w:rFonts w:ascii="Noto Sans" w:hAnsi="Noto Sans" w:cs="Noto Sans"/>
          <w:bCs/>
          <w:iCs/>
          <w:sz w:val="22"/>
          <w:szCs w:val="22"/>
          <w:lang w:val="es-MX"/>
        </w:rPr>
      </w:pPr>
      <w:r w:rsidRPr="00A20322">
        <w:rPr>
          <w:rFonts w:ascii="Noto Sans" w:hAnsi="Noto Sans" w:cs="Noto Sans"/>
          <w:bCs/>
          <w:iCs/>
          <w:sz w:val="22"/>
          <w:szCs w:val="22"/>
          <w:lang w:val="es-MX"/>
        </w:rPr>
        <w:t>Depreciación del ejercicio por $8,738,064.00.</w:t>
      </w:r>
    </w:p>
    <w:p w14:paraId="5439F9B9" w14:textId="77777777" w:rsidR="00446DC4" w:rsidRPr="00A20322" w:rsidRDefault="00446DC4" w:rsidP="00446DC4">
      <w:pPr>
        <w:numPr>
          <w:ilvl w:val="0"/>
          <w:numId w:val="4"/>
        </w:numPr>
        <w:jc w:val="both"/>
        <w:rPr>
          <w:rFonts w:ascii="Noto Sans" w:hAnsi="Noto Sans" w:cs="Noto Sans"/>
          <w:bCs/>
          <w:iCs/>
          <w:sz w:val="22"/>
          <w:szCs w:val="22"/>
          <w:lang w:val="es-MX"/>
        </w:rPr>
      </w:pPr>
      <w:r w:rsidRPr="00A20322">
        <w:rPr>
          <w:rFonts w:ascii="Noto Sans" w:hAnsi="Noto Sans" w:cs="Noto Sans"/>
          <w:bCs/>
          <w:iCs/>
          <w:sz w:val="22"/>
          <w:szCs w:val="22"/>
          <w:lang w:val="es-MX"/>
        </w:rPr>
        <w:t>Amortización por $228,602.00.</w:t>
      </w:r>
    </w:p>
    <w:p w14:paraId="4F2E1815" w14:textId="77777777" w:rsidR="00446DC4" w:rsidRPr="00A20322" w:rsidRDefault="00446DC4" w:rsidP="00446DC4">
      <w:pPr>
        <w:numPr>
          <w:ilvl w:val="0"/>
          <w:numId w:val="4"/>
        </w:numPr>
        <w:jc w:val="both"/>
        <w:rPr>
          <w:rFonts w:ascii="Noto Sans" w:hAnsi="Noto Sans" w:cs="Noto Sans"/>
          <w:bCs/>
          <w:iCs/>
          <w:sz w:val="22"/>
          <w:szCs w:val="22"/>
          <w:lang w:val="es-MX"/>
        </w:rPr>
      </w:pPr>
      <w:r w:rsidRPr="00A20322">
        <w:rPr>
          <w:rFonts w:ascii="Noto Sans" w:hAnsi="Noto Sans" w:cs="Noto Sans"/>
          <w:bCs/>
          <w:iCs/>
          <w:sz w:val="22"/>
          <w:szCs w:val="22"/>
          <w:lang w:val="es-MX"/>
        </w:rPr>
        <w:t>Desahorro derivado de proyectos multianuales por $10,422,187.00.</w:t>
      </w:r>
    </w:p>
    <w:p w14:paraId="68BA3EE5" w14:textId="68E83CCA" w:rsidR="00446DC4" w:rsidRDefault="00446DC4" w:rsidP="00446DC4">
      <w:pPr>
        <w:jc w:val="both"/>
        <w:rPr>
          <w:rFonts w:ascii="Noto Sans" w:hAnsi="Noto Sans" w:cs="Noto Sans"/>
          <w:bCs/>
          <w:iCs/>
          <w:sz w:val="22"/>
          <w:szCs w:val="22"/>
          <w:lang w:val="es-MX"/>
        </w:rPr>
      </w:pPr>
      <w:r w:rsidRPr="00A20322">
        <w:rPr>
          <w:rFonts w:ascii="Noto Sans" w:hAnsi="Noto Sans" w:cs="Noto Sans"/>
          <w:bCs/>
          <w:iCs/>
          <w:sz w:val="22"/>
          <w:szCs w:val="22"/>
          <w:lang w:val="es-MX"/>
        </w:rPr>
        <w:t>El desahorro asociado a proyectos multianuales obedeció a un sobre ejercicio determinado por la diferencia entre los ingresos devengados y el gasto ejercido en los capítulos presupuestarios de servicios personales, materiales y suministros, servicios generales y transferencias.</w:t>
      </w:r>
      <w:r w:rsidR="00CF211C">
        <w:rPr>
          <w:rFonts w:ascii="Noto Sans" w:hAnsi="Noto Sans" w:cs="Noto Sans"/>
          <w:bCs/>
          <w:iCs/>
          <w:sz w:val="22"/>
          <w:szCs w:val="22"/>
          <w:lang w:val="es-MX"/>
        </w:rPr>
        <w:t xml:space="preserve"> </w:t>
      </w:r>
      <w:r w:rsidRPr="00A20322">
        <w:rPr>
          <w:rFonts w:ascii="Noto Sans" w:hAnsi="Noto Sans" w:cs="Noto Sans"/>
          <w:bCs/>
          <w:iCs/>
          <w:sz w:val="22"/>
          <w:szCs w:val="22"/>
          <w:lang w:val="es-MX"/>
        </w:rPr>
        <w:t>No obstante, pese a dichos efectos, ECOSUR logró cerrar el ejercicio con un resultado positivo, reflejando estabilidad financiera, disciplina presupuestaria y capacidad institucional para absorber impactos operativos y contables relevantes.</w:t>
      </w:r>
    </w:p>
    <w:p w14:paraId="7D41FE80" w14:textId="77777777" w:rsidR="0054397F" w:rsidRDefault="0054397F" w:rsidP="00446DC4">
      <w:pPr>
        <w:jc w:val="both"/>
        <w:rPr>
          <w:rFonts w:ascii="Noto Sans" w:hAnsi="Noto Sans" w:cs="Noto Sans"/>
          <w:bCs/>
          <w:iCs/>
          <w:sz w:val="22"/>
          <w:szCs w:val="22"/>
          <w:lang w:val="es-MX"/>
        </w:rPr>
      </w:pPr>
    </w:p>
    <w:p w14:paraId="4F39B831" w14:textId="2D00F7AC" w:rsidR="0054397F" w:rsidRPr="0054397F" w:rsidRDefault="0054397F" w:rsidP="00446DC4">
      <w:pPr>
        <w:jc w:val="both"/>
        <w:rPr>
          <w:rFonts w:ascii="Noto Sans" w:hAnsi="Noto Sans" w:cs="Noto Sans"/>
          <w:b/>
          <w:iCs/>
          <w:sz w:val="22"/>
          <w:szCs w:val="22"/>
          <w:lang w:val="es-MX"/>
        </w:rPr>
      </w:pPr>
      <w:r w:rsidRPr="0054397F">
        <w:rPr>
          <w:rFonts w:ascii="Noto Sans" w:hAnsi="Noto Sans" w:cs="Noto Sans"/>
          <w:b/>
          <w:iCs/>
          <w:sz w:val="22"/>
          <w:szCs w:val="22"/>
          <w:lang w:val="es-MX"/>
        </w:rPr>
        <w:t>Información Relevante</w:t>
      </w:r>
    </w:p>
    <w:p w14:paraId="0552F599" w14:textId="77777777" w:rsidR="00E367A6" w:rsidRDefault="00E367A6" w:rsidP="00446DC4">
      <w:pPr>
        <w:jc w:val="both"/>
        <w:rPr>
          <w:rFonts w:ascii="Noto Sans" w:hAnsi="Noto Sans" w:cs="Noto Sans"/>
          <w:bCs/>
          <w:iCs/>
          <w:sz w:val="22"/>
          <w:szCs w:val="22"/>
        </w:rPr>
      </w:pPr>
    </w:p>
    <w:p w14:paraId="706C0521" w14:textId="64C02D21" w:rsidR="00A37467" w:rsidRPr="00A37467" w:rsidRDefault="00A37467" w:rsidP="00A37467">
      <w:pPr>
        <w:jc w:val="both"/>
        <w:rPr>
          <w:rFonts w:ascii="Noto Sans" w:hAnsi="Noto Sans" w:cs="Noto Sans"/>
          <w:bCs/>
          <w:iCs/>
          <w:sz w:val="22"/>
          <w:szCs w:val="22"/>
        </w:rPr>
      </w:pPr>
      <w:r w:rsidRPr="00A37467">
        <w:rPr>
          <w:rFonts w:ascii="Noto Sans" w:hAnsi="Noto Sans" w:cs="Noto Sans"/>
          <w:bCs/>
          <w:iCs/>
          <w:sz w:val="22"/>
          <w:szCs w:val="22"/>
        </w:rPr>
        <w:t>Con el propósito de mantener la vinculación entre el presupuesto y la contabilidad patrimonial, ECOSUR realizó el registro en cuentas de orden del presupuesto autorizado y sus modificaciones, tanto de ingresos como de egresos, en cumplimiento de la Norma de Información Financiera Gubernamental NEIFGSP001 y demás disposiciones aplicables en materia de contabilidad gubernamental.</w:t>
      </w:r>
      <w:r w:rsidR="0054397F">
        <w:rPr>
          <w:rFonts w:ascii="Noto Sans" w:hAnsi="Noto Sans" w:cs="Noto Sans"/>
          <w:bCs/>
          <w:iCs/>
          <w:sz w:val="22"/>
          <w:szCs w:val="22"/>
        </w:rPr>
        <w:t xml:space="preserve"> </w:t>
      </w:r>
      <w:r w:rsidRPr="00A37467">
        <w:rPr>
          <w:rFonts w:ascii="Noto Sans" w:hAnsi="Noto Sans" w:cs="Noto Sans"/>
          <w:bCs/>
          <w:iCs/>
          <w:sz w:val="22"/>
          <w:szCs w:val="22"/>
        </w:rPr>
        <w:t>Asimismo, en apego a los lineamientos emitidos por el Consejo Nacional de Armonización Contable (CONAC), la Ley Federal de Presupuesto y Responsabilidad Hacendaria (LFPRH) y su Reglamento, se integró la información financiera y presupuestaria correspondiente a la Cuenta Pública 2025. No obstante, durante el proceso de cierre del ejercicio se presentaron incidencias técnicas relacionadas con la carga y validación de información en la plataforma del Módulo de Adecuaciones Presupuestarias y Ejercicio (MAPE).</w:t>
      </w:r>
    </w:p>
    <w:p w14:paraId="7B0DC762" w14:textId="77777777" w:rsidR="00A37467" w:rsidRPr="00A37467" w:rsidRDefault="00A37467" w:rsidP="00A37467">
      <w:pPr>
        <w:jc w:val="both"/>
        <w:rPr>
          <w:rFonts w:ascii="Noto Sans" w:hAnsi="Noto Sans" w:cs="Noto Sans"/>
          <w:bCs/>
          <w:iCs/>
          <w:sz w:val="22"/>
          <w:szCs w:val="22"/>
        </w:rPr>
      </w:pPr>
    </w:p>
    <w:p w14:paraId="524E28AC" w14:textId="6EA15F31" w:rsidR="00A37467" w:rsidRPr="00A37467" w:rsidRDefault="00A37467" w:rsidP="00A37467">
      <w:pPr>
        <w:jc w:val="both"/>
        <w:rPr>
          <w:rFonts w:ascii="Noto Sans" w:hAnsi="Noto Sans" w:cs="Noto Sans"/>
          <w:bCs/>
          <w:iCs/>
          <w:sz w:val="22"/>
          <w:szCs w:val="22"/>
        </w:rPr>
      </w:pPr>
      <w:r w:rsidRPr="00A37467">
        <w:rPr>
          <w:rFonts w:ascii="Noto Sans" w:hAnsi="Noto Sans" w:cs="Noto Sans"/>
          <w:bCs/>
          <w:iCs/>
          <w:sz w:val="22"/>
          <w:szCs w:val="22"/>
        </w:rPr>
        <w:lastRenderedPageBreak/>
        <w:t>Durante febrero de 2026, ECOSUR realizó diversos intentos para registrar las cifras definitivas del presupuesto modificado al cierre del ejercicio 2025; sin embargo, las adecuaciones presupuestarias no pudieron ser autorizadas debido a inconsistencias técnicas en el formato de carga de la plataforma, lo que impidió su formalización conforme a los procedimientos establecidos.</w:t>
      </w:r>
      <w:r w:rsidR="0054397F">
        <w:rPr>
          <w:rFonts w:ascii="Noto Sans" w:hAnsi="Noto Sans" w:cs="Noto Sans"/>
          <w:bCs/>
          <w:iCs/>
          <w:sz w:val="22"/>
          <w:szCs w:val="22"/>
        </w:rPr>
        <w:t xml:space="preserve"> </w:t>
      </w:r>
      <w:r w:rsidRPr="00A37467">
        <w:rPr>
          <w:rFonts w:ascii="Noto Sans" w:hAnsi="Noto Sans" w:cs="Noto Sans"/>
          <w:bCs/>
          <w:iCs/>
          <w:sz w:val="22"/>
          <w:szCs w:val="22"/>
        </w:rPr>
        <w:t>Derivado de esta situación, y con fundamento en los principios de legalidad, transparencia, rendición de cuentas y oportunidad de la información previstos en la LFPRH, la entidad determinó integrar los Estados Financieros y Presupuestarios con base en el último MAPE validado y autorizado, correspondiente al 02 de diciembre de 2025, el cual reflejaba cifras con corte al mes de noviembre del mismo ejercicio.</w:t>
      </w:r>
    </w:p>
    <w:p w14:paraId="1B7B3776" w14:textId="77777777" w:rsidR="00A37467" w:rsidRPr="00A37467" w:rsidRDefault="00A37467" w:rsidP="00A37467">
      <w:pPr>
        <w:jc w:val="both"/>
        <w:rPr>
          <w:rFonts w:ascii="Noto Sans" w:hAnsi="Noto Sans" w:cs="Noto Sans"/>
          <w:bCs/>
          <w:iCs/>
          <w:sz w:val="22"/>
          <w:szCs w:val="22"/>
        </w:rPr>
      </w:pPr>
    </w:p>
    <w:p w14:paraId="610B6FB3" w14:textId="77777777" w:rsidR="00A37467" w:rsidRDefault="00A37467" w:rsidP="00A37467">
      <w:pPr>
        <w:jc w:val="both"/>
        <w:rPr>
          <w:rFonts w:ascii="Noto Sans" w:hAnsi="Noto Sans" w:cs="Noto Sans"/>
          <w:bCs/>
          <w:iCs/>
          <w:sz w:val="22"/>
          <w:szCs w:val="22"/>
        </w:rPr>
      </w:pPr>
      <w:r w:rsidRPr="00A37467">
        <w:rPr>
          <w:rFonts w:ascii="Noto Sans" w:hAnsi="Noto Sans" w:cs="Noto Sans"/>
          <w:bCs/>
          <w:iCs/>
          <w:sz w:val="22"/>
          <w:szCs w:val="22"/>
        </w:rPr>
        <w:t>En consecuencia, los reportes oficiales de la Cuenta Pública 2025 presentan cifras presupuestarias y financieras al cierre de noviembre de 2025, sin incorporar las operaciones correspondientes al mes de diciembre. No obstante, ECOSUR precisa que dichas operaciones fueron debidamente registradas en los sistemas institucionales, cuentan con soporte documental y forman parte del ejercicio real del gasto, en cumplimiento de las disposiciones aplicables en materia de registro y control presupuestario.</w:t>
      </w:r>
    </w:p>
    <w:p w14:paraId="4B9C41C6" w14:textId="77777777" w:rsidR="00F55DED" w:rsidRDefault="00F55DED" w:rsidP="00A37467">
      <w:pPr>
        <w:jc w:val="both"/>
        <w:rPr>
          <w:rFonts w:ascii="Noto Sans" w:hAnsi="Noto Sans" w:cs="Noto Sans"/>
          <w:bCs/>
          <w:iCs/>
          <w:sz w:val="22"/>
          <w:szCs w:val="22"/>
        </w:rPr>
      </w:pPr>
    </w:p>
    <w:tbl>
      <w:tblPr>
        <w:tblpPr w:leftFromText="141" w:rightFromText="141" w:vertAnchor="text" w:horzAnchor="margin" w:tblpXSpec="center" w:tblpY="-63"/>
        <w:tblOverlap w:val="never"/>
        <w:tblW w:w="10007" w:type="dxa"/>
        <w:tblCellMar>
          <w:left w:w="70" w:type="dxa"/>
          <w:right w:w="70" w:type="dxa"/>
        </w:tblCellMar>
        <w:tblLook w:val="04A0" w:firstRow="1" w:lastRow="0" w:firstColumn="1" w:lastColumn="0" w:noHBand="0" w:noVBand="1"/>
      </w:tblPr>
      <w:tblGrid>
        <w:gridCol w:w="4720"/>
        <w:gridCol w:w="1608"/>
        <w:gridCol w:w="1608"/>
        <w:gridCol w:w="2071"/>
      </w:tblGrid>
      <w:tr w:rsidR="00F55DED" w:rsidRPr="00960353" w14:paraId="3A1C9FE0" w14:textId="77777777" w:rsidTr="00EC5ACD">
        <w:trPr>
          <w:cantSplit/>
          <w:trHeight w:val="300"/>
        </w:trPr>
        <w:tc>
          <w:tcPr>
            <w:tcW w:w="0" w:type="auto"/>
            <w:vMerge w:val="restart"/>
            <w:tcBorders>
              <w:top w:val="nil"/>
              <w:left w:val="nil"/>
              <w:bottom w:val="nil"/>
              <w:right w:val="inset" w:sz="4" w:space="0" w:color="FFFFFF"/>
            </w:tcBorders>
            <w:shd w:val="clear" w:color="auto" w:fill="691C32"/>
            <w:vAlign w:val="center"/>
            <w:hideMark/>
          </w:tcPr>
          <w:p w14:paraId="035B7CA0" w14:textId="77777777" w:rsidR="00F55DED" w:rsidRPr="00960353" w:rsidRDefault="00F55DED" w:rsidP="00EC5ACD">
            <w:pPr>
              <w:rPr>
                <w:rFonts w:ascii="Noto Sans" w:hAnsi="Noto Sans" w:cs="Noto Sans"/>
                <w:b/>
                <w:bCs/>
                <w:color w:val="FFFFFF"/>
                <w:sz w:val="16"/>
                <w:szCs w:val="16"/>
                <w:lang w:eastAsia="es-MX"/>
              </w:rPr>
            </w:pPr>
            <w:r w:rsidRPr="00960353">
              <w:rPr>
                <w:rFonts w:ascii="Noto Sans" w:hAnsi="Noto Sans" w:cs="Noto Sans"/>
                <w:b/>
                <w:bCs/>
                <w:color w:val="FFFFFF"/>
                <w:sz w:val="16"/>
                <w:szCs w:val="16"/>
                <w:lang w:eastAsia="es-MX"/>
              </w:rPr>
              <w:t>Concepto</w:t>
            </w:r>
          </w:p>
        </w:tc>
        <w:tc>
          <w:tcPr>
            <w:tcW w:w="0" w:type="auto"/>
            <w:vMerge w:val="restart"/>
            <w:tcBorders>
              <w:top w:val="single" w:sz="8" w:space="0" w:color="FFFFFF"/>
              <w:left w:val="inset" w:sz="4" w:space="0" w:color="FFFFFF"/>
              <w:bottom w:val="single" w:sz="12" w:space="0" w:color="FFFFFF"/>
              <w:right w:val="inset" w:sz="4" w:space="0" w:color="FFFFFF"/>
            </w:tcBorders>
            <w:shd w:val="clear" w:color="auto" w:fill="691C32"/>
            <w:noWrap/>
            <w:vAlign w:val="center"/>
            <w:hideMark/>
          </w:tcPr>
          <w:p w14:paraId="67C8C3A4" w14:textId="77777777" w:rsidR="00F55DED" w:rsidRPr="00960353" w:rsidRDefault="00F55DED" w:rsidP="00EC5ACD">
            <w:pPr>
              <w:spacing w:line="240" w:lineRule="exact"/>
              <w:jc w:val="center"/>
              <w:rPr>
                <w:rFonts w:ascii="Noto Sans" w:hAnsi="Noto Sans" w:cs="Noto Sans"/>
                <w:b/>
                <w:bCs/>
                <w:color w:val="FFFFFF"/>
                <w:sz w:val="16"/>
                <w:szCs w:val="16"/>
                <w:lang w:eastAsia="es-MX"/>
              </w:rPr>
            </w:pPr>
            <w:r w:rsidRPr="00960353">
              <w:rPr>
                <w:rFonts w:ascii="Noto Sans" w:hAnsi="Noto Sans" w:cs="Noto Sans"/>
                <w:b/>
                <w:bCs/>
                <w:color w:val="FFFFFF"/>
                <w:sz w:val="16"/>
                <w:szCs w:val="16"/>
                <w:lang w:eastAsia="es-MX"/>
              </w:rPr>
              <w:t>Original</w:t>
            </w:r>
          </w:p>
        </w:tc>
        <w:tc>
          <w:tcPr>
            <w:tcW w:w="0" w:type="auto"/>
            <w:vMerge w:val="restart"/>
            <w:tcBorders>
              <w:top w:val="single" w:sz="8" w:space="0" w:color="FFFFFF"/>
              <w:left w:val="inset" w:sz="4" w:space="0" w:color="FFFFFF"/>
              <w:bottom w:val="single" w:sz="12" w:space="0" w:color="FFFFFF"/>
              <w:right w:val="single" w:sz="4" w:space="0" w:color="FFFFFF"/>
            </w:tcBorders>
            <w:shd w:val="clear" w:color="auto" w:fill="691C32"/>
            <w:noWrap/>
            <w:vAlign w:val="center"/>
            <w:hideMark/>
          </w:tcPr>
          <w:p w14:paraId="1C0657AA" w14:textId="77777777" w:rsidR="00F55DED" w:rsidRPr="00960353" w:rsidRDefault="00F55DED" w:rsidP="00EC5ACD">
            <w:pPr>
              <w:spacing w:line="240" w:lineRule="exact"/>
              <w:jc w:val="center"/>
              <w:rPr>
                <w:rFonts w:ascii="Noto Sans" w:hAnsi="Noto Sans" w:cs="Noto Sans"/>
                <w:b/>
                <w:bCs/>
                <w:color w:val="FFFFFF"/>
                <w:sz w:val="16"/>
                <w:szCs w:val="16"/>
                <w:lang w:eastAsia="es-MX"/>
              </w:rPr>
            </w:pPr>
            <w:r w:rsidRPr="00960353">
              <w:rPr>
                <w:rFonts w:ascii="Noto Sans" w:hAnsi="Noto Sans" w:cs="Noto Sans"/>
                <w:b/>
                <w:bCs/>
                <w:color w:val="FFFFFF"/>
                <w:sz w:val="16"/>
                <w:szCs w:val="16"/>
                <w:lang w:eastAsia="es-MX"/>
              </w:rPr>
              <w:t>Presentado SICP</w:t>
            </w:r>
          </w:p>
        </w:tc>
        <w:tc>
          <w:tcPr>
            <w:tcW w:w="2071" w:type="dxa"/>
            <w:vMerge w:val="restart"/>
            <w:tcBorders>
              <w:top w:val="outset" w:sz="4" w:space="0" w:color="FFFFFF"/>
              <w:left w:val="single" w:sz="4" w:space="0" w:color="FFFFFF"/>
              <w:bottom w:val="inset" w:sz="4" w:space="0" w:color="FFFFFF"/>
              <w:right w:val="inset" w:sz="4" w:space="0" w:color="FFFFFF"/>
            </w:tcBorders>
            <w:shd w:val="clear" w:color="auto" w:fill="691C32"/>
            <w:vAlign w:val="center"/>
            <w:hideMark/>
          </w:tcPr>
          <w:p w14:paraId="3A5DC35D" w14:textId="77777777" w:rsidR="00F55DED" w:rsidRPr="00960353" w:rsidRDefault="00F55DED" w:rsidP="00EC5ACD">
            <w:pPr>
              <w:spacing w:line="240" w:lineRule="exact"/>
              <w:jc w:val="center"/>
              <w:rPr>
                <w:rFonts w:ascii="Noto Sans" w:hAnsi="Noto Sans" w:cs="Noto Sans"/>
                <w:b/>
                <w:bCs/>
                <w:color w:val="FFFFFF"/>
                <w:sz w:val="16"/>
                <w:szCs w:val="16"/>
                <w:lang w:eastAsia="es-MX"/>
              </w:rPr>
            </w:pPr>
            <w:r w:rsidRPr="00960353">
              <w:rPr>
                <w:rFonts w:ascii="Noto Sans" w:hAnsi="Noto Sans" w:cs="Noto Sans"/>
                <w:b/>
                <w:bCs/>
                <w:color w:val="FFFFFF"/>
                <w:sz w:val="16"/>
                <w:szCs w:val="16"/>
                <w:lang w:eastAsia="es-MX"/>
              </w:rPr>
              <w:t>Diferencia</w:t>
            </w:r>
          </w:p>
        </w:tc>
      </w:tr>
      <w:tr w:rsidR="00F55DED" w:rsidRPr="00960353" w14:paraId="16D9F5F5" w14:textId="77777777" w:rsidTr="00EC5ACD">
        <w:trPr>
          <w:cantSplit/>
          <w:trHeight w:val="300"/>
        </w:trPr>
        <w:tc>
          <w:tcPr>
            <w:tcW w:w="0" w:type="auto"/>
            <w:vMerge/>
            <w:tcBorders>
              <w:top w:val="nil"/>
              <w:left w:val="nil"/>
              <w:bottom w:val="nil"/>
              <w:right w:val="inset" w:sz="4" w:space="0" w:color="FFFFFF"/>
            </w:tcBorders>
            <w:shd w:val="clear" w:color="auto" w:fill="691C32"/>
            <w:vAlign w:val="center"/>
            <w:hideMark/>
          </w:tcPr>
          <w:p w14:paraId="772E2D16" w14:textId="77777777" w:rsidR="00F55DED" w:rsidRPr="00960353" w:rsidRDefault="00F55DED" w:rsidP="00EC5ACD">
            <w:pPr>
              <w:rPr>
                <w:rFonts w:ascii="Noto Sans" w:hAnsi="Noto Sans" w:cs="Noto Sans"/>
                <w:b/>
                <w:bCs/>
                <w:color w:val="FFFFFF"/>
                <w:sz w:val="16"/>
                <w:szCs w:val="16"/>
                <w:lang w:eastAsia="es-MX"/>
              </w:rPr>
            </w:pPr>
          </w:p>
        </w:tc>
        <w:tc>
          <w:tcPr>
            <w:tcW w:w="0" w:type="auto"/>
            <w:vMerge/>
            <w:tcBorders>
              <w:top w:val="single" w:sz="8" w:space="0" w:color="FFFFFF"/>
              <w:left w:val="inset" w:sz="4" w:space="0" w:color="FFFFFF"/>
              <w:bottom w:val="single" w:sz="12" w:space="0" w:color="FFFFFF"/>
              <w:right w:val="inset" w:sz="4" w:space="0" w:color="FFFFFF"/>
            </w:tcBorders>
            <w:shd w:val="clear" w:color="auto" w:fill="691C32"/>
            <w:vAlign w:val="center"/>
            <w:hideMark/>
          </w:tcPr>
          <w:p w14:paraId="4184A798" w14:textId="77777777" w:rsidR="00F55DED" w:rsidRPr="00960353" w:rsidRDefault="00F55DED" w:rsidP="00EC5ACD">
            <w:pPr>
              <w:rPr>
                <w:rFonts w:ascii="Noto Sans" w:hAnsi="Noto Sans" w:cs="Noto Sans"/>
                <w:b/>
                <w:bCs/>
                <w:color w:val="FFFFFF"/>
                <w:sz w:val="16"/>
                <w:szCs w:val="16"/>
                <w:lang w:eastAsia="es-MX"/>
              </w:rPr>
            </w:pPr>
          </w:p>
        </w:tc>
        <w:tc>
          <w:tcPr>
            <w:tcW w:w="0" w:type="auto"/>
            <w:vMerge/>
            <w:tcBorders>
              <w:top w:val="single" w:sz="8" w:space="0" w:color="FFFFFF"/>
              <w:left w:val="inset" w:sz="4" w:space="0" w:color="FFFFFF"/>
              <w:bottom w:val="single" w:sz="12" w:space="0" w:color="FFFFFF"/>
              <w:right w:val="single" w:sz="4" w:space="0" w:color="FFFFFF"/>
            </w:tcBorders>
            <w:shd w:val="clear" w:color="auto" w:fill="691C32"/>
            <w:vAlign w:val="center"/>
            <w:hideMark/>
          </w:tcPr>
          <w:p w14:paraId="191E3CC6" w14:textId="77777777" w:rsidR="00F55DED" w:rsidRPr="00960353" w:rsidRDefault="00F55DED" w:rsidP="00EC5ACD">
            <w:pPr>
              <w:rPr>
                <w:rFonts w:ascii="Noto Sans" w:hAnsi="Noto Sans" w:cs="Noto Sans"/>
                <w:b/>
                <w:bCs/>
                <w:color w:val="FFFFFF"/>
                <w:sz w:val="16"/>
                <w:szCs w:val="16"/>
                <w:lang w:eastAsia="es-MX"/>
              </w:rPr>
            </w:pPr>
          </w:p>
        </w:tc>
        <w:tc>
          <w:tcPr>
            <w:tcW w:w="2071" w:type="dxa"/>
            <w:vMerge/>
            <w:tcBorders>
              <w:top w:val="outset" w:sz="4" w:space="0" w:color="FFFFFF"/>
              <w:left w:val="single" w:sz="4" w:space="0" w:color="FFFFFF"/>
              <w:bottom w:val="inset" w:sz="4" w:space="0" w:color="FFFFFF"/>
              <w:right w:val="inset" w:sz="4" w:space="0" w:color="FFFFFF"/>
            </w:tcBorders>
            <w:shd w:val="clear" w:color="auto" w:fill="691C32"/>
            <w:vAlign w:val="center"/>
            <w:hideMark/>
          </w:tcPr>
          <w:p w14:paraId="380E4781" w14:textId="77777777" w:rsidR="00F55DED" w:rsidRPr="00960353" w:rsidRDefault="00F55DED" w:rsidP="00EC5ACD">
            <w:pPr>
              <w:rPr>
                <w:rFonts w:ascii="Noto Sans" w:hAnsi="Noto Sans" w:cs="Noto Sans"/>
                <w:b/>
                <w:bCs/>
                <w:color w:val="FFFFFF"/>
                <w:sz w:val="16"/>
                <w:szCs w:val="16"/>
                <w:lang w:eastAsia="es-MX"/>
              </w:rPr>
            </w:pPr>
          </w:p>
        </w:tc>
      </w:tr>
      <w:tr w:rsidR="00F55DED" w:rsidRPr="00960353" w14:paraId="60ECFF10" w14:textId="77777777" w:rsidTr="00EC5ACD">
        <w:trPr>
          <w:cantSplit/>
        </w:trPr>
        <w:tc>
          <w:tcPr>
            <w:tcW w:w="4720" w:type="dxa"/>
            <w:tcBorders>
              <w:top w:val="nil"/>
              <w:left w:val="nil"/>
              <w:bottom w:val="double" w:sz="12" w:space="0" w:color="A6802D"/>
              <w:right w:val="nil"/>
            </w:tcBorders>
            <w:noWrap/>
            <w:vAlign w:val="center"/>
          </w:tcPr>
          <w:p w14:paraId="42BD8687" w14:textId="77777777" w:rsidR="00F55DED" w:rsidRPr="00960353" w:rsidRDefault="00F55DED" w:rsidP="00EC5ACD">
            <w:pPr>
              <w:spacing w:line="40" w:lineRule="atLeast"/>
              <w:jc w:val="center"/>
              <w:rPr>
                <w:rFonts w:ascii="Noto Sans" w:hAnsi="Noto Sans" w:cs="Noto Sans"/>
                <w:b/>
                <w:bCs/>
                <w:sz w:val="4"/>
                <w:szCs w:val="4"/>
                <w:lang w:eastAsia="es-MX"/>
              </w:rPr>
            </w:pPr>
          </w:p>
        </w:tc>
        <w:tc>
          <w:tcPr>
            <w:tcW w:w="0" w:type="auto"/>
            <w:tcBorders>
              <w:top w:val="single" w:sz="12" w:space="0" w:color="FFFFFF"/>
              <w:left w:val="nil"/>
              <w:bottom w:val="double" w:sz="12" w:space="0" w:color="A6802D"/>
              <w:right w:val="nil"/>
            </w:tcBorders>
            <w:noWrap/>
            <w:vAlign w:val="center"/>
          </w:tcPr>
          <w:p w14:paraId="7BDED0AA" w14:textId="77777777" w:rsidR="00F55DED" w:rsidRPr="00960353" w:rsidRDefault="00F55DED" w:rsidP="00EC5ACD">
            <w:pPr>
              <w:spacing w:line="40" w:lineRule="atLeast"/>
              <w:jc w:val="center"/>
              <w:rPr>
                <w:rFonts w:ascii="Noto Sans" w:hAnsi="Noto Sans" w:cs="Noto Sans"/>
                <w:b/>
                <w:bCs/>
                <w:sz w:val="4"/>
                <w:szCs w:val="4"/>
                <w:lang w:eastAsia="es-MX"/>
              </w:rPr>
            </w:pPr>
          </w:p>
        </w:tc>
        <w:tc>
          <w:tcPr>
            <w:tcW w:w="0" w:type="auto"/>
            <w:tcBorders>
              <w:top w:val="single" w:sz="12" w:space="0" w:color="FFFFFF"/>
              <w:left w:val="nil"/>
              <w:bottom w:val="double" w:sz="12" w:space="0" w:color="A6802D"/>
              <w:right w:val="nil"/>
            </w:tcBorders>
            <w:noWrap/>
            <w:vAlign w:val="center"/>
          </w:tcPr>
          <w:p w14:paraId="2DF811FB" w14:textId="77777777" w:rsidR="00F55DED" w:rsidRPr="00960353" w:rsidRDefault="00F55DED" w:rsidP="00EC5ACD">
            <w:pPr>
              <w:spacing w:line="40" w:lineRule="atLeast"/>
              <w:jc w:val="center"/>
              <w:rPr>
                <w:rFonts w:ascii="Noto Sans" w:hAnsi="Noto Sans" w:cs="Noto Sans"/>
                <w:b/>
                <w:bCs/>
                <w:sz w:val="4"/>
                <w:szCs w:val="4"/>
                <w:lang w:eastAsia="es-MX"/>
              </w:rPr>
            </w:pPr>
          </w:p>
        </w:tc>
        <w:tc>
          <w:tcPr>
            <w:tcW w:w="2071" w:type="dxa"/>
            <w:tcBorders>
              <w:top w:val="inset" w:sz="4" w:space="0" w:color="FFFFFF"/>
              <w:left w:val="nil"/>
              <w:bottom w:val="double" w:sz="12" w:space="0" w:color="A6802D"/>
              <w:right w:val="nil"/>
            </w:tcBorders>
            <w:noWrap/>
            <w:vAlign w:val="center"/>
          </w:tcPr>
          <w:p w14:paraId="20D6865A" w14:textId="77777777" w:rsidR="00F55DED" w:rsidRPr="00960353" w:rsidRDefault="00F55DED" w:rsidP="00EC5ACD">
            <w:pPr>
              <w:spacing w:line="40" w:lineRule="atLeast"/>
              <w:jc w:val="center"/>
              <w:rPr>
                <w:rFonts w:ascii="Noto Sans" w:hAnsi="Noto Sans" w:cs="Noto Sans"/>
                <w:b/>
                <w:bCs/>
                <w:sz w:val="4"/>
                <w:szCs w:val="4"/>
                <w:lang w:eastAsia="es-MX"/>
              </w:rPr>
            </w:pPr>
          </w:p>
        </w:tc>
      </w:tr>
      <w:tr w:rsidR="00F55DED" w:rsidRPr="00960353" w14:paraId="6112AFAA" w14:textId="77777777" w:rsidTr="00EC5ACD">
        <w:trPr>
          <w:cantSplit/>
        </w:trPr>
        <w:tc>
          <w:tcPr>
            <w:tcW w:w="4720" w:type="dxa"/>
            <w:shd w:val="clear" w:color="auto" w:fill="F2F2F2"/>
            <w:noWrap/>
            <w:vAlign w:val="center"/>
          </w:tcPr>
          <w:p w14:paraId="7F01F6E1" w14:textId="77777777" w:rsidR="00F55DED" w:rsidRPr="00960353" w:rsidRDefault="00F55DED" w:rsidP="00EC5ACD">
            <w:pPr>
              <w:spacing w:before="20" w:after="20"/>
              <w:rPr>
                <w:rFonts w:ascii="Noto Sans" w:hAnsi="Noto Sans" w:cs="Noto Sans"/>
                <w:b/>
                <w:bCs/>
                <w:color w:val="000000"/>
                <w:sz w:val="15"/>
                <w:szCs w:val="15"/>
                <w:lang w:eastAsia="es-MX"/>
              </w:rPr>
            </w:pPr>
            <w:r w:rsidRPr="00960353">
              <w:rPr>
                <w:rFonts w:ascii="Noto Sans" w:hAnsi="Noto Sans" w:cs="Noto Sans"/>
                <w:b/>
                <w:bCs/>
                <w:color w:val="000000"/>
                <w:sz w:val="15"/>
                <w:szCs w:val="15"/>
                <w:lang w:eastAsia="es-MX"/>
              </w:rPr>
              <w:t>INGRESOS</w:t>
            </w:r>
          </w:p>
        </w:tc>
        <w:tc>
          <w:tcPr>
            <w:tcW w:w="0" w:type="auto"/>
            <w:shd w:val="clear" w:color="auto" w:fill="F2F2F2"/>
            <w:noWrap/>
            <w:vAlign w:val="center"/>
          </w:tcPr>
          <w:p w14:paraId="09690F6D" w14:textId="77777777" w:rsidR="00F55DED" w:rsidRPr="00960353" w:rsidRDefault="00F55DED" w:rsidP="00EC5ACD">
            <w:pPr>
              <w:spacing w:before="20" w:after="20"/>
              <w:jc w:val="right"/>
              <w:rPr>
                <w:rFonts w:ascii="Noto Sans" w:hAnsi="Noto Sans" w:cs="Noto Sans"/>
                <w:b/>
                <w:bCs/>
                <w:sz w:val="15"/>
                <w:szCs w:val="15"/>
                <w:lang w:eastAsia="es-MX"/>
              </w:rPr>
            </w:pPr>
          </w:p>
        </w:tc>
        <w:tc>
          <w:tcPr>
            <w:tcW w:w="0" w:type="auto"/>
            <w:shd w:val="clear" w:color="auto" w:fill="F2F2F2"/>
            <w:noWrap/>
            <w:vAlign w:val="center"/>
          </w:tcPr>
          <w:p w14:paraId="1E817B7A" w14:textId="77777777" w:rsidR="00F55DED" w:rsidRPr="00960353" w:rsidRDefault="00F55DED" w:rsidP="00EC5ACD">
            <w:pPr>
              <w:spacing w:before="20" w:after="20"/>
              <w:jc w:val="right"/>
              <w:rPr>
                <w:rFonts w:ascii="Noto Sans" w:hAnsi="Noto Sans" w:cs="Noto Sans"/>
                <w:sz w:val="15"/>
                <w:szCs w:val="15"/>
                <w:lang w:eastAsia="es-MX"/>
              </w:rPr>
            </w:pPr>
          </w:p>
        </w:tc>
        <w:tc>
          <w:tcPr>
            <w:tcW w:w="2071" w:type="dxa"/>
            <w:shd w:val="clear" w:color="auto" w:fill="F2F2F2"/>
            <w:noWrap/>
            <w:vAlign w:val="center"/>
          </w:tcPr>
          <w:p w14:paraId="686AB79B" w14:textId="77777777" w:rsidR="00F55DED" w:rsidRPr="00960353" w:rsidRDefault="00F55DED" w:rsidP="00EC5ACD">
            <w:pPr>
              <w:spacing w:before="20" w:after="20"/>
              <w:jc w:val="right"/>
              <w:rPr>
                <w:rFonts w:ascii="Noto Sans" w:hAnsi="Noto Sans" w:cs="Noto Sans"/>
                <w:b/>
                <w:sz w:val="15"/>
                <w:szCs w:val="15"/>
                <w:lang w:eastAsia="es-MX"/>
              </w:rPr>
            </w:pPr>
          </w:p>
        </w:tc>
      </w:tr>
      <w:tr w:rsidR="00F55DED" w:rsidRPr="00960353" w14:paraId="0BDBD095" w14:textId="77777777" w:rsidTr="00EC5ACD">
        <w:trPr>
          <w:cantSplit/>
        </w:trPr>
        <w:tc>
          <w:tcPr>
            <w:tcW w:w="4720" w:type="dxa"/>
            <w:shd w:val="clear" w:color="auto" w:fill="F2F2F2"/>
            <w:noWrap/>
            <w:hideMark/>
          </w:tcPr>
          <w:p w14:paraId="24E9FE5A" w14:textId="77777777" w:rsidR="00F55DED" w:rsidRPr="00960353" w:rsidRDefault="00F55DED" w:rsidP="00EC5ACD">
            <w:pPr>
              <w:spacing w:before="20" w:after="20"/>
              <w:rPr>
                <w:rFonts w:ascii="Noto Sans" w:hAnsi="Noto Sans" w:cs="Noto Sans"/>
                <w:sz w:val="15"/>
                <w:szCs w:val="15"/>
                <w:lang w:eastAsia="es-MX"/>
              </w:rPr>
            </w:pPr>
            <w:r w:rsidRPr="00960353">
              <w:rPr>
                <w:rFonts w:ascii="Noto Sans" w:hAnsi="Noto Sans" w:cs="Noto Sans"/>
                <w:sz w:val="15"/>
                <w:szCs w:val="15"/>
              </w:rPr>
              <w:t>Ingresos de Operación de Entidades Paraestatales no Empresariales y no Financieras</w:t>
            </w:r>
          </w:p>
        </w:tc>
        <w:tc>
          <w:tcPr>
            <w:tcW w:w="0" w:type="auto"/>
            <w:shd w:val="clear" w:color="auto" w:fill="F2F2F2"/>
            <w:noWrap/>
            <w:hideMark/>
          </w:tcPr>
          <w:p w14:paraId="3FCF8442"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 xml:space="preserve">           4,592,419.00 </w:t>
            </w:r>
          </w:p>
        </w:tc>
        <w:tc>
          <w:tcPr>
            <w:tcW w:w="0" w:type="auto"/>
            <w:shd w:val="clear" w:color="auto" w:fill="F2F2F2"/>
            <w:noWrap/>
            <w:hideMark/>
          </w:tcPr>
          <w:p w14:paraId="1711AF59"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4,592,419.00</w:t>
            </w:r>
          </w:p>
        </w:tc>
        <w:tc>
          <w:tcPr>
            <w:tcW w:w="2071" w:type="dxa"/>
            <w:shd w:val="clear" w:color="auto" w:fill="F2F2F2"/>
            <w:noWrap/>
            <w:hideMark/>
          </w:tcPr>
          <w:p w14:paraId="1C8094DE"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 xml:space="preserve">                          -   </w:t>
            </w:r>
          </w:p>
        </w:tc>
      </w:tr>
      <w:tr w:rsidR="00F55DED" w:rsidRPr="00960353" w14:paraId="68C0D7F5" w14:textId="77777777" w:rsidTr="00EC5ACD">
        <w:trPr>
          <w:cantSplit/>
        </w:trPr>
        <w:tc>
          <w:tcPr>
            <w:tcW w:w="4720" w:type="dxa"/>
            <w:shd w:val="clear" w:color="auto" w:fill="F2F2F2"/>
            <w:noWrap/>
          </w:tcPr>
          <w:p w14:paraId="0ADDA5FF" w14:textId="77777777" w:rsidR="00F55DED" w:rsidRPr="00960353" w:rsidRDefault="00F55DED" w:rsidP="00EC5ACD">
            <w:pPr>
              <w:spacing w:before="20" w:after="20"/>
              <w:rPr>
                <w:rFonts w:ascii="Noto Sans" w:hAnsi="Noto Sans" w:cs="Noto Sans"/>
                <w:sz w:val="15"/>
                <w:szCs w:val="15"/>
              </w:rPr>
            </w:pPr>
          </w:p>
        </w:tc>
        <w:tc>
          <w:tcPr>
            <w:tcW w:w="0" w:type="auto"/>
            <w:shd w:val="clear" w:color="auto" w:fill="F2F2F2"/>
            <w:noWrap/>
          </w:tcPr>
          <w:p w14:paraId="7435CE26" w14:textId="77777777" w:rsidR="00F55DED" w:rsidRPr="00960353" w:rsidRDefault="00F55DED" w:rsidP="00EC5ACD">
            <w:pPr>
              <w:spacing w:before="20" w:after="20"/>
              <w:jc w:val="right"/>
              <w:rPr>
                <w:rFonts w:ascii="Noto Sans" w:hAnsi="Noto Sans" w:cs="Noto Sans"/>
                <w:sz w:val="15"/>
                <w:szCs w:val="15"/>
              </w:rPr>
            </w:pPr>
          </w:p>
        </w:tc>
        <w:tc>
          <w:tcPr>
            <w:tcW w:w="0" w:type="auto"/>
            <w:shd w:val="clear" w:color="auto" w:fill="F2F2F2"/>
            <w:noWrap/>
          </w:tcPr>
          <w:p w14:paraId="4F326F94" w14:textId="77777777" w:rsidR="00F55DED" w:rsidRPr="00960353" w:rsidRDefault="00F55DED" w:rsidP="00EC5ACD">
            <w:pPr>
              <w:spacing w:before="20" w:after="20"/>
              <w:jc w:val="right"/>
              <w:rPr>
                <w:rFonts w:ascii="Noto Sans" w:hAnsi="Noto Sans" w:cs="Noto Sans"/>
                <w:sz w:val="15"/>
                <w:szCs w:val="15"/>
              </w:rPr>
            </w:pPr>
          </w:p>
        </w:tc>
        <w:tc>
          <w:tcPr>
            <w:tcW w:w="2071" w:type="dxa"/>
            <w:shd w:val="clear" w:color="auto" w:fill="F2F2F2"/>
            <w:noWrap/>
          </w:tcPr>
          <w:p w14:paraId="5CEF70A2" w14:textId="77777777" w:rsidR="00F55DED" w:rsidRPr="00960353" w:rsidRDefault="00F55DED" w:rsidP="00EC5ACD">
            <w:pPr>
              <w:spacing w:before="20" w:after="20"/>
              <w:jc w:val="right"/>
              <w:rPr>
                <w:rFonts w:ascii="Noto Sans" w:hAnsi="Noto Sans" w:cs="Noto Sans"/>
                <w:sz w:val="15"/>
                <w:szCs w:val="15"/>
              </w:rPr>
            </w:pPr>
          </w:p>
        </w:tc>
      </w:tr>
      <w:tr w:rsidR="00F55DED" w:rsidRPr="00960353" w14:paraId="292C7ECB" w14:textId="77777777" w:rsidTr="00EC5ACD">
        <w:trPr>
          <w:cantSplit/>
        </w:trPr>
        <w:tc>
          <w:tcPr>
            <w:tcW w:w="4720" w:type="dxa"/>
            <w:shd w:val="clear" w:color="auto" w:fill="F2F2F2"/>
            <w:noWrap/>
            <w:hideMark/>
          </w:tcPr>
          <w:p w14:paraId="4929BB6E" w14:textId="77777777" w:rsidR="00F55DED" w:rsidRPr="00960353" w:rsidRDefault="00F55DED" w:rsidP="00EC5ACD">
            <w:pPr>
              <w:spacing w:before="20" w:after="20"/>
              <w:rPr>
                <w:rFonts w:ascii="Noto Sans" w:hAnsi="Noto Sans" w:cs="Noto Sans"/>
                <w:sz w:val="15"/>
                <w:szCs w:val="15"/>
                <w:lang w:eastAsia="es-MX"/>
              </w:rPr>
            </w:pPr>
            <w:r w:rsidRPr="00960353">
              <w:rPr>
                <w:rFonts w:ascii="Noto Sans" w:hAnsi="Noto Sans" w:cs="Noto Sans"/>
                <w:sz w:val="15"/>
                <w:szCs w:val="15"/>
              </w:rPr>
              <w:t>Transferencias Internas y Asignaciones del Sector Público</w:t>
            </w:r>
          </w:p>
        </w:tc>
        <w:tc>
          <w:tcPr>
            <w:tcW w:w="0" w:type="auto"/>
            <w:shd w:val="clear" w:color="auto" w:fill="F2F2F2"/>
            <w:noWrap/>
            <w:hideMark/>
          </w:tcPr>
          <w:p w14:paraId="6108343D"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 xml:space="preserve">       444,937,155.00 </w:t>
            </w:r>
          </w:p>
        </w:tc>
        <w:tc>
          <w:tcPr>
            <w:tcW w:w="0" w:type="auto"/>
            <w:shd w:val="clear" w:color="auto" w:fill="F2F2F2"/>
            <w:noWrap/>
            <w:hideMark/>
          </w:tcPr>
          <w:p w14:paraId="12C8FABB"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392,310,381.00</w:t>
            </w:r>
          </w:p>
        </w:tc>
        <w:tc>
          <w:tcPr>
            <w:tcW w:w="2071" w:type="dxa"/>
            <w:shd w:val="clear" w:color="auto" w:fill="F2F2F2"/>
            <w:noWrap/>
            <w:hideMark/>
          </w:tcPr>
          <w:p w14:paraId="434780FF"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 xml:space="preserve">    52,626,774.00     </w:t>
            </w:r>
          </w:p>
        </w:tc>
      </w:tr>
      <w:tr w:rsidR="00F55DED" w:rsidRPr="00960353" w14:paraId="245DA008" w14:textId="77777777" w:rsidTr="00EC5ACD">
        <w:trPr>
          <w:cantSplit/>
        </w:trPr>
        <w:tc>
          <w:tcPr>
            <w:tcW w:w="4720" w:type="dxa"/>
            <w:shd w:val="clear" w:color="auto" w:fill="F2F2F2"/>
            <w:noWrap/>
            <w:hideMark/>
          </w:tcPr>
          <w:p w14:paraId="2B090884" w14:textId="77777777" w:rsidR="00F55DED" w:rsidRPr="00960353" w:rsidRDefault="00F55DED" w:rsidP="00EC5ACD">
            <w:pPr>
              <w:spacing w:before="20" w:after="20"/>
              <w:rPr>
                <w:rFonts w:ascii="Noto Sans" w:hAnsi="Noto Sans" w:cs="Noto Sans"/>
                <w:sz w:val="15"/>
                <w:szCs w:val="15"/>
                <w:lang w:eastAsia="es-MX"/>
              </w:rPr>
            </w:pPr>
            <w:r w:rsidRPr="00960353">
              <w:rPr>
                <w:rFonts w:ascii="Noto Sans" w:hAnsi="Noto Sans" w:cs="Noto Sans"/>
                <w:sz w:val="15"/>
                <w:szCs w:val="15"/>
              </w:rPr>
              <w:t>Subsidios y Subvenciones</w:t>
            </w:r>
          </w:p>
        </w:tc>
        <w:tc>
          <w:tcPr>
            <w:tcW w:w="0" w:type="auto"/>
            <w:shd w:val="clear" w:color="auto" w:fill="F2F2F2"/>
            <w:noWrap/>
            <w:hideMark/>
          </w:tcPr>
          <w:p w14:paraId="14987078"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lang w:eastAsia="es-MX"/>
              </w:rPr>
              <w:t xml:space="preserve">          </w:t>
            </w:r>
          </w:p>
        </w:tc>
        <w:tc>
          <w:tcPr>
            <w:tcW w:w="0" w:type="auto"/>
            <w:shd w:val="clear" w:color="auto" w:fill="F2F2F2"/>
            <w:noWrap/>
            <w:hideMark/>
          </w:tcPr>
          <w:p w14:paraId="371F6E22"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5,082,642.00</w:t>
            </w:r>
          </w:p>
        </w:tc>
        <w:tc>
          <w:tcPr>
            <w:tcW w:w="2071" w:type="dxa"/>
            <w:shd w:val="clear" w:color="auto" w:fill="F2F2F2"/>
            <w:noWrap/>
            <w:hideMark/>
          </w:tcPr>
          <w:p w14:paraId="4BD0CD37"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 xml:space="preserve">                        -5,082,642   </w:t>
            </w:r>
          </w:p>
        </w:tc>
      </w:tr>
      <w:tr w:rsidR="00F55DED" w:rsidRPr="00960353" w14:paraId="68284D93" w14:textId="77777777" w:rsidTr="00EC5ACD">
        <w:trPr>
          <w:cantSplit/>
        </w:trPr>
        <w:tc>
          <w:tcPr>
            <w:tcW w:w="4720" w:type="dxa"/>
            <w:shd w:val="clear" w:color="auto" w:fill="F2F2F2"/>
            <w:noWrap/>
            <w:vAlign w:val="center"/>
            <w:hideMark/>
          </w:tcPr>
          <w:p w14:paraId="36D11FB5" w14:textId="77777777" w:rsidR="00F55DED" w:rsidRPr="00960353" w:rsidRDefault="00F55DED" w:rsidP="00EC5ACD">
            <w:pPr>
              <w:spacing w:before="20" w:after="20"/>
              <w:rPr>
                <w:rFonts w:ascii="Noto Sans" w:hAnsi="Noto Sans" w:cs="Noto Sans"/>
                <w:color w:val="000000"/>
                <w:sz w:val="15"/>
                <w:szCs w:val="15"/>
                <w:lang w:eastAsia="es-MX"/>
              </w:rPr>
            </w:pPr>
            <w:r w:rsidRPr="00960353">
              <w:rPr>
                <w:rFonts w:ascii="Noto Sans" w:hAnsi="Noto Sans" w:cs="Noto Sans"/>
                <w:color w:val="000000"/>
                <w:sz w:val="15"/>
                <w:szCs w:val="15"/>
                <w:lang w:eastAsia="es-MX"/>
              </w:rPr>
              <w:t>Total</w:t>
            </w:r>
          </w:p>
        </w:tc>
        <w:tc>
          <w:tcPr>
            <w:tcW w:w="0" w:type="auto"/>
            <w:shd w:val="clear" w:color="auto" w:fill="F2F2F2"/>
            <w:noWrap/>
          </w:tcPr>
          <w:p w14:paraId="0FBA4391" w14:textId="77777777" w:rsidR="00F55DED" w:rsidRPr="00960353" w:rsidRDefault="00F55DED" w:rsidP="00EC5ACD">
            <w:pPr>
              <w:spacing w:before="20" w:after="20"/>
              <w:jc w:val="right"/>
              <w:rPr>
                <w:rFonts w:ascii="Noto Sans" w:hAnsi="Noto Sans" w:cs="Noto Sans"/>
                <w:sz w:val="15"/>
                <w:szCs w:val="15"/>
              </w:rPr>
            </w:pPr>
            <w:r w:rsidRPr="00960353">
              <w:rPr>
                <w:rFonts w:ascii="Noto Sans" w:hAnsi="Noto Sans" w:cs="Noto Sans"/>
                <w:sz w:val="15"/>
                <w:szCs w:val="15"/>
              </w:rPr>
              <w:t xml:space="preserve">           444,937,155.00 </w:t>
            </w:r>
          </w:p>
        </w:tc>
        <w:tc>
          <w:tcPr>
            <w:tcW w:w="0" w:type="auto"/>
            <w:shd w:val="clear" w:color="auto" w:fill="F2F2F2"/>
            <w:noWrap/>
          </w:tcPr>
          <w:p w14:paraId="77BEB8DC" w14:textId="77777777" w:rsidR="00F55DED" w:rsidRPr="00960353" w:rsidRDefault="00F55DED" w:rsidP="00EC5ACD">
            <w:pPr>
              <w:spacing w:before="20" w:after="20"/>
              <w:jc w:val="right"/>
              <w:rPr>
                <w:rFonts w:ascii="Noto Sans" w:hAnsi="Noto Sans" w:cs="Noto Sans"/>
                <w:sz w:val="15"/>
                <w:szCs w:val="15"/>
              </w:rPr>
            </w:pPr>
            <w:r w:rsidRPr="00960353">
              <w:rPr>
                <w:rFonts w:ascii="Noto Sans" w:hAnsi="Noto Sans" w:cs="Noto Sans"/>
                <w:sz w:val="15"/>
                <w:szCs w:val="15"/>
              </w:rPr>
              <w:t xml:space="preserve">           397,393,023.00 </w:t>
            </w:r>
          </w:p>
        </w:tc>
        <w:tc>
          <w:tcPr>
            <w:tcW w:w="2071" w:type="dxa"/>
            <w:shd w:val="clear" w:color="auto" w:fill="F2F2F2"/>
            <w:noWrap/>
            <w:hideMark/>
          </w:tcPr>
          <w:p w14:paraId="6AC6D00C" w14:textId="77777777" w:rsidR="00F55DED" w:rsidRPr="00960353" w:rsidRDefault="00F55DED" w:rsidP="00EC5ACD">
            <w:pPr>
              <w:spacing w:before="20" w:after="20"/>
              <w:jc w:val="right"/>
              <w:rPr>
                <w:rFonts w:ascii="Noto Sans" w:hAnsi="Noto Sans" w:cs="Noto Sans"/>
                <w:color w:val="000000"/>
                <w:sz w:val="15"/>
                <w:szCs w:val="15"/>
              </w:rPr>
            </w:pPr>
            <w:r w:rsidRPr="00960353">
              <w:rPr>
                <w:rFonts w:ascii="Noto Sans" w:hAnsi="Noto Sans" w:cs="Noto Sans"/>
                <w:sz w:val="15"/>
                <w:szCs w:val="15"/>
              </w:rPr>
              <w:t>47,544,132.00</w:t>
            </w:r>
          </w:p>
        </w:tc>
      </w:tr>
      <w:tr w:rsidR="00F55DED" w:rsidRPr="00960353" w14:paraId="3BDCCC2E" w14:textId="77777777" w:rsidTr="00EC5ACD">
        <w:trPr>
          <w:cantSplit/>
        </w:trPr>
        <w:tc>
          <w:tcPr>
            <w:tcW w:w="4720" w:type="dxa"/>
            <w:shd w:val="clear" w:color="auto" w:fill="F2F2F2"/>
            <w:noWrap/>
          </w:tcPr>
          <w:p w14:paraId="6D34EBEC" w14:textId="77777777" w:rsidR="00F55DED" w:rsidRPr="00960353" w:rsidRDefault="00F55DED" w:rsidP="00EC5ACD">
            <w:pPr>
              <w:spacing w:before="20" w:after="20"/>
              <w:rPr>
                <w:rFonts w:ascii="Noto Sans" w:hAnsi="Noto Sans" w:cs="Noto Sans"/>
                <w:sz w:val="15"/>
                <w:szCs w:val="15"/>
              </w:rPr>
            </w:pPr>
          </w:p>
        </w:tc>
        <w:tc>
          <w:tcPr>
            <w:tcW w:w="0" w:type="auto"/>
            <w:shd w:val="clear" w:color="auto" w:fill="F2F2F2"/>
            <w:noWrap/>
          </w:tcPr>
          <w:p w14:paraId="224BAFAD" w14:textId="77777777" w:rsidR="00F55DED" w:rsidRPr="00960353" w:rsidRDefault="00F55DED" w:rsidP="00EC5ACD">
            <w:pPr>
              <w:spacing w:before="20" w:after="20"/>
              <w:jc w:val="right"/>
              <w:rPr>
                <w:rFonts w:ascii="Noto Sans" w:hAnsi="Noto Sans" w:cs="Noto Sans"/>
                <w:sz w:val="15"/>
                <w:szCs w:val="15"/>
                <w:lang w:eastAsia="es-MX"/>
              </w:rPr>
            </w:pPr>
          </w:p>
        </w:tc>
        <w:tc>
          <w:tcPr>
            <w:tcW w:w="0" w:type="auto"/>
            <w:shd w:val="clear" w:color="auto" w:fill="F2F2F2"/>
            <w:noWrap/>
          </w:tcPr>
          <w:p w14:paraId="4C9F4BE6" w14:textId="77777777" w:rsidR="00F55DED" w:rsidRPr="00960353" w:rsidRDefault="00F55DED" w:rsidP="00EC5ACD">
            <w:pPr>
              <w:spacing w:before="20" w:after="20"/>
              <w:jc w:val="right"/>
              <w:rPr>
                <w:rFonts w:ascii="Noto Sans" w:hAnsi="Noto Sans" w:cs="Noto Sans"/>
                <w:sz w:val="15"/>
                <w:szCs w:val="15"/>
              </w:rPr>
            </w:pPr>
          </w:p>
        </w:tc>
        <w:tc>
          <w:tcPr>
            <w:tcW w:w="2071" w:type="dxa"/>
            <w:shd w:val="clear" w:color="auto" w:fill="F2F2F2"/>
            <w:noWrap/>
          </w:tcPr>
          <w:p w14:paraId="162F9E68" w14:textId="77777777" w:rsidR="00F55DED" w:rsidRPr="00960353" w:rsidRDefault="00F55DED" w:rsidP="00EC5ACD">
            <w:pPr>
              <w:spacing w:before="20" w:after="20"/>
              <w:jc w:val="right"/>
              <w:rPr>
                <w:rFonts w:ascii="Noto Sans" w:hAnsi="Noto Sans" w:cs="Noto Sans"/>
                <w:sz w:val="15"/>
                <w:szCs w:val="15"/>
              </w:rPr>
            </w:pPr>
          </w:p>
        </w:tc>
      </w:tr>
      <w:tr w:rsidR="00F55DED" w:rsidRPr="00960353" w14:paraId="646B8F11" w14:textId="77777777" w:rsidTr="00EC5ACD">
        <w:trPr>
          <w:cantSplit/>
        </w:trPr>
        <w:tc>
          <w:tcPr>
            <w:tcW w:w="4720" w:type="dxa"/>
            <w:shd w:val="clear" w:color="auto" w:fill="F2F2F2"/>
            <w:noWrap/>
          </w:tcPr>
          <w:p w14:paraId="2091D6BB" w14:textId="77777777" w:rsidR="00F55DED" w:rsidRPr="00960353" w:rsidRDefault="00F55DED" w:rsidP="00EC5ACD">
            <w:pPr>
              <w:spacing w:before="20" w:after="20"/>
              <w:rPr>
                <w:rFonts w:ascii="Noto Sans" w:hAnsi="Noto Sans" w:cs="Noto Sans"/>
                <w:b/>
                <w:bCs/>
                <w:color w:val="000000"/>
                <w:sz w:val="15"/>
                <w:szCs w:val="15"/>
                <w:lang w:eastAsia="es-MX"/>
              </w:rPr>
            </w:pPr>
            <w:r w:rsidRPr="00960353">
              <w:rPr>
                <w:rFonts w:ascii="Noto Sans" w:hAnsi="Noto Sans" w:cs="Noto Sans"/>
                <w:sz w:val="15"/>
                <w:szCs w:val="15"/>
              </w:rPr>
              <w:t>Otros Ingresos y Beneficios</w:t>
            </w:r>
          </w:p>
        </w:tc>
        <w:tc>
          <w:tcPr>
            <w:tcW w:w="0" w:type="auto"/>
            <w:shd w:val="clear" w:color="auto" w:fill="F2F2F2"/>
            <w:noWrap/>
          </w:tcPr>
          <w:p w14:paraId="15E78B7E" w14:textId="77777777" w:rsidR="00F55DED" w:rsidRPr="00960353" w:rsidRDefault="00F55DED" w:rsidP="00EC5ACD">
            <w:pPr>
              <w:spacing w:before="20" w:after="20"/>
              <w:jc w:val="right"/>
              <w:rPr>
                <w:rFonts w:ascii="Noto Sans" w:hAnsi="Noto Sans" w:cs="Noto Sans"/>
                <w:b/>
                <w:bCs/>
                <w:color w:val="000000"/>
                <w:sz w:val="15"/>
                <w:szCs w:val="15"/>
                <w:lang w:eastAsia="es-MX"/>
              </w:rPr>
            </w:pPr>
            <w:r w:rsidRPr="00960353">
              <w:rPr>
                <w:rFonts w:ascii="Noto Sans" w:hAnsi="Noto Sans" w:cs="Noto Sans"/>
                <w:sz w:val="15"/>
                <w:szCs w:val="15"/>
                <w:lang w:eastAsia="es-MX"/>
              </w:rPr>
              <w:t>293,437.00</w:t>
            </w:r>
          </w:p>
        </w:tc>
        <w:tc>
          <w:tcPr>
            <w:tcW w:w="0" w:type="auto"/>
            <w:shd w:val="clear" w:color="auto" w:fill="F2F2F2"/>
            <w:noWrap/>
          </w:tcPr>
          <w:p w14:paraId="6EDF2628" w14:textId="77777777" w:rsidR="00F55DED" w:rsidRPr="00960353" w:rsidRDefault="00F55DED" w:rsidP="00EC5ACD">
            <w:pPr>
              <w:spacing w:before="20" w:after="20"/>
              <w:jc w:val="right"/>
              <w:rPr>
                <w:rFonts w:ascii="Noto Sans" w:hAnsi="Noto Sans" w:cs="Noto Sans"/>
                <w:b/>
                <w:bCs/>
                <w:color w:val="000000"/>
                <w:sz w:val="15"/>
                <w:szCs w:val="15"/>
                <w:lang w:eastAsia="es-MX"/>
              </w:rPr>
            </w:pPr>
            <w:r w:rsidRPr="00960353">
              <w:rPr>
                <w:rFonts w:ascii="Noto Sans" w:hAnsi="Noto Sans" w:cs="Noto Sans"/>
                <w:sz w:val="15"/>
                <w:szCs w:val="15"/>
              </w:rPr>
              <w:t>47,837,569.00</w:t>
            </w:r>
          </w:p>
        </w:tc>
        <w:tc>
          <w:tcPr>
            <w:tcW w:w="2071" w:type="dxa"/>
            <w:shd w:val="clear" w:color="auto" w:fill="F2F2F2"/>
            <w:noWrap/>
          </w:tcPr>
          <w:p w14:paraId="01C7AE04" w14:textId="77777777" w:rsidR="00F55DED" w:rsidRPr="00960353" w:rsidRDefault="00F55DED" w:rsidP="00EC5ACD">
            <w:pPr>
              <w:spacing w:before="20" w:after="20"/>
              <w:jc w:val="right"/>
              <w:rPr>
                <w:rFonts w:ascii="Noto Sans" w:hAnsi="Noto Sans" w:cs="Noto Sans"/>
                <w:b/>
                <w:bCs/>
                <w:color w:val="000000"/>
                <w:sz w:val="15"/>
                <w:szCs w:val="15"/>
              </w:rPr>
            </w:pPr>
            <w:r w:rsidRPr="00960353">
              <w:rPr>
                <w:rFonts w:ascii="Noto Sans" w:hAnsi="Noto Sans" w:cs="Noto Sans"/>
                <w:sz w:val="15"/>
                <w:szCs w:val="15"/>
              </w:rPr>
              <w:t>-47,544,132.00</w:t>
            </w:r>
          </w:p>
        </w:tc>
      </w:tr>
      <w:tr w:rsidR="00F55DED" w:rsidRPr="00960353" w14:paraId="7A09786E" w14:textId="77777777" w:rsidTr="00EC5ACD">
        <w:trPr>
          <w:cantSplit/>
        </w:trPr>
        <w:tc>
          <w:tcPr>
            <w:tcW w:w="4720" w:type="dxa"/>
            <w:shd w:val="clear" w:color="auto" w:fill="F2F2F2"/>
            <w:noWrap/>
            <w:vAlign w:val="center"/>
          </w:tcPr>
          <w:p w14:paraId="0D5C6130" w14:textId="77777777" w:rsidR="00F55DED" w:rsidRPr="00960353" w:rsidRDefault="00F55DED" w:rsidP="00EC5ACD">
            <w:pPr>
              <w:spacing w:before="20" w:after="20"/>
              <w:rPr>
                <w:rFonts w:ascii="Noto Sans" w:hAnsi="Noto Sans" w:cs="Noto Sans"/>
                <w:b/>
                <w:bCs/>
                <w:color w:val="000000"/>
                <w:sz w:val="15"/>
                <w:szCs w:val="15"/>
                <w:lang w:eastAsia="es-MX"/>
              </w:rPr>
            </w:pPr>
          </w:p>
        </w:tc>
        <w:tc>
          <w:tcPr>
            <w:tcW w:w="0" w:type="auto"/>
            <w:shd w:val="clear" w:color="auto" w:fill="F2F2F2"/>
            <w:noWrap/>
            <w:vAlign w:val="center"/>
          </w:tcPr>
          <w:p w14:paraId="2C092908" w14:textId="77777777" w:rsidR="00F55DED" w:rsidRPr="00960353" w:rsidRDefault="00F55DED" w:rsidP="00EC5ACD">
            <w:pPr>
              <w:spacing w:before="20" w:after="20"/>
              <w:jc w:val="right"/>
              <w:rPr>
                <w:rFonts w:ascii="Noto Sans" w:hAnsi="Noto Sans" w:cs="Noto Sans"/>
                <w:b/>
                <w:bCs/>
                <w:color w:val="000000"/>
                <w:sz w:val="15"/>
                <w:szCs w:val="15"/>
                <w:lang w:eastAsia="es-MX"/>
              </w:rPr>
            </w:pPr>
          </w:p>
        </w:tc>
        <w:tc>
          <w:tcPr>
            <w:tcW w:w="0" w:type="auto"/>
            <w:shd w:val="clear" w:color="auto" w:fill="F2F2F2"/>
            <w:noWrap/>
            <w:vAlign w:val="center"/>
          </w:tcPr>
          <w:p w14:paraId="7677F364" w14:textId="77777777" w:rsidR="00F55DED" w:rsidRPr="00960353" w:rsidRDefault="00F55DED" w:rsidP="00EC5ACD">
            <w:pPr>
              <w:spacing w:before="20" w:after="20"/>
              <w:jc w:val="right"/>
              <w:rPr>
                <w:rFonts w:ascii="Noto Sans" w:hAnsi="Noto Sans" w:cs="Noto Sans"/>
                <w:b/>
                <w:bCs/>
                <w:color w:val="000000"/>
                <w:sz w:val="15"/>
                <w:szCs w:val="15"/>
                <w:lang w:eastAsia="es-MX"/>
              </w:rPr>
            </w:pPr>
          </w:p>
        </w:tc>
        <w:tc>
          <w:tcPr>
            <w:tcW w:w="2071" w:type="dxa"/>
            <w:shd w:val="clear" w:color="auto" w:fill="F2F2F2"/>
            <w:noWrap/>
            <w:vAlign w:val="center"/>
          </w:tcPr>
          <w:p w14:paraId="72C13B36" w14:textId="77777777" w:rsidR="00F55DED" w:rsidRPr="00960353" w:rsidRDefault="00F55DED" w:rsidP="00EC5ACD">
            <w:pPr>
              <w:spacing w:before="20" w:after="20"/>
              <w:jc w:val="right"/>
              <w:rPr>
                <w:rFonts w:ascii="Noto Sans" w:hAnsi="Noto Sans" w:cs="Noto Sans"/>
                <w:b/>
                <w:bCs/>
                <w:color w:val="000000"/>
                <w:sz w:val="15"/>
                <w:szCs w:val="15"/>
              </w:rPr>
            </w:pPr>
          </w:p>
        </w:tc>
      </w:tr>
      <w:tr w:rsidR="00F55DED" w:rsidRPr="00960353" w14:paraId="0926F6F5" w14:textId="77777777" w:rsidTr="00EC5ACD">
        <w:trPr>
          <w:cantSplit/>
        </w:trPr>
        <w:tc>
          <w:tcPr>
            <w:tcW w:w="4720" w:type="dxa"/>
            <w:shd w:val="clear" w:color="auto" w:fill="F2F2F2"/>
            <w:noWrap/>
            <w:vAlign w:val="center"/>
          </w:tcPr>
          <w:p w14:paraId="585E10DE" w14:textId="77777777" w:rsidR="00F55DED" w:rsidRPr="00960353" w:rsidRDefault="00F55DED" w:rsidP="00EC5ACD">
            <w:pPr>
              <w:spacing w:before="20" w:after="20"/>
              <w:rPr>
                <w:rFonts w:ascii="Noto Sans" w:hAnsi="Noto Sans" w:cs="Noto Sans"/>
                <w:b/>
                <w:bCs/>
                <w:color w:val="000000"/>
                <w:sz w:val="15"/>
                <w:szCs w:val="15"/>
                <w:lang w:eastAsia="es-MX"/>
              </w:rPr>
            </w:pPr>
            <w:r w:rsidRPr="00960353">
              <w:rPr>
                <w:rFonts w:ascii="Noto Sans" w:hAnsi="Noto Sans" w:cs="Noto Sans"/>
                <w:b/>
                <w:bCs/>
                <w:color w:val="000000"/>
                <w:sz w:val="15"/>
                <w:szCs w:val="15"/>
                <w:lang w:eastAsia="es-MX"/>
              </w:rPr>
              <w:t>GASTOS</w:t>
            </w:r>
          </w:p>
        </w:tc>
        <w:tc>
          <w:tcPr>
            <w:tcW w:w="0" w:type="auto"/>
            <w:shd w:val="clear" w:color="auto" w:fill="F2F2F2"/>
            <w:noWrap/>
            <w:vAlign w:val="center"/>
          </w:tcPr>
          <w:p w14:paraId="2BB9E6B2" w14:textId="77777777" w:rsidR="00F55DED" w:rsidRPr="00960353" w:rsidRDefault="00F55DED" w:rsidP="00EC5ACD">
            <w:pPr>
              <w:spacing w:before="20" w:after="20"/>
              <w:jc w:val="right"/>
              <w:rPr>
                <w:rFonts w:ascii="Noto Sans" w:hAnsi="Noto Sans" w:cs="Noto Sans"/>
                <w:b/>
                <w:bCs/>
                <w:color w:val="000000"/>
                <w:sz w:val="15"/>
                <w:szCs w:val="15"/>
                <w:lang w:eastAsia="es-MX"/>
              </w:rPr>
            </w:pPr>
          </w:p>
        </w:tc>
        <w:tc>
          <w:tcPr>
            <w:tcW w:w="0" w:type="auto"/>
            <w:shd w:val="clear" w:color="auto" w:fill="F2F2F2"/>
            <w:noWrap/>
            <w:vAlign w:val="center"/>
          </w:tcPr>
          <w:p w14:paraId="15D41089" w14:textId="77777777" w:rsidR="00F55DED" w:rsidRPr="00960353" w:rsidRDefault="00F55DED" w:rsidP="00EC5ACD">
            <w:pPr>
              <w:spacing w:before="20" w:after="20"/>
              <w:jc w:val="right"/>
              <w:rPr>
                <w:rFonts w:ascii="Noto Sans" w:hAnsi="Noto Sans" w:cs="Noto Sans"/>
                <w:b/>
                <w:bCs/>
                <w:color w:val="000000"/>
                <w:sz w:val="15"/>
                <w:szCs w:val="15"/>
                <w:lang w:eastAsia="es-MX"/>
              </w:rPr>
            </w:pPr>
          </w:p>
        </w:tc>
        <w:tc>
          <w:tcPr>
            <w:tcW w:w="2071" w:type="dxa"/>
            <w:shd w:val="clear" w:color="auto" w:fill="F2F2F2"/>
            <w:noWrap/>
            <w:vAlign w:val="center"/>
          </w:tcPr>
          <w:p w14:paraId="038B1165" w14:textId="77777777" w:rsidR="00F55DED" w:rsidRPr="00960353" w:rsidRDefault="00F55DED" w:rsidP="00EC5ACD">
            <w:pPr>
              <w:spacing w:before="20" w:after="20"/>
              <w:jc w:val="right"/>
              <w:rPr>
                <w:rFonts w:ascii="Noto Sans" w:hAnsi="Noto Sans" w:cs="Noto Sans"/>
                <w:b/>
                <w:bCs/>
                <w:color w:val="000000"/>
                <w:sz w:val="15"/>
                <w:szCs w:val="15"/>
              </w:rPr>
            </w:pPr>
          </w:p>
        </w:tc>
      </w:tr>
      <w:tr w:rsidR="00F55DED" w:rsidRPr="00960353" w14:paraId="75EADE0F" w14:textId="77777777" w:rsidTr="00EC5ACD">
        <w:trPr>
          <w:cantSplit/>
        </w:trPr>
        <w:tc>
          <w:tcPr>
            <w:tcW w:w="4720" w:type="dxa"/>
            <w:shd w:val="clear" w:color="auto" w:fill="F2F2F2"/>
            <w:noWrap/>
            <w:hideMark/>
          </w:tcPr>
          <w:p w14:paraId="36DCCF60" w14:textId="77777777" w:rsidR="00F55DED" w:rsidRPr="00960353" w:rsidRDefault="00F55DED" w:rsidP="00EC5ACD">
            <w:pPr>
              <w:spacing w:before="20" w:after="20"/>
              <w:rPr>
                <w:rFonts w:ascii="Noto Sans" w:hAnsi="Noto Sans" w:cs="Noto Sans"/>
                <w:sz w:val="15"/>
                <w:szCs w:val="15"/>
                <w:lang w:eastAsia="es-MX"/>
              </w:rPr>
            </w:pPr>
            <w:r w:rsidRPr="00960353">
              <w:rPr>
                <w:rFonts w:ascii="Noto Sans" w:hAnsi="Noto Sans" w:cs="Noto Sans"/>
                <w:sz w:val="15"/>
                <w:szCs w:val="15"/>
              </w:rPr>
              <w:t>Servicios Personales</w:t>
            </w:r>
          </w:p>
        </w:tc>
        <w:tc>
          <w:tcPr>
            <w:tcW w:w="0" w:type="auto"/>
            <w:shd w:val="clear" w:color="auto" w:fill="F2F2F2"/>
            <w:noWrap/>
            <w:hideMark/>
          </w:tcPr>
          <w:p w14:paraId="500C5C75"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 xml:space="preserve">381,933,195.00 </w:t>
            </w:r>
          </w:p>
        </w:tc>
        <w:tc>
          <w:tcPr>
            <w:tcW w:w="0" w:type="auto"/>
            <w:shd w:val="clear" w:color="auto" w:fill="F2F2F2"/>
            <w:noWrap/>
            <w:hideMark/>
          </w:tcPr>
          <w:p w14:paraId="0543D265"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308,888,408.00</w:t>
            </w:r>
          </w:p>
        </w:tc>
        <w:tc>
          <w:tcPr>
            <w:tcW w:w="2071" w:type="dxa"/>
            <w:shd w:val="clear" w:color="auto" w:fill="F2F2F2"/>
            <w:noWrap/>
            <w:hideMark/>
          </w:tcPr>
          <w:p w14:paraId="15EB10A9"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-73,044,787.00</w:t>
            </w:r>
          </w:p>
        </w:tc>
      </w:tr>
      <w:tr w:rsidR="00F55DED" w:rsidRPr="00960353" w14:paraId="55145CE0" w14:textId="77777777" w:rsidTr="00EC5ACD">
        <w:trPr>
          <w:cantSplit/>
        </w:trPr>
        <w:tc>
          <w:tcPr>
            <w:tcW w:w="4720" w:type="dxa"/>
            <w:shd w:val="clear" w:color="auto" w:fill="F2F2F2"/>
            <w:noWrap/>
          </w:tcPr>
          <w:p w14:paraId="4E55EE45" w14:textId="77777777" w:rsidR="00F55DED" w:rsidRPr="00960353" w:rsidRDefault="00F55DED" w:rsidP="00EC5ACD">
            <w:pPr>
              <w:spacing w:before="20" w:after="20"/>
              <w:rPr>
                <w:rFonts w:ascii="Noto Sans" w:hAnsi="Noto Sans" w:cs="Noto Sans"/>
                <w:sz w:val="15"/>
                <w:szCs w:val="15"/>
                <w:lang w:eastAsia="es-MX"/>
              </w:rPr>
            </w:pPr>
            <w:r w:rsidRPr="00960353">
              <w:rPr>
                <w:rFonts w:ascii="Noto Sans" w:hAnsi="Noto Sans" w:cs="Noto Sans"/>
                <w:sz w:val="15"/>
                <w:szCs w:val="15"/>
              </w:rPr>
              <w:t>Materiales y Suministros</w:t>
            </w:r>
          </w:p>
        </w:tc>
        <w:tc>
          <w:tcPr>
            <w:tcW w:w="0" w:type="auto"/>
            <w:shd w:val="clear" w:color="auto" w:fill="F2F2F2"/>
            <w:noWrap/>
          </w:tcPr>
          <w:p w14:paraId="51A29A9E"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 xml:space="preserve">12,223,721.00 </w:t>
            </w:r>
          </w:p>
        </w:tc>
        <w:tc>
          <w:tcPr>
            <w:tcW w:w="0" w:type="auto"/>
            <w:shd w:val="clear" w:color="auto" w:fill="F2F2F2"/>
            <w:noWrap/>
          </w:tcPr>
          <w:p w14:paraId="66127929"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6,779,227.00</w:t>
            </w:r>
          </w:p>
        </w:tc>
        <w:tc>
          <w:tcPr>
            <w:tcW w:w="2071" w:type="dxa"/>
            <w:shd w:val="clear" w:color="auto" w:fill="F2F2F2"/>
            <w:noWrap/>
          </w:tcPr>
          <w:p w14:paraId="6DBF0AF5"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-5,444,494.00</w:t>
            </w:r>
          </w:p>
        </w:tc>
      </w:tr>
      <w:tr w:rsidR="00F55DED" w:rsidRPr="00960353" w14:paraId="054E457E" w14:textId="77777777" w:rsidTr="00EC5ACD">
        <w:trPr>
          <w:cantSplit/>
        </w:trPr>
        <w:tc>
          <w:tcPr>
            <w:tcW w:w="4720" w:type="dxa"/>
            <w:shd w:val="clear" w:color="auto" w:fill="F2F2F2"/>
            <w:noWrap/>
          </w:tcPr>
          <w:p w14:paraId="093BF198" w14:textId="77777777" w:rsidR="00F55DED" w:rsidRPr="00960353" w:rsidRDefault="00F55DED" w:rsidP="00EC5ACD">
            <w:pPr>
              <w:spacing w:before="20" w:after="20"/>
              <w:rPr>
                <w:rFonts w:ascii="Noto Sans" w:hAnsi="Noto Sans" w:cs="Noto Sans"/>
                <w:sz w:val="15"/>
                <w:szCs w:val="15"/>
                <w:lang w:eastAsia="es-MX"/>
              </w:rPr>
            </w:pPr>
            <w:r w:rsidRPr="00960353">
              <w:rPr>
                <w:rFonts w:ascii="Noto Sans" w:hAnsi="Noto Sans" w:cs="Noto Sans"/>
                <w:sz w:val="15"/>
                <w:szCs w:val="15"/>
              </w:rPr>
              <w:t>Servicios Generales</w:t>
            </w:r>
          </w:p>
        </w:tc>
        <w:tc>
          <w:tcPr>
            <w:tcW w:w="0" w:type="auto"/>
            <w:shd w:val="clear" w:color="auto" w:fill="F2F2F2"/>
            <w:noWrap/>
          </w:tcPr>
          <w:p w14:paraId="5BAFFD21"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 xml:space="preserve">52,236,267.00 </w:t>
            </w:r>
          </w:p>
        </w:tc>
        <w:tc>
          <w:tcPr>
            <w:tcW w:w="0" w:type="auto"/>
            <w:shd w:val="clear" w:color="auto" w:fill="F2F2F2"/>
            <w:noWrap/>
          </w:tcPr>
          <w:p w14:paraId="098EBB93"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47,472,956.00</w:t>
            </w:r>
          </w:p>
        </w:tc>
        <w:tc>
          <w:tcPr>
            <w:tcW w:w="2071" w:type="dxa"/>
            <w:shd w:val="clear" w:color="auto" w:fill="F2F2F2"/>
            <w:noWrap/>
          </w:tcPr>
          <w:p w14:paraId="43BEAF0C"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-4,763,311.00</w:t>
            </w:r>
          </w:p>
        </w:tc>
      </w:tr>
      <w:tr w:rsidR="00F55DED" w:rsidRPr="00960353" w14:paraId="6DF539E0" w14:textId="77777777" w:rsidTr="00EC5ACD">
        <w:trPr>
          <w:cantSplit/>
        </w:trPr>
        <w:tc>
          <w:tcPr>
            <w:tcW w:w="4720" w:type="dxa"/>
            <w:shd w:val="clear" w:color="auto" w:fill="F2F2F2"/>
            <w:noWrap/>
            <w:hideMark/>
          </w:tcPr>
          <w:p w14:paraId="26CC95FE" w14:textId="77777777" w:rsidR="00F55DED" w:rsidRPr="00960353" w:rsidRDefault="00F55DED" w:rsidP="00EC5ACD">
            <w:pPr>
              <w:spacing w:before="20" w:after="20"/>
              <w:rPr>
                <w:rFonts w:ascii="Noto Sans" w:hAnsi="Noto Sans" w:cs="Noto Sans"/>
                <w:sz w:val="15"/>
                <w:szCs w:val="15"/>
                <w:lang w:eastAsia="es-MX"/>
              </w:rPr>
            </w:pPr>
            <w:r w:rsidRPr="00960353">
              <w:rPr>
                <w:rFonts w:ascii="Noto Sans" w:hAnsi="Noto Sans" w:cs="Noto Sans"/>
                <w:sz w:val="15"/>
                <w:szCs w:val="15"/>
              </w:rPr>
              <w:t>Ayudas Sociales</w:t>
            </w:r>
          </w:p>
        </w:tc>
        <w:tc>
          <w:tcPr>
            <w:tcW w:w="0" w:type="auto"/>
            <w:shd w:val="clear" w:color="auto" w:fill="F2F2F2"/>
            <w:noWrap/>
            <w:hideMark/>
          </w:tcPr>
          <w:p w14:paraId="11A2F2FD"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 xml:space="preserve">7,448,279.00 </w:t>
            </w:r>
          </w:p>
        </w:tc>
        <w:tc>
          <w:tcPr>
            <w:tcW w:w="0" w:type="auto"/>
            <w:shd w:val="clear" w:color="auto" w:fill="F2F2F2"/>
            <w:noWrap/>
            <w:hideMark/>
          </w:tcPr>
          <w:p w14:paraId="335092DA"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7,272,449.00</w:t>
            </w:r>
          </w:p>
        </w:tc>
        <w:tc>
          <w:tcPr>
            <w:tcW w:w="2071" w:type="dxa"/>
            <w:shd w:val="clear" w:color="auto" w:fill="F2F2F2"/>
            <w:noWrap/>
            <w:hideMark/>
          </w:tcPr>
          <w:p w14:paraId="351E7EDA" w14:textId="77777777" w:rsidR="00F55DED" w:rsidRPr="00960353" w:rsidRDefault="00F55DED" w:rsidP="00EC5ACD">
            <w:pPr>
              <w:spacing w:before="20" w:after="20"/>
              <w:jc w:val="right"/>
              <w:rPr>
                <w:rFonts w:ascii="Noto Sans" w:hAnsi="Noto Sans" w:cs="Noto Sans"/>
                <w:sz w:val="15"/>
                <w:szCs w:val="15"/>
                <w:lang w:eastAsia="es-MX"/>
              </w:rPr>
            </w:pPr>
            <w:r w:rsidRPr="00960353">
              <w:rPr>
                <w:rFonts w:ascii="Noto Sans" w:hAnsi="Noto Sans" w:cs="Noto Sans"/>
                <w:sz w:val="15"/>
                <w:szCs w:val="15"/>
              </w:rPr>
              <w:t>-175,830.00</w:t>
            </w:r>
          </w:p>
        </w:tc>
      </w:tr>
      <w:tr w:rsidR="00F55DED" w:rsidRPr="00960353" w14:paraId="43C3E8DB" w14:textId="77777777" w:rsidTr="00EC5ACD">
        <w:trPr>
          <w:cantSplit/>
        </w:trPr>
        <w:tc>
          <w:tcPr>
            <w:tcW w:w="4720" w:type="dxa"/>
            <w:shd w:val="clear" w:color="auto" w:fill="F2F2F2"/>
            <w:noWrap/>
          </w:tcPr>
          <w:p w14:paraId="73BA278E" w14:textId="77777777" w:rsidR="00F55DED" w:rsidRPr="00960353" w:rsidRDefault="00F55DED" w:rsidP="00EC5ACD">
            <w:pPr>
              <w:spacing w:before="20" w:after="20"/>
              <w:rPr>
                <w:rFonts w:ascii="Noto Sans" w:hAnsi="Noto Sans" w:cs="Noto Sans"/>
                <w:sz w:val="15"/>
                <w:szCs w:val="15"/>
              </w:rPr>
            </w:pPr>
            <w:r w:rsidRPr="00960353">
              <w:rPr>
                <w:rFonts w:ascii="Noto Sans" w:hAnsi="Noto Sans" w:cs="Noto Sans"/>
                <w:sz w:val="15"/>
                <w:szCs w:val="15"/>
              </w:rPr>
              <w:t>Otros gastos</w:t>
            </w:r>
          </w:p>
        </w:tc>
        <w:tc>
          <w:tcPr>
            <w:tcW w:w="0" w:type="auto"/>
            <w:shd w:val="clear" w:color="auto" w:fill="F2F2F2"/>
            <w:noWrap/>
          </w:tcPr>
          <w:p w14:paraId="478C630E" w14:textId="77777777" w:rsidR="00F55DED" w:rsidRPr="00960353" w:rsidRDefault="00F55DED" w:rsidP="00EC5ACD">
            <w:pPr>
              <w:spacing w:before="20" w:after="20"/>
              <w:jc w:val="right"/>
              <w:rPr>
                <w:rFonts w:ascii="Noto Sans" w:hAnsi="Noto Sans" w:cs="Noto Sans"/>
                <w:sz w:val="15"/>
                <w:szCs w:val="15"/>
              </w:rPr>
            </w:pPr>
          </w:p>
        </w:tc>
        <w:tc>
          <w:tcPr>
            <w:tcW w:w="0" w:type="auto"/>
            <w:shd w:val="clear" w:color="auto" w:fill="F2F2F2"/>
            <w:noWrap/>
          </w:tcPr>
          <w:p w14:paraId="6FC0DC49" w14:textId="77777777" w:rsidR="00F55DED" w:rsidRPr="00960353" w:rsidRDefault="00F55DED" w:rsidP="00EC5ACD">
            <w:pPr>
              <w:spacing w:before="20" w:after="20"/>
              <w:jc w:val="right"/>
              <w:rPr>
                <w:rFonts w:ascii="Noto Sans" w:hAnsi="Noto Sans" w:cs="Noto Sans"/>
                <w:sz w:val="15"/>
                <w:szCs w:val="15"/>
              </w:rPr>
            </w:pPr>
            <w:r w:rsidRPr="00960353">
              <w:rPr>
                <w:rFonts w:ascii="Noto Sans" w:hAnsi="Noto Sans" w:cs="Noto Sans"/>
                <w:sz w:val="15"/>
                <w:szCs w:val="15"/>
              </w:rPr>
              <w:t>83,428,422.00</w:t>
            </w:r>
          </w:p>
        </w:tc>
        <w:tc>
          <w:tcPr>
            <w:tcW w:w="2071" w:type="dxa"/>
            <w:shd w:val="clear" w:color="auto" w:fill="F2F2F2"/>
            <w:noWrap/>
          </w:tcPr>
          <w:p w14:paraId="54CFD24E" w14:textId="77777777" w:rsidR="00F55DED" w:rsidRPr="00960353" w:rsidRDefault="00F55DED" w:rsidP="00EC5ACD">
            <w:pPr>
              <w:spacing w:before="20" w:after="20"/>
              <w:jc w:val="right"/>
              <w:rPr>
                <w:rFonts w:ascii="Noto Sans" w:hAnsi="Noto Sans" w:cs="Noto Sans"/>
                <w:sz w:val="15"/>
                <w:szCs w:val="15"/>
              </w:rPr>
            </w:pPr>
            <w:r w:rsidRPr="00960353">
              <w:rPr>
                <w:rFonts w:ascii="Noto Sans" w:hAnsi="Noto Sans" w:cs="Noto Sans"/>
                <w:sz w:val="15"/>
                <w:szCs w:val="15"/>
              </w:rPr>
              <w:t>83,428,422.00</w:t>
            </w:r>
          </w:p>
        </w:tc>
      </w:tr>
      <w:tr w:rsidR="00F55DED" w:rsidRPr="00960353" w14:paraId="1B4E90D8" w14:textId="77777777" w:rsidTr="00EC5ACD">
        <w:trPr>
          <w:cantSplit/>
        </w:trPr>
        <w:tc>
          <w:tcPr>
            <w:tcW w:w="4720" w:type="dxa"/>
            <w:shd w:val="clear" w:color="auto" w:fill="F2F2F2"/>
            <w:noWrap/>
          </w:tcPr>
          <w:p w14:paraId="4DC8F053" w14:textId="77777777" w:rsidR="00F55DED" w:rsidRPr="00960353" w:rsidRDefault="00F55DED" w:rsidP="00EC5ACD">
            <w:pPr>
              <w:spacing w:before="20" w:after="20"/>
              <w:rPr>
                <w:rFonts w:ascii="Noto Sans" w:hAnsi="Noto Sans" w:cs="Noto Sans"/>
                <w:b/>
                <w:bCs/>
                <w:sz w:val="15"/>
                <w:szCs w:val="15"/>
                <w:lang w:eastAsia="es-MX"/>
              </w:rPr>
            </w:pPr>
            <w:r w:rsidRPr="00960353">
              <w:rPr>
                <w:rFonts w:ascii="Noto Sans" w:hAnsi="Noto Sans" w:cs="Noto Sans"/>
                <w:b/>
                <w:bCs/>
                <w:color w:val="000000"/>
                <w:sz w:val="15"/>
                <w:szCs w:val="15"/>
                <w:lang w:eastAsia="es-MX"/>
              </w:rPr>
              <w:t>Total</w:t>
            </w:r>
          </w:p>
        </w:tc>
        <w:tc>
          <w:tcPr>
            <w:tcW w:w="0" w:type="auto"/>
            <w:shd w:val="clear" w:color="auto" w:fill="F2F2F2"/>
            <w:noWrap/>
          </w:tcPr>
          <w:p w14:paraId="30B88708" w14:textId="77777777" w:rsidR="00F55DED" w:rsidRPr="00960353" w:rsidRDefault="00F55DED" w:rsidP="00EC5ACD">
            <w:pPr>
              <w:spacing w:before="20" w:after="20"/>
              <w:jc w:val="right"/>
              <w:rPr>
                <w:rFonts w:ascii="Noto Sans" w:hAnsi="Noto Sans" w:cs="Noto Sans"/>
                <w:b/>
                <w:bCs/>
                <w:sz w:val="15"/>
                <w:szCs w:val="15"/>
                <w:lang w:eastAsia="es-MX"/>
              </w:rPr>
            </w:pPr>
            <w:r w:rsidRPr="00960353">
              <w:rPr>
                <w:rFonts w:ascii="Noto Sans" w:hAnsi="Noto Sans" w:cs="Noto Sans"/>
                <w:b/>
                <w:bCs/>
                <w:sz w:val="15"/>
                <w:szCs w:val="15"/>
              </w:rPr>
              <w:t>453,841,462.00</w:t>
            </w:r>
          </w:p>
        </w:tc>
        <w:tc>
          <w:tcPr>
            <w:tcW w:w="0" w:type="auto"/>
            <w:shd w:val="clear" w:color="auto" w:fill="F2F2F2"/>
            <w:noWrap/>
          </w:tcPr>
          <w:p w14:paraId="32210072" w14:textId="77777777" w:rsidR="00F55DED" w:rsidRPr="00960353" w:rsidRDefault="00F55DED" w:rsidP="00EC5ACD">
            <w:pPr>
              <w:spacing w:before="20" w:after="20"/>
              <w:jc w:val="right"/>
              <w:rPr>
                <w:rFonts w:ascii="Noto Sans" w:hAnsi="Noto Sans" w:cs="Noto Sans"/>
                <w:b/>
                <w:bCs/>
                <w:sz w:val="15"/>
                <w:szCs w:val="15"/>
                <w:lang w:eastAsia="es-MX"/>
              </w:rPr>
            </w:pPr>
            <w:r w:rsidRPr="00960353">
              <w:rPr>
                <w:rFonts w:ascii="Noto Sans" w:hAnsi="Noto Sans" w:cs="Noto Sans"/>
                <w:b/>
                <w:bCs/>
                <w:sz w:val="15"/>
                <w:szCs w:val="15"/>
              </w:rPr>
              <w:t>453,841,462.00</w:t>
            </w:r>
          </w:p>
        </w:tc>
        <w:tc>
          <w:tcPr>
            <w:tcW w:w="2071" w:type="dxa"/>
            <w:shd w:val="clear" w:color="auto" w:fill="F2F2F2"/>
            <w:noWrap/>
          </w:tcPr>
          <w:p w14:paraId="371AD448" w14:textId="77777777" w:rsidR="00F55DED" w:rsidRPr="00960353" w:rsidRDefault="00F55DED" w:rsidP="00EC5ACD">
            <w:pPr>
              <w:spacing w:before="20" w:after="20"/>
              <w:jc w:val="right"/>
              <w:rPr>
                <w:rFonts w:ascii="Noto Sans" w:hAnsi="Noto Sans" w:cs="Noto Sans"/>
                <w:b/>
                <w:bCs/>
                <w:sz w:val="15"/>
                <w:szCs w:val="15"/>
                <w:lang w:eastAsia="es-MX"/>
              </w:rPr>
            </w:pPr>
            <w:r w:rsidRPr="00960353">
              <w:rPr>
                <w:rFonts w:ascii="Noto Sans" w:hAnsi="Noto Sans" w:cs="Noto Sans"/>
                <w:b/>
                <w:bCs/>
                <w:sz w:val="15"/>
                <w:szCs w:val="15"/>
                <w:lang w:eastAsia="es-MX"/>
              </w:rPr>
              <w:t>0.00</w:t>
            </w:r>
          </w:p>
        </w:tc>
      </w:tr>
      <w:tr w:rsidR="00F55DED" w:rsidRPr="00960353" w14:paraId="736FFDFC" w14:textId="77777777" w:rsidTr="00EC5ACD">
        <w:trPr>
          <w:cantSplit/>
        </w:trPr>
        <w:tc>
          <w:tcPr>
            <w:tcW w:w="4720" w:type="dxa"/>
            <w:tcBorders>
              <w:bottom w:val="single" w:sz="12" w:space="0" w:color="A6802D"/>
            </w:tcBorders>
            <w:shd w:val="clear" w:color="auto" w:fill="F2F2F2"/>
            <w:noWrap/>
            <w:vAlign w:val="center"/>
          </w:tcPr>
          <w:p w14:paraId="30177B46" w14:textId="77777777" w:rsidR="00F55DED" w:rsidRPr="00960353" w:rsidRDefault="00F55DED" w:rsidP="00EC5ACD">
            <w:pPr>
              <w:spacing w:before="20" w:after="20"/>
              <w:rPr>
                <w:rFonts w:ascii="Noto Sans" w:hAnsi="Noto Sans" w:cs="Noto Sans"/>
                <w:sz w:val="15"/>
                <w:szCs w:val="15"/>
                <w:lang w:eastAsia="es-MX"/>
              </w:rPr>
            </w:pPr>
          </w:p>
        </w:tc>
        <w:tc>
          <w:tcPr>
            <w:tcW w:w="0" w:type="auto"/>
            <w:tcBorders>
              <w:bottom w:val="single" w:sz="12" w:space="0" w:color="A6802D"/>
            </w:tcBorders>
            <w:shd w:val="clear" w:color="auto" w:fill="F2F2F2"/>
            <w:noWrap/>
            <w:vAlign w:val="center"/>
          </w:tcPr>
          <w:p w14:paraId="0FE0E6E1" w14:textId="77777777" w:rsidR="00F55DED" w:rsidRPr="00960353" w:rsidRDefault="00F55DED" w:rsidP="00EC5ACD">
            <w:pPr>
              <w:spacing w:before="20" w:after="20"/>
              <w:jc w:val="right"/>
              <w:rPr>
                <w:rFonts w:ascii="Noto Sans" w:hAnsi="Noto Sans" w:cs="Noto Sans"/>
                <w:sz w:val="15"/>
                <w:szCs w:val="15"/>
                <w:lang w:eastAsia="es-MX"/>
              </w:rPr>
            </w:pPr>
          </w:p>
        </w:tc>
        <w:tc>
          <w:tcPr>
            <w:tcW w:w="0" w:type="auto"/>
            <w:tcBorders>
              <w:bottom w:val="single" w:sz="12" w:space="0" w:color="A6802D"/>
            </w:tcBorders>
            <w:shd w:val="clear" w:color="auto" w:fill="F2F2F2"/>
            <w:noWrap/>
            <w:vAlign w:val="center"/>
          </w:tcPr>
          <w:p w14:paraId="4205ECED" w14:textId="77777777" w:rsidR="00F55DED" w:rsidRPr="00960353" w:rsidRDefault="00F55DED" w:rsidP="00EC5ACD">
            <w:pPr>
              <w:spacing w:before="20" w:after="20"/>
              <w:jc w:val="right"/>
              <w:rPr>
                <w:rFonts w:ascii="Noto Sans" w:hAnsi="Noto Sans" w:cs="Noto Sans"/>
                <w:sz w:val="15"/>
                <w:szCs w:val="15"/>
                <w:lang w:eastAsia="es-MX"/>
              </w:rPr>
            </w:pPr>
          </w:p>
        </w:tc>
        <w:tc>
          <w:tcPr>
            <w:tcW w:w="2071" w:type="dxa"/>
            <w:tcBorders>
              <w:bottom w:val="single" w:sz="12" w:space="0" w:color="A6802D"/>
            </w:tcBorders>
            <w:shd w:val="clear" w:color="auto" w:fill="F2F2F2"/>
            <w:noWrap/>
            <w:vAlign w:val="center"/>
          </w:tcPr>
          <w:p w14:paraId="785F19DC" w14:textId="77777777" w:rsidR="00F55DED" w:rsidRPr="00960353" w:rsidRDefault="00F55DED" w:rsidP="00EC5ACD">
            <w:pPr>
              <w:spacing w:before="20" w:after="20"/>
              <w:jc w:val="right"/>
              <w:rPr>
                <w:rFonts w:ascii="Noto Sans" w:hAnsi="Noto Sans" w:cs="Noto Sans"/>
                <w:sz w:val="15"/>
                <w:szCs w:val="15"/>
                <w:lang w:eastAsia="es-MX"/>
              </w:rPr>
            </w:pPr>
          </w:p>
        </w:tc>
      </w:tr>
    </w:tbl>
    <w:p w14:paraId="00602441" w14:textId="77777777" w:rsidR="00F55DED" w:rsidRDefault="00F55DED" w:rsidP="00A37467">
      <w:pPr>
        <w:jc w:val="both"/>
        <w:rPr>
          <w:rFonts w:ascii="Noto Sans" w:hAnsi="Noto Sans" w:cs="Noto Sans"/>
          <w:bCs/>
          <w:iCs/>
          <w:sz w:val="22"/>
          <w:szCs w:val="22"/>
        </w:rPr>
      </w:pPr>
    </w:p>
    <w:p w14:paraId="41A40D04" w14:textId="31CDA878" w:rsidR="00B715FD" w:rsidRPr="00A37467" w:rsidRDefault="00B715FD" w:rsidP="00A37467">
      <w:pPr>
        <w:jc w:val="both"/>
        <w:rPr>
          <w:rFonts w:ascii="Noto Sans" w:hAnsi="Noto Sans" w:cs="Noto Sans"/>
          <w:bCs/>
          <w:iCs/>
          <w:sz w:val="22"/>
          <w:szCs w:val="22"/>
        </w:rPr>
      </w:pPr>
      <w:r w:rsidRPr="00B715FD">
        <w:rPr>
          <w:rFonts w:ascii="Noto Sans" w:hAnsi="Noto Sans" w:cs="Noto Sans"/>
          <w:bCs/>
          <w:iCs/>
          <w:sz w:val="22"/>
          <w:szCs w:val="22"/>
        </w:rPr>
        <w:t>La presente nota tiene como finalidad proporcionar claridad sobre la integración de la información reportada, garantizando la trazabilidad, consistencia y verificabilidad de las cifras, en apego a las mejores prácticas en materia de rendición de cuentas y fiscalización del gasto público.</w:t>
      </w:r>
    </w:p>
    <w:sectPr w:rsidR="00B715FD" w:rsidRPr="00A37467" w:rsidSect="00253914">
      <w:headerReference w:type="even" r:id="rId10"/>
      <w:headerReference w:type="default" r:id="rId11"/>
      <w:footerReference w:type="even" r:id="rId12"/>
      <w:footerReference w:type="default" r:id="rId13"/>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F246" w14:textId="77777777" w:rsidR="00526A81" w:rsidRDefault="00526A81" w:rsidP="00A73D65">
      <w:r>
        <w:separator/>
      </w:r>
    </w:p>
  </w:endnote>
  <w:endnote w:type="continuationSeparator" w:id="0">
    <w:p w14:paraId="50C70E54" w14:textId="77777777" w:rsidR="00526A81" w:rsidRDefault="00526A81" w:rsidP="00A73D65">
      <w:r>
        <w:continuationSeparator/>
      </w:r>
    </w:p>
  </w:endnote>
  <w:endnote w:type="continuationNotice" w:id="1">
    <w:p w14:paraId="10BA1EA7" w14:textId="77777777" w:rsidR="00526A81" w:rsidRDefault="00526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Noto Sans">
    <w:charset w:val="00"/>
    <w:family w:val="swiss"/>
    <w:pitch w:val="variable"/>
    <w:sig w:usb0="E00082FF" w:usb1="400078FF" w:usb2="0000002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AC0B" w14:textId="5E97E6B2" w:rsidR="00753104" w:rsidRDefault="00753104" w:rsidP="00753104">
    <w:pPr>
      <w:pStyle w:val="Piedepgina"/>
      <w:jc w:val="center"/>
    </w:pPr>
    <w:r w:rsidRPr="00253914">
      <w:rPr>
        <w:rFonts w:ascii="Aptos" w:eastAsia="Aptos" w:hAnsi="Aptos" w:cs="Times New Roman"/>
        <w:noProof/>
        <w:kern w:val="2"/>
        <w:lang w:val="es-MX"/>
        <w14:ligatures w14:val="standardContextual"/>
      </w:rPr>
      <w:drawing>
        <wp:anchor distT="0" distB="0" distL="114300" distR="114300" simplePos="0" relativeHeight="251664387" behindDoc="0" locked="0" layoutInCell="1" allowOverlap="1" wp14:anchorId="2125F0B5" wp14:editId="5A9BF6D0">
          <wp:simplePos x="0" y="0"/>
          <wp:positionH relativeFrom="column">
            <wp:posOffset>-704850</wp:posOffset>
          </wp:positionH>
          <wp:positionV relativeFrom="paragraph">
            <wp:posOffset>43180</wp:posOffset>
          </wp:positionV>
          <wp:extent cx="1076325" cy="611328"/>
          <wp:effectExtent l="0" t="0" r="0" b="0"/>
          <wp:wrapNone/>
          <wp:docPr id="1456282097" name="Imagen 4"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descr="Interfaz de usuario gráfica, Texto, Aplicación&#10;&#10;El contenido generado por IA puede ser incorrecto."/>
                  <pic:cNvPicPr>
                    <a:picLocks noChangeAspect="1"/>
                  </pic:cNvPicPr>
                </pic:nvPicPr>
                <pic:blipFill rotWithShape="1">
                  <a:blip r:embed="rId1" cstate="print">
                    <a:extLst>
                      <a:ext uri="{28A0092B-C50C-407E-A947-70E740481C1C}">
                        <a14:useLocalDpi xmlns:a14="http://schemas.microsoft.com/office/drawing/2010/main" val="0"/>
                      </a:ext>
                    </a:extLst>
                  </a:blip>
                  <a:srcRect l="5608" t="86577" r="71765" b="3492"/>
                  <a:stretch>
                    <a:fillRect/>
                  </a:stretch>
                </pic:blipFill>
                <pic:spPr bwMode="auto">
                  <a:xfrm>
                    <a:off x="0" y="0"/>
                    <a:ext cx="1076325" cy="611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Noto Sans" w:eastAsia="Aptos" w:hAnsi="Noto Sans" w:cs="Noto Sans"/>
        <w:kern w:val="2"/>
        <w:lang w:val="es-MX"/>
        <w14:ligatures w14:val="standardContextual"/>
      </w:rPr>
      <w:tab/>
    </w:r>
  </w:p>
  <w:p w14:paraId="3D508361" w14:textId="5A070F52" w:rsidR="00FD1854" w:rsidRDefault="00753104">
    <w:pPr>
      <w:pStyle w:val="Piedepgina"/>
    </w:pPr>
    <w:r>
      <w:rPr>
        <w:rFonts w:ascii="Noto Sans" w:eastAsia="Aptos" w:hAnsi="Noto Sans" w:cs="Noto Sans"/>
        <w:kern w:val="2"/>
        <w:lang w:val="es-MX"/>
        <w14:ligatures w14:val="standardContextual"/>
      </w:rPr>
      <w:tab/>
    </w:r>
    <w:r w:rsidRPr="007B5FDA">
      <w:rPr>
        <w:rFonts w:ascii="Noto Sans" w:eastAsia="Aptos" w:hAnsi="Noto Sans" w:cs="Noto Sans"/>
        <w:kern w:val="2"/>
        <w:lang w:val="es-MX"/>
        <w14:ligatures w14:val="standardContextual"/>
      </w:rPr>
      <w:t>Primera Sesión Ordinaria 2026 de Órgano de Gobierno de ECOSUR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B46" w14:textId="70956131" w:rsidR="00904CC6" w:rsidRDefault="00253914" w:rsidP="007B5FDA">
    <w:pPr>
      <w:pStyle w:val="Piedepgina"/>
      <w:jc w:val="center"/>
    </w:pPr>
    <w:r w:rsidRPr="00253914">
      <w:rPr>
        <w:rFonts w:ascii="Aptos" w:eastAsia="Aptos" w:hAnsi="Aptos" w:cs="Times New Roman"/>
        <w:noProof/>
        <w:kern w:val="2"/>
        <w:lang w:val="es-MX"/>
        <w14:ligatures w14:val="standardContextual"/>
      </w:rPr>
      <w:drawing>
        <wp:anchor distT="0" distB="0" distL="114300" distR="114300" simplePos="0" relativeHeight="251662339" behindDoc="0" locked="0" layoutInCell="1" allowOverlap="1" wp14:anchorId="2DBE81AC" wp14:editId="621BFBD7">
          <wp:simplePos x="0" y="0"/>
          <wp:positionH relativeFrom="column">
            <wp:posOffset>-638175</wp:posOffset>
          </wp:positionH>
          <wp:positionV relativeFrom="paragraph">
            <wp:posOffset>-257175</wp:posOffset>
          </wp:positionV>
          <wp:extent cx="1076325" cy="611328"/>
          <wp:effectExtent l="0" t="0" r="0" b="0"/>
          <wp:wrapNone/>
          <wp:docPr id="830542335" name="Imagen 4"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descr="Interfaz de usuario gráfica, Texto, Aplicación&#10;&#10;El contenido generado por IA puede ser incorrecto."/>
                  <pic:cNvPicPr>
                    <a:picLocks noChangeAspect="1"/>
                  </pic:cNvPicPr>
                </pic:nvPicPr>
                <pic:blipFill rotWithShape="1">
                  <a:blip r:embed="rId1" cstate="print">
                    <a:extLst>
                      <a:ext uri="{28A0092B-C50C-407E-A947-70E740481C1C}">
                        <a14:useLocalDpi xmlns:a14="http://schemas.microsoft.com/office/drawing/2010/main" val="0"/>
                      </a:ext>
                    </a:extLst>
                  </a:blip>
                  <a:srcRect l="5608" t="86577" r="71765" b="3492"/>
                  <a:stretch>
                    <a:fillRect/>
                  </a:stretch>
                </pic:blipFill>
                <pic:spPr bwMode="auto">
                  <a:xfrm>
                    <a:off x="0" y="0"/>
                    <a:ext cx="1076325" cy="611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5FDA">
      <w:rPr>
        <w:rFonts w:ascii="Noto Sans" w:eastAsia="Aptos" w:hAnsi="Noto Sans" w:cs="Noto Sans"/>
        <w:kern w:val="2"/>
        <w:lang w:val="es-MX"/>
        <w14:ligatures w14:val="standardContextual"/>
      </w:rPr>
      <w:tab/>
    </w:r>
    <w:r w:rsidR="007B5FDA" w:rsidRPr="007B5FDA">
      <w:rPr>
        <w:rFonts w:ascii="Noto Sans" w:eastAsia="Aptos" w:hAnsi="Noto Sans" w:cs="Noto Sans"/>
        <w:kern w:val="2"/>
        <w:lang w:val="es-MX"/>
        <w14:ligatures w14:val="standardContextual"/>
      </w:rPr>
      <w:t>Primera Sesión Ordinaria 2026 de Órgano de Gobierno de ECOSUR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A19B" w14:textId="77777777" w:rsidR="00526A81" w:rsidRDefault="00526A81" w:rsidP="00A73D65">
      <w:r>
        <w:separator/>
      </w:r>
    </w:p>
  </w:footnote>
  <w:footnote w:type="continuationSeparator" w:id="0">
    <w:p w14:paraId="1164104B" w14:textId="77777777" w:rsidR="00526A81" w:rsidRDefault="00526A81" w:rsidP="00A73D65">
      <w:r>
        <w:continuationSeparator/>
      </w:r>
    </w:p>
  </w:footnote>
  <w:footnote w:type="continuationNotice" w:id="1">
    <w:p w14:paraId="7A3CAF75" w14:textId="77777777" w:rsidR="00526A81" w:rsidRDefault="00526A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0BDE0E6F" w:rsidR="003F49A8" w:rsidRDefault="00753104">
    <w:pPr>
      <w:pStyle w:val="Encabezado"/>
    </w:pPr>
    <w:r w:rsidRPr="00F87F88">
      <w:rPr>
        <w:rFonts w:ascii="Calibri" w:eastAsia="DengXian" w:hAnsi="Calibri" w:cs="Arial"/>
        <w:noProof/>
      </w:rPr>
      <w:drawing>
        <wp:anchor distT="0" distB="0" distL="114300" distR="114300" simplePos="0" relativeHeight="251666435" behindDoc="1" locked="0" layoutInCell="1" allowOverlap="1" wp14:anchorId="60DC5D0A" wp14:editId="03842369">
          <wp:simplePos x="0" y="0"/>
          <wp:positionH relativeFrom="margin">
            <wp:posOffset>-238125</wp:posOffset>
          </wp:positionH>
          <wp:positionV relativeFrom="paragraph">
            <wp:posOffset>-306705</wp:posOffset>
          </wp:positionV>
          <wp:extent cx="5724525" cy="801188"/>
          <wp:effectExtent l="0" t="0" r="0" b="0"/>
          <wp:wrapNone/>
          <wp:docPr id="93689070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rotWithShape="1">
                  <a:blip r:embed="rId1">
                    <a:extLst>
                      <a:ext uri="{28A0092B-C50C-407E-A947-70E740481C1C}">
                        <a14:useLocalDpi xmlns:a14="http://schemas.microsoft.com/office/drawing/2010/main" val="0"/>
                      </a:ext>
                    </a:extLst>
                  </a:blip>
                  <a:srcRect l="2252" t="3336" r="2589" b="86373"/>
                  <a:stretch>
                    <a:fillRect/>
                  </a:stretch>
                </pic:blipFill>
                <pic:spPr bwMode="auto">
                  <a:xfrm>
                    <a:off x="0" y="0"/>
                    <a:ext cx="5724525" cy="8011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1A4F0D8B" w:rsidR="00A73D65" w:rsidRPr="00B67AB0" w:rsidRDefault="00F87F88" w:rsidP="00B67AB0">
    <w:pPr>
      <w:pStyle w:val="Encabezado"/>
    </w:pPr>
    <w:r w:rsidRPr="00F87F88">
      <w:rPr>
        <w:rFonts w:ascii="Calibri" w:eastAsia="DengXian" w:hAnsi="Calibri" w:cs="Arial"/>
        <w:noProof/>
      </w:rPr>
      <w:drawing>
        <wp:anchor distT="0" distB="0" distL="114300" distR="114300" simplePos="0" relativeHeight="251660291" behindDoc="1" locked="0" layoutInCell="1" allowOverlap="1" wp14:anchorId="65C74384" wp14:editId="0EAF0D25">
          <wp:simplePos x="0" y="0"/>
          <wp:positionH relativeFrom="page">
            <wp:posOffset>819150</wp:posOffset>
          </wp:positionH>
          <wp:positionV relativeFrom="paragraph">
            <wp:posOffset>-354965</wp:posOffset>
          </wp:positionV>
          <wp:extent cx="6086475" cy="851846"/>
          <wp:effectExtent l="0" t="0" r="0" b="5715"/>
          <wp:wrapNone/>
          <wp:docPr id="41845375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rotWithShape="1">
                  <a:blip r:embed="rId1">
                    <a:extLst>
                      <a:ext uri="{28A0092B-C50C-407E-A947-70E740481C1C}">
                        <a14:useLocalDpi xmlns:a14="http://schemas.microsoft.com/office/drawing/2010/main" val="0"/>
                      </a:ext>
                    </a:extLst>
                  </a:blip>
                  <a:srcRect l="2252" t="3336" r="2589" b="86373"/>
                  <a:stretch>
                    <a:fillRect/>
                  </a:stretch>
                </pic:blipFill>
                <pic:spPr bwMode="auto">
                  <a:xfrm>
                    <a:off x="0" y="0"/>
                    <a:ext cx="6086475" cy="8518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6C2"/>
    <w:multiLevelType w:val="hybridMultilevel"/>
    <w:tmpl w:val="5270E9AC"/>
    <w:lvl w:ilvl="0" w:tplc="248C57F8">
      <w:start w:val="1"/>
      <w:numFmt w:val="decimalZero"/>
      <w:lvlText w:val="%1"/>
      <w:lvlJc w:val="left"/>
      <w:pPr>
        <w:ind w:left="855" w:hanging="49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6E6C29"/>
    <w:multiLevelType w:val="multilevel"/>
    <w:tmpl w:val="6EF6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859EE"/>
    <w:multiLevelType w:val="multilevel"/>
    <w:tmpl w:val="8D1E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85361D"/>
    <w:multiLevelType w:val="multilevel"/>
    <w:tmpl w:val="6CD0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304193">
    <w:abstractNumId w:val="0"/>
  </w:num>
  <w:num w:numId="2" w16cid:durableId="929699513">
    <w:abstractNumId w:val="1"/>
  </w:num>
  <w:num w:numId="3" w16cid:durableId="863782822">
    <w:abstractNumId w:val="3"/>
  </w:num>
  <w:num w:numId="4" w16cid:durableId="364721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1E65"/>
    <w:rsid w:val="000101A2"/>
    <w:rsid w:val="000211E5"/>
    <w:rsid w:val="00022CB2"/>
    <w:rsid w:val="00023AA0"/>
    <w:rsid w:val="00025266"/>
    <w:rsid w:val="00043A2A"/>
    <w:rsid w:val="00044729"/>
    <w:rsid w:val="0006060F"/>
    <w:rsid w:val="000608AE"/>
    <w:rsid w:val="00060F0A"/>
    <w:rsid w:val="0007153D"/>
    <w:rsid w:val="00087DCD"/>
    <w:rsid w:val="00091C0E"/>
    <w:rsid w:val="000B2CA3"/>
    <w:rsid w:val="000B7D16"/>
    <w:rsid w:val="000C593E"/>
    <w:rsid w:val="000E7284"/>
    <w:rsid w:val="00102037"/>
    <w:rsid w:val="00131C8E"/>
    <w:rsid w:val="00134369"/>
    <w:rsid w:val="00156A3E"/>
    <w:rsid w:val="00161740"/>
    <w:rsid w:val="00177031"/>
    <w:rsid w:val="00180A38"/>
    <w:rsid w:val="00184325"/>
    <w:rsid w:val="00190484"/>
    <w:rsid w:val="001C017A"/>
    <w:rsid w:val="001D3351"/>
    <w:rsid w:val="00205BD2"/>
    <w:rsid w:val="00231A0F"/>
    <w:rsid w:val="002329E1"/>
    <w:rsid w:val="002432D1"/>
    <w:rsid w:val="00245F66"/>
    <w:rsid w:val="00253914"/>
    <w:rsid w:val="00256B1D"/>
    <w:rsid w:val="0026251B"/>
    <w:rsid w:val="0027212B"/>
    <w:rsid w:val="00283F23"/>
    <w:rsid w:val="002871E1"/>
    <w:rsid w:val="00287588"/>
    <w:rsid w:val="00291228"/>
    <w:rsid w:val="0029542D"/>
    <w:rsid w:val="00296BF9"/>
    <w:rsid w:val="002C293A"/>
    <w:rsid w:val="002D60F5"/>
    <w:rsid w:val="002E2142"/>
    <w:rsid w:val="002E2B5E"/>
    <w:rsid w:val="002F2A29"/>
    <w:rsid w:val="002F6D90"/>
    <w:rsid w:val="002F7B77"/>
    <w:rsid w:val="0030476A"/>
    <w:rsid w:val="00304D02"/>
    <w:rsid w:val="003250A4"/>
    <w:rsid w:val="00331C15"/>
    <w:rsid w:val="0034593D"/>
    <w:rsid w:val="00363222"/>
    <w:rsid w:val="00370465"/>
    <w:rsid w:val="00371A70"/>
    <w:rsid w:val="003A465D"/>
    <w:rsid w:val="003A631E"/>
    <w:rsid w:val="003C6A91"/>
    <w:rsid w:val="003D2393"/>
    <w:rsid w:val="003D416E"/>
    <w:rsid w:val="003D540B"/>
    <w:rsid w:val="003E1335"/>
    <w:rsid w:val="003E3A05"/>
    <w:rsid w:val="003F49A8"/>
    <w:rsid w:val="0041316F"/>
    <w:rsid w:val="00413B8E"/>
    <w:rsid w:val="004150BC"/>
    <w:rsid w:val="004318DD"/>
    <w:rsid w:val="00435924"/>
    <w:rsid w:val="00446DC4"/>
    <w:rsid w:val="004543B0"/>
    <w:rsid w:val="00454479"/>
    <w:rsid w:val="00460A14"/>
    <w:rsid w:val="004628FD"/>
    <w:rsid w:val="00463F54"/>
    <w:rsid w:val="00471532"/>
    <w:rsid w:val="00472053"/>
    <w:rsid w:val="00477F45"/>
    <w:rsid w:val="004810A8"/>
    <w:rsid w:val="00487A3F"/>
    <w:rsid w:val="00494E2E"/>
    <w:rsid w:val="004A4C4E"/>
    <w:rsid w:val="004A50C6"/>
    <w:rsid w:val="004A6CC4"/>
    <w:rsid w:val="004B07B0"/>
    <w:rsid w:val="004C0E5F"/>
    <w:rsid w:val="004D146C"/>
    <w:rsid w:val="004D6785"/>
    <w:rsid w:val="004D7390"/>
    <w:rsid w:val="005022BB"/>
    <w:rsid w:val="005142CC"/>
    <w:rsid w:val="0052484E"/>
    <w:rsid w:val="00526A81"/>
    <w:rsid w:val="00536A48"/>
    <w:rsid w:val="0054397F"/>
    <w:rsid w:val="00567A0F"/>
    <w:rsid w:val="00570A33"/>
    <w:rsid w:val="005735B5"/>
    <w:rsid w:val="0057575C"/>
    <w:rsid w:val="00587D4F"/>
    <w:rsid w:val="00595A7D"/>
    <w:rsid w:val="005A6E25"/>
    <w:rsid w:val="005B3E03"/>
    <w:rsid w:val="005B50C9"/>
    <w:rsid w:val="005B5325"/>
    <w:rsid w:val="005C1A7C"/>
    <w:rsid w:val="005D14D4"/>
    <w:rsid w:val="005D374C"/>
    <w:rsid w:val="005D4320"/>
    <w:rsid w:val="005D7A20"/>
    <w:rsid w:val="005D7FF5"/>
    <w:rsid w:val="005E1772"/>
    <w:rsid w:val="005F3347"/>
    <w:rsid w:val="00626CE5"/>
    <w:rsid w:val="00626EE3"/>
    <w:rsid w:val="00631824"/>
    <w:rsid w:val="006322C1"/>
    <w:rsid w:val="00655563"/>
    <w:rsid w:val="006562E8"/>
    <w:rsid w:val="00660F3F"/>
    <w:rsid w:val="0066240B"/>
    <w:rsid w:val="0066370A"/>
    <w:rsid w:val="00665808"/>
    <w:rsid w:val="0066676F"/>
    <w:rsid w:val="00673014"/>
    <w:rsid w:val="00680A58"/>
    <w:rsid w:val="00681882"/>
    <w:rsid w:val="006932F1"/>
    <w:rsid w:val="006A0DFE"/>
    <w:rsid w:val="006B4D6B"/>
    <w:rsid w:val="006C0425"/>
    <w:rsid w:val="006C3B4E"/>
    <w:rsid w:val="006E01A8"/>
    <w:rsid w:val="006E18EC"/>
    <w:rsid w:val="00714C0D"/>
    <w:rsid w:val="00721BB9"/>
    <w:rsid w:val="00724126"/>
    <w:rsid w:val="00733712"/>
    <w:rsid w:val="00736D52"/>
    <w:rsid w:val="00740A77"/>
    <w:rsid w:val="007421E3"/>
    <w:rsid w:val="00753104"/>
    <w:rsid w:val="00762CB9"/>
    <w:rsid w:val="00766068"/>
    <w:rsid w:val="007738F7"/>
    <w:rsid w:val="007748E1"/>
    <w:rsid w:val="0078195E"/>
    <w:rsid w:val="00782758"/>
    <w:rsid w:val="007874C0"/>
    <w:rsid w:val="007A20A1"/>
    <w:rsid w:val="007B00DF"/>
    <w:rsid w:val="007B04A1"/>
    <w:rsid w:val="007B09D7"/>
    <w:rsid w:val="007B5FDA"/>
    <w:rsid w:val="007B74AD"/>
    <w:rsid w:val="007C1FAF"/>
    <w:rsid w:val="007D77D1"/>
    <w:rsid w:val="007E0C12"/>
    <w:rsid w:val="007E573F"/>
    <w:rsid w:val="007E5888"/>
    <w:rsid w:val="007F6D60"/>
    <w:rsid w:val="007F77B8"/>
    <w:rsid w:val="00825600"/>
    <w:rsid w:val="00827AD2"/>
    <w:rsid w:val="00831EE7"/>
    <w:rsid w:val="00834146"/>
    <w:rsid w:val="00834684"/>
    <w:rsid w:val="00862EEB"/>
    <w:rsid w:val="008636E4"/>
    <w:rsid w:val="00865276"/>
    <w:rsid w:val="00870032"/>
    <w:rsid w:val="00874CB2"/>
    <w:rsid w:val="00885E85"/>
    <w:rsid w:val="00895209"/>
    <w:rsid w:val="008A6638"/>
    <w:rsid w:val="008B4AD5"/>
    <w:rsid w:val="008B527D"/>
    <w:rsid w:val="008D0E60"/>
    <w:rsid w:val="008D127F"/>
    <w:rsid w:val="008D6FA2"/>
    <w:rsid w:val="008E73B1"/>
    <w:rsid w:val="00904CC6"/>
    <w:rsid w:val="009066A7"/>
    <w:rsid w:val="00907F1C"/>
    <w:rsid w:val="00910B20"/>
    <w:rsid w:val="00930E37"/>
    <w:rsid w:val="00932C27"/>
    <w:rsid w:val="0093494D"/>
    <w:rsid w:val="009352C9"/>
    <w:rsid w:val="00935609"/>
    <w:rsid w:val="00937C98"/>
    <w:rsid w:val="00942415"/>
    <w:rsid w:val="00947ABF"/>
    <w:rsid w:val="00955175"/>
    <w:rsid w:val="00973FB2"/>
    <w:rsid w:val="00976253"/>
    <w:rsid w:val="00977510"/>
    <w:rsid w:val="0098335E"/>
    <w:rsid w:val="009871F2"/>
    <w:rsid w:val="00987D8F"/>
    <w:rsid w:val="00991DCF"/>
    <w:rsid w:val="009B217F"/>
    <w:rsid w:val="009B743E"/>
    <w:rsid w:val="009C12D6"/>
    <w:rsid w:val="009C387B"/>
    <w:rsid w:val="009D686A"/>
    <w:rsid w:val="009E1D1D"/>
    <w:rsid w:val="009E2F42"/>
    <w:rsid w:val="009F2BA1"/>
    <w:rsid w:val="00A0555C"/>
    <w:rsid w:val="00A07674"/>
    <w:rsid w:val="00A2021A"/>
    <w:rsid w:val="00A20322"/>
    <w:rsid w:val="00A301D7"/>
    <w:rsid w:val="00A314BF"/>
    <w:rsid w:val="00A363E2"/>
    <w:rsid w:val="00A37467"/>
    <w:rsid w:val="00A42C5D"/>
    <w:rsid w:val="00A45B98"/>
    <w:rsid w:val="00A50933"/>
    <w:rsid w:val="00A5108A"/>
    <w:rsid w:val="00A53FE3"/>
    <w:rsid w:val="00A57FF1"/>
    <w:rsid w:val="00A63BB0"/>
    <w:rsid w:val="00A73D65"/>
    <w:rsid w:val="00A7428B"/>
    <w:rsid w:val="00A765DB"/>
    <w:rsid w:val="00A82449"/>
    <w:rsid w:val="00A94AF5"/>
    <w:rsid w:val="00A9662E"/>
    <w:rsid w:val="00AB125D"/>
    <w:rsid w:val="00AD173C"/>
    <w:rsid w:val="00AD57B2"/>
    <w:rsid w:val="00AD7FF8"/>
    <w:rsid w:val="00AF7AAD"/>
    <w:rsid w:val="00B07DE7"/>
    <w:rsid w:val="00B11607"/>
    <w:rsid w:val="00B21938"/>
    <w:rsid w:val="00B43FC9"/>
    <w:rsid w:val="00B541BC"/>
    <w:rsid w:val="00B66130"/>
    <w:rsid w:val="00B67AB0"/>
    <w:rsid w:val="00B71039"/>
    <w:rsid w:val="00B715FD"/>
    <w:rsid w:val="00B72D65"/>
    <w:rsid w:val="00B87C85"/>
    <w:rsid w:val="00B93304"/>
    <w:rsid w:val="00BB21A6"/>
    <w:rsid w:val="00BB2DFF"/>
    <w:rsid w:val="00BC43BD"/>
    <w:rsid w:val="00BC51E0"/>
    <w:rsid w:val="00BC7070"/>
    <w:rsid w:val="00BD1C58"/>
    <w:rsid w:val="00BD47DE"/>
    <w:rsid w:val="00BE1413"/>
    <w:rsid w:val="00BE234F"/>
    <w:rsid w:val="00BE5B58"/>
    <w:rsid w:val="00BF2365"/>
    <w:rsid w:val="00BF379D"/>
    <w:rsid w:val="00BF65F1"/>
    <w:rsid w:val="00BF731B"/>
    <w:rsid w:val="00C02E98"/>
    <w:rsid w:val="00C1416F"/>
    <w:rsid w:val="00C1599E"/>
    <w:rsid w:val="00C20984"/>
    <w:rsid w:val="00C23B9E"/>
    <w:rsid w:val="00C279A3"/>
    <w:rsid w:val="00C30849"/>
    <w:rsid w:val="00C465FE"/>
    <w:rsid w:val="00C51189"/>
    <w:rsid w:val="00C62870"/>
    <w:rsid w:val="00C653B5"/>
    <w:rsid w:val="00C67047"/>
    <w:rsid w:val="00C90CED"/>
    <w:rsid w:val="00C94579"/>
    <w:rsid w:val="00C94B19"/>
    <w:rsid w:val="00CA2EDC"/>
    <w:rsid w:val="00CA6BED"/>
    <w:rsid w:val="00CB7D4F"/>
    <w:rsid w:val="00CB7FE6"/>
    <w:rsid w:val="00CC551D"/>
    <w:rsid w:val="00CE3E99"/>
    <w:rsid w:val="00CF0D4D"/>
    <w:rsid w:val="00CF211C"/>
    <w:rsid w:val="00CF3975"/>
    <w:rsid w:val="00D1354D"/>
    <w:rsid w:val="00D24A98"/>
    <w:rsid w:val="00D30C72"/>
    <w:rsid w:val="00D458F4"/>
    <w:rsid w:val="00D66B77"/>
    <w:rsid w:val="00D74F3F"/>
    <w:rsid w:val="00D84E05"/>
    <w:rsid w:val="00D863D5"/>
    <w:rsid w:val="00D933A2"/>
    <w:rsid w:val="00D94CCD"/>
    <w:rsid w:val="00DA462B"/>
    <w:rsid w:val="00DB4A6A"/>
    <w:rsid w:val="00DB53A4"/>
    <w:rsid w:val="00DB5672"/>
    <w:rsid w:val="00DC18FA"/>
    <w:rsid w:val="00DC66EB"/>
    <w:rsid w:val="00DC7AC7"/>
    <w:rsid w:val="00DD154E"/>
    <w:rsid w:val="00DE3FEC"/>
    <w:rsid w:val="00E079B4"/>
    <w:rsid w:val="00E12948"/>
    <w:rsid w:val="00E155A4"/>
    <w:rsid w:val="00E17847"/>
    <w:rsid w:val="00E22177"/>
    <w:rsid w:val="00E2628A"/>
    <w:rsid w:val="00E367A6"/>
    <w:rsid w:val="00E50125"/>
    <w:rsid w:val="00E516AD"/>
    <w:rsid w:val="00E805E3"/>
    <w:rsid w:val="00E809E4"/>
    <w:rsid w:val="00E85B35"/>
    <w:rsid w:val="00E93867"/>
    <w:rsid w:val="00EA423B"/>
    <w:rsid w:val="00EA7087"/>
    <w:rsid w:val="00EB407F"/>
    <w:rsid w:val="00EB5876"/>
    <w:rsid w:val="00ED0C10"/>
    <w:rsid w:val="00ED0FC9"/>
    <w:rsid w:val="00EE053F"/>
    <w:rsid w:val="00EF3D26"/>
    <w:rsid w:val="00EF6A20"/>
    <w:rsid w:val="00F24915"/>
    <w:rsid w:val="00F401F9"/>
    <w:rsid w:val="00F55DED"/>
    <w:rsid w:val="00F60849"/>
    <w:rsid w:val="00F66003"/>
    <w:rsid w:val="00F745B2"/>
    <w:rsid w:val="00F87F88"/>
    <w:rsid w:val="00F91937"/>
    <w:rsid w:val="00F91AC5"/>
    <w:rsid w:val="00F945F2"/>
    <w:rsid w:val="00FA0287"/>
    <w:rsid w:val="00FC34D9"/>
    <w:rsid w:val="00FD024C"/>
    <w:rsid w:val="00FD1854"/>
    <w:rsid w:val="00FD50F9"/>
    <w:rsid w:val="00FD66C9"/>
    <w:rsid w:val="00FD754F"/>
    <w:rsid w:val="00FD75E1"/>
    <w:rsid w:val="00FF06FA"/>
    <w:rsid w:val="3CB1F636"/>
    <w:rsid w:val="57347A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50A99196-DC9B-4494-98DE-03881B9A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customStyle="1" w:styleId="Default">
    <w:name w:val="Default"/>
    <w:rsid w:val="008D0E60"/>
    <w:pPr>
      <w:autoSpaceDE w:val="0"/>
      <w:autoSpaceDN w:val="0"/>
      <w:adjustRightInd w:val="0"/>
    </w:pPr>
    <w:rPr>
      <w:rFonts w:ascii="Montserrat" w:hAnsi="Montserrat" w:cs="Montserrat"/>
      <w:color w:val="000000"/>
      <w14:ligatures w14:val="standardContextual"/>
    </w:rPr>
  </w:style>
  <w:style w:type="character" w:styleId="Hipervnculo">
    <w:name w:val="Hyperlink"/>
    <w:basedOn w:val="Fuentedeprrafopredeter"/>
    <w:uiPriority w:val="99"/>
    <w:unhideWhenUsed/>
    <w:rsid w:val="00A50933"/>
    <w:rPr>
      <w:color w:val="0563C1" w:themeColor="hyperlink"/>
      <w:u w:val="single"/>
    </w:rPr>
  </w:style>
  <w:style w:type="character" w:styleId="Mencinsinresolver">
    <w:name w:val="Unresolved Mention"/>
    <w:basedOn w:val="Fuentedeprrafopredeter"/>
    <w:uiPriority w:val="99"/>
    <w:semiHidden/>
    <w:unhideWhenUsed/>
    <w:rsid w:val="00A50933"/>
    <w:rPr>
      <w:color w:val="605E5C"/>
      <w:shd w:val="clear" w:color="auto" w:fill="E1DFDD"/>
    </w:rPr>
  </w:style>
  <w:style w:type="table" w:styleId="Tablaconcuadrcula">
    <w:name w:val="Table Grid"/>
    <w:basedOn w:val="Tablanormal"/>
    <w:uiPriority w:val="39"/>
    <w:rsid w:val="00536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69891">
      <w:bodyDiv w:val="1"/>
      <w:marLeft w:val="0"/>
      <w:marRight w:val="0"/>
      <w:marTop w:val="0"/>
      <w:marBottom w:val="0"/>
      <w:divBdr>
        <w:top w:val="none" w:sz="0" w:space="0" w:color="auto"/>
        <w:left w:val="none" w:sz="0" w:space="0" w:color="auto"/>
        <w:bottom w:val="none" w:sz="0" w:space="0" w:color="auto"/>
        <w:right w:val="none" w:sz="0" w:space="0" w:color="auto"/>
      </w:divBdr>
    </w:div>
    <w:div w:id="572735170">
      <w:bodyDiv w:val="1"/>
      <w:marLeft w:val="0"/>
      <w:marRight w:val="0"/>
      <w:marTop w:val="0"/>
      <w:marBottom w:val="0"/>
      <w:divBdr>
        <w:top w:val="none" w:sz="0" w:space="0" w:color="auto"/>
        <w:left w:val="none" w:sz="0" w:space="0" w:color="auto"/>
        <w:bottom w:val="none" w:sz="0" w:space="0" w:color="auto"/>
        <w:right w:val="none" w:sz="0" w:space="0" w:color="auto"/>
      </w:divBdr>
      <w:divsChild>
        <w:div w:id="926427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5453024">
      <w:bodyDiv w:val="1"/>
      <w:marLeft w:val="0"/>
      <w:marRight w:val="0"/>
      <w:marTop w:val="0"/>
      <w:marBottom w:val="0"/>
      <w:divBdr>
        <w:top w:val="none" w:sz="0" w:space="0" w:color="auto"/>
        <w:left w:val="none" w:sz="0" w:space="0" w:color="auto"/>
        <w:bottom w:val="none" w:sz="0" w:space="0" w:color="auto"/>
        <w:right w:val="none" w:sz="0" w:space="0" w:color="auto"/>
      </w:divBdr>
      <w:divsChild>
        <w:div w:id="133571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24838">
      <w:bodyDiv w:val="1"/>
      <w:marLeft w:val="0"/>
      <w:marRight w:val="0"/>
      <w:marTop w:val="0"/>
      <w:marBottom w:val="0"/>
      <w:divBdr>
        <w:top w:val="none" w:sz="0" w:space="0" w:color="auto"/>
        <w:left w:val="none" w:sz="0" w:space="0" w:color="auto"/>
        <w:bottom w:val="none" w:sz="0" w:space="0" w:color="auto"/>
        <w:right w:val="none" w:sz="0" w:space="0" w:color="auto"/>
      </w:divBdr>
      <w:divsChild>
        <w:div w:id="1012221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479621">
      <w:bodyDiv w:val="1"/>
      <w:marLeft w:val="0"/>
      <w:marRight w:val="0"/>
      <w:marTop w:val="0"/>
      <w:marBottom w:val="0"/>
      <w:divBdr>
        <w:top w:val="none" w:sz="0" w:space="0" w:color="auto"/>
        <w:left w:val="none" w:sz="0" w:space="0" w:color="auto"/>
        <w:bottom w:val="none" w:sz="0" w:space="0" w:color="auto"/>
        <w:right w:val="none" w:sz="0" w:space="0" w:color="auto"/>
      </w:divBdr>
      <w:divsChild>
        <w:div w:id="429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241434">
      <w:bodyDiv w:val="1"/>
      <w:marLeft w:val="0"/>
      <w:marRight w:val="0"/>
      <w:marTop w:val="0"/>
      <w:marBottom w:val="0"/>
      <w:divBdr>
        <w:top w:val="none" w:sz="0" w:space="0" w:color="auto"/>
        <w:left w:val="none" w:sz="0" w:space="0" w:color="auto"/>
        <w:bottom w:val="none" w:sz="0" w:space="0" w:color="auto"/>
        <w:right w:val="none" w:sz="0" w:space="0" w:color="auto"/>
      </w:divBdr>
      <w:divsChild>
        <w:div w:id="1800149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419346">
      <w:bodyDiv w:val="1"/>
      <w:marLeft w:val="0"/>
      <w:marRight w:val="0"/>
      <w:marTop w:val="0"/>
      <w:marBottom w:val="0"/>
      <w:divBdr>
        <w:top w:val="none" w:sz="0" w:space="0" w:color="auto"/>
        <w:left w:val="none" w:sz="0" w:space="0" w:color="auto"/>
        <w:bottom w:val="none" w:sz="0" w:space="0" w:color="auto"/>
        <w:right w:val="none" w:sz="0" w:space="0" w:color="auto"/>
      </w:divBdr>
    </w:div>
    <w:div w:id="1899433821">
      <w:bodyDiv w:val="1"/>
      <w:marLeft w:val="0"/>
      <w:marRight w:val="0"/>
      <w:marTop w:val="0"/>
      <w:marBottom w:val="0"/>
      <w:divBdr>
        <w:top w:val="none" w:sz="0" w:space="0" w:color="auto"/>
        <w:left w:val="none" w:sz="0" w:space="0" w:color="auto"/>
        <w:bottom w:val="none" w:sz="0" w:space="0" w:color="auto"/>
        <w:right w:val="none" w:sz="0" w:space="0" w:color="auto"/>
      </w:divBdr>
    </w:div>
    <w:div w:id="1956212379">
      <w:bodyDiv w:val="1"/>
      <w:marLeft w:val="0"/>
      <w:marRight w:val="0"/>
      <w:marTop w:val="0"/>
      <w:marBottom w:val="0"/>
      <w:divBdr>
        <w:top w:val="none" w:sz="0" w:space="0" w:color="auto"/>
        <w:left w:val="none" w:sz="0" w:space="0" w:color="auto"/>
        <w:bottom w:val="none" w:sz="0" w:space="0" w:color="auto"/>
        <w:right w:val="none" w:sz="0" w:space="0" w:color="auto"/>
      </w:divBdr>
    </w:div>
    <w:div w:id="2054573640">
      <w:bodyDiv w:val="1"/>
      <w:marLeft w:val="0"/>
      <w:marRight w:val="0"/>
      <w:marTop w:val="0"/>
      <w:marBottom w:val="0"/>
      <w:divBdr>
        <w:top w:val="none" w:sz="0" w:space="0" w:color="auto"/>
        <w:left w:val="none" w:sz="0" w:space="0" w:color="auto"/>
        <w:bottom w:val="none" w:sz="0" w:space="0" w:color="auto"/>
        <w:right w:val="none" w:sz="0" w:space="0" w:color="auto"/>
      </w:divBdr>
      <w:divsChild>
        <w:div w:id="1056472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cion xmlns="a0269784-4d34-4e81-8704-71bf86e9d8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E94E7AE413B4EAAD81C914EA5857A" ma:contentTypeVersion="4" ma:contentTypeDescription="Create a new document." ma:contentTypeScope="" ma:versionID="515cf0ae728efb81997eb8cbe847e058">
  <xsd:schema xmlns:xsd="http://www.w3.org/2001/XMLSchema" xmlns:xs="http://www.w3.org/2001/XMLSchema" xmlns:p="http://schemas.microsoft.com/office/2006/metadata/properties" xmlns:ns2="a0269784-4d34-4e81-8704-71bf86e9d8c2" targetNamespace="http://schemas.microsoft.com/office/2006/metadata/properties" ma:root="true" ma:fieldsID="5dc5e9f307c7e801bdd91867ec0efe04" ns2:_="">
    <xsd:import namespace="a0269784-4d34-4e81-8704-71bf86e9d8c2"/>
    <xsd:element name="properties">
      <xsd:complexType>
        <xsd:sequence>
          <xsd:element name="documentManagement">
            <xsd:complexType>
              <xsd:all>
                <xsd:element ref="ns2:Descripc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9784-4d34-4e81-8704-71bf86e9d8c2" elementFormDefault="qualified">
    <xsd:import namespace="http://schemas.microsoft.com/office/2006/documentManagement/types"/>
    <xsd:import namespace="http://schemas.microsoft.com/office/infopath/2007/PartnerControls"/>
    <xsd:element name="Descripcion" ma:index="8" nillable="true" ma:displayName="Descripcion" ma:description="Resumen del objetivo del folder" ma:format="Dropdown" ma:internalName="Descripc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008F0-EA43-435F-8DE0-D066C6F19B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9AA4AA-A3FE-4558-97B1-AFC2F5961A29}">
  <ds:schemaRefs>
    <ds:schemaRef ds:uri="http://schemas.microsoft.com/sharepoint/v3/contenttype/forms"/>
  </ds:schemaRefs>
</ds:datastoreItem>
</file>

<file path=customXml/itemProps3.xml><?xml version="1.0" encoding="utf-8"?>
<ds:datastoreItem xmlns:ds="http://schemas.openxmlformats.org/officeDocument/2006/customXml" ds:itemID="{0D928A4B-4EB1-49A4-AA1F-83899217CCEE}"/>
</file>

<file path=docProps/app.xml><?xml version="1.0" encoding="utf-8"?>
<Properties xmlns="http://schemas.openxmlformats.org/officeDocument/2006/extended-properties" xmlns:vt="http://schemas.openxmlformats.org/officeDocument/2006/docPropsVTypes">
  <Template>Normal</Template>
  <TotalTime>7</TotalTime>
  <Pages>5</Pages>
  <Words>2060</Words>
  <Characters>11335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Marie Claude Brunel Manse</cp:lastModifiedBy>
  <cp:revision>7</cp:revision>
  <dcterms:created xsi:type="dcterms:W3CDTF">2026-05-07T16:09:00Z</dcterms:created>
  <dcterms:modified xsi:type="dcterms:W3CDTF">2026-05-07T18:31:00Z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0x010100FAFE94E7AE413B4EAAD81C914EA5857A</vt:lpwstr>
  </property>
  <property fmtid="{D5CDD505-2E9C-101B-9397-08002B2CF9AE}" pid="3" name="Order">
    <vt:r8>59700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