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A52E" w14:textId="77777777" w:rsidR="005D5079" w:rsidRPr="005D5079" w:rsidRDefault="005D5079" w:rsidP="005E7221">
      <w:pPr>
        <w:widowControl w:val="0"/>
        <w:numPr>
          <w:ilvl w:val="0"/>
          <w:numId w:val="11"/>
        </w:numPr>
        <w:autoSpaceDE w:val="0"/>
        <w:autoSpaceDN w:val="0"/>
        <w:adjustRightInd w:val="0"/>
        <w:spacing w:after="0" w:line="240" w:lineRule="auto"/>
        <w:ind w:left="284" w:right="49" w:hanging="284"/>
        <w:contextualSpacing/>
        <w:jc w:val="both"/>
        <w:rPr>
          <w:rFonts w:ascii="Noto Sans" w:eastAsia="Times New Roman" w:hAnsi="Noto Sans" w:cs="Noto Sans"/>
          <w:b/>
          <w:lang w:val="es-ES"/>
        </w:rPr>
      </w:pPr>
      <w:r w:rsidRPr="005D5079">
        <w:rPr>
          <w:rFonts w:ascii="Noto Sans" w:eastAsia="Times New Roman" w:hAnsi="Noto Sans" w:cs="Noto Sans"/>
          <w:b/>
          <w:lang w:val="es-ES"/>
        </w:rPr>
        <w:t>Informe sobre el cumplimiento de los acuerdos previos adoptados por el Órgano de Gobierno, así como las recomendaciones y solicitudes planteadas por las personas consejeras, la SABG y el CEE de ECOSUR</w:t>
      </w:r>
    </w:p>
    <w:p w14:paraId="202C9B3F" w14:textId="77777777" w:rsidR="005D5079" w:rsidRPr="005D5079" w:rsidRDefault="005D5079" w:rsidP="005E7221">
      <w:pPr>
        <w:widowControl w:val="0"/>
        <w:autoSpaceDE w:val="0"/>
        <w:autoSpaceDN w:val="0"/>
        <w:adjustRightInd w:val="0"/>
        <w:spacing w:line="240" w:lineRule="auto"/>
        <w:ind w:left="284" w:right="284" w:hanging="284"/>
        <w:contextualSpacing/>
        <w:jc w:val="both"/>
        <w:rPr>
          <w:rFonts w:ascii="Noto Sans" w:eastAsia="Times New Roman" w:hAnsi="Noto Sans" w:cs="Noto Sans"/>
          <w:b/>
          <w:lang w:val="es-ES"/>
        </w:rPr>
      </w:pPr>
    </w:p>
    <w:p w14:paraId="6A4C88F1" w14:textId="4C7C0C7C" w:rsidR="005D5079" w:rsidRPr="00F678E3" w:rsidRDefault="005D5079" w:rsidP="005E7221">
      <w:pPr>
        <w:numPr>
          <w:ilvl w:val="0"/>
          <w:numId w:val="12"/>
        </w:numPr>
        <w:spacing w:after="240" w:line="240" w:lineRule="auto"/>
        <w:ind w:left="284" w:hanging="284"/>
        <w:contextualSpacing/>
        <w:jc w:val="both"/>
        <w:rPr>
          <w:rFonts w:ascii="Noto Sans" w:eastAsia="Times New Roman" w:hAnsi="Noto Sans" w:cs="Noto Sans"/>
          <w:b/>
          <w:bCs/>
          <w:sz w:val="22"/>
          <w:szCs w:val="22"/>
          <w:lang w:val="es-ES"/>
        </w:rPr>
      </w:pPr>
      <w:r w:rsidRPr="00F678E3">
        <w:rPr>
          <w:rFonts w:ascii="Noto Sans" w:eastAsia="Times New Roman" w:hAnsi="Noto Sans" w:cs="Noto Sans"/>
          <w:b/>
          <w:bCs/>
          <w:sz w:val="22"/>
          <w:szCs w:val="22"/>
          <w:lang w:val="es-ES"/>
        </w:rPr>
        <w:t>Breve Resumen del número de sesiones ordinarias y extraordinarias durante</w:t>
      </w:r>
      <w:r w:rsidR="00DB7B24" w:rsidRPr="00F678E3">
        <w:rPr>
          <w:rFonts w:ascii="Noto Sans" w:eastAsia="Times New Roman" w:hAnsi="Noto Sans" w:cs="Noto Sans"/>
          <w:b/>
          <w:bCs/>
          <w:sz w:val="22"/>
          <w:szCs w:val="22"/>
          <w:lang w:val="es-ES"/>
        </w:rPr>
        <w:t xml:space="preserve"> </w:t>
      </w:r>
      <w:r w:rsidRPr="00F678E3">
        <w:rPr>
          <w:rFonts w:ascii="Noto Sans" w:eastAsia="Times New Roman" w:hAnsi="Noto Sans" w:cs="Noto Sans"/>
          <w:b/>
          <w:bCs/>
          <w:sz w:val="22"/>
          <w:szCs w:val="22"/>
          <w:lang w:val="es-ES"/>
        </w:rPr>
        <w:t>2025</w:t>
      </w:r>
    </w:p>
    <w:p w14:paraId="10D825F8" w14:textId="77777777" w:rsidR="00F678E3" w:rsidRDefault="00F678E3" w:rsidP="005E7221">
      <w:pPr>
        <w:spacing w:after="0" w:line="240" w:lineRule="auto"/>
        <w:ind w:left="284" w:hanging="284"/>
        <w:jc w:val="both"/>
        <w:rPr>
          <w:rFonts w:ascii="Noto Sans" w:eastAsia="Times New Roman" w:hAnsi="Noto Sans" w:cs="Noto Sans"/>
          <w:kern w:val="0"/>
          <w:sz w:val="22"/>
          <w:szCs w:val="22"/>
          <w:lang w:val="es-ES"/>
          <w14:ligatures w14:val="none"/>
        </w:rPr>
      </w:pPr>
    </w:p>
    <w:p w14:paraId="6519468E" w14:textId="6622D3CE" w:rsidR="00261F77" w:rsidRDefault="005D5079" w:rsidP="005E7221">
      <w:pPr>
        <w:spacing w:line="240" w:lineRule="auto"/>
        <w:ind w:left="284" w:hanging="284"/>
        <w:jc w:val="both"/>
        <w:rPr>
          <w:rFonts w:ascii="Noto Sans" w:eastAsia="Times New Roman" w:hAnsi="Noto Sans" w:cs="Noto Sans"/>
          <w:kern w:val="0"/>
          <w:sz w:val="22"/>
          <w:szCs w:val="22"/>
          <w:lang w:val="es-ES"/>
          <w14:ligatures w14:val="none"/>
        </w:rPr>
      </w:pPr>
      <w:r w:rsidRPr="005D5079">
        <w:rPr>
          <w:rFonts w:ascii="Noto Sans" w:eastAsia="Times New Roman" w:hAnsi="Noto Sans" w:cs="Noto Sans"/>
          <w:kern w:val="0"/>
          <w:sz w:val="22"/>
          <w:szCs w:val="22"/>
          <w:lang w:val="es-ES"/>
          <w14:ligatures w14:val="none"/>
        </w:rPr>
        <w:t xml:space="preserve">En 2025, la Junta de Gobierno de ECOSUR </w:t>
      </w:r>
      <w:r w:rsidR="00F12835">
        <w:rPr>
          <w:rFonts w:ascii="Noto Sans" w:eastAsia="Times New Roman" w:hAnsi="Noto Sans" w:cs="Noto Sans"/>
          <w:kern w:val="0"/>
          <w:sz w:val="22"/>
          <w:szCs w:val="22"/>
          <w:lang w:val="es-ES"/>
          <w14:ligatures w14:val="none"/>
        </w:rPr>
        <w:t>sesionó sólo de manera ordinaria</w:t>
      </w:r>
      <w:r w:rsidR="00CB7695">
        <w:rPr>
          <w:rFonts w:ascii="Noto Sans" w:eastAsia="Times New Roman" w:hAnsi="Noto Sans" w:cs="Noto Sans"/>
          <w:kern w:val="0"/>
          <w:sz w:val="22"/>
          <w:szCs w:val="22"/>
          <w:lang w:val="es-ES"/>
          <w14:ligatures w14:val="none"/>
        </w:rPr>
        <w:t>,</w:t>
      </w:r>
      <w:r w:rsidR="00261F77">
        <w:rPr>
          <w:rFonts w:ascii="Noto Sans" w:eastAsia="Times New Roman" w:hAnsi="Noto Sans" w:cs="Noto Sans"/>
          <w:kern w:val="0"/>
          <w:sz w:val="22"/>
          <w:szCs w:val="22"/>
          <w:lang w:val="es-ES"/>
          <w14:ligatures w14:val="none"/>
        </w:rPr>
        <w:t xml:space="preserve"> en las siguientes fechas.</w:t>
      </w:r>
    </w:p>
    <w:p w14:paraId="4B7BF3EF" w14:textId="77777777" w:rsidR="00261F77" w:rsidRDefault="00261F77" w:rsidP="005E7221">
      <w:pPr>
        <w:spacing w:after="0" w:line="240" w:lineRule="auto"/>
        <w:ind w:left="284" w:hanging="284"/>
        <w:jc w:val="both"/>
        <w:rPr>
          <w:rFonts w:ascii="Noto Sans" w:eastAsia="Times New Roman" w:hAnsi="Noto Sans" w:cs="Noto Sans"/>
          <w:kern w:val="0"/>
          <w:sz w:val="22"/>
          <w:szCs w:val="22"/>
          <w:lang w:val="es-ES"/>
          <w14:ligatures w14:val="none"/>
        </w:rPr>
      </w:pPr>
    </w:p>
    <w:tbl>
      <w:tblPr>
        <w:tblStyle w:val="Tablaconcuadrcula"/>
        <w:tblW w:w="8789" w:type="dxa"/>
        <w:tblInd w:w="137" w:type="dxa"/>
        <w:tblLook w:val="04A0" w:firstRow="1" w:lastRow="0" w:firstColumn="1" w:lastColumn="0" w:noHBand="0" w:noVBand="1"/>
      </w:tblPr>
      <w:tblGrid>
        <w:gridCol w:w="3969"/>
        <w:gridCol w:w="2410"/>
        <w:gridCol w:w="2410"/>
      </w:tblGrid>
      <w:tr w:rsidR="00261F77" w:rsidRPr="00154822" w14:paraId="59390E5B" w14:textId="77777777" w:rsidTr="004C591F">
        <w:tc>
          <w:tcPr>
            <w:tcW w:w="3969" w:type="dxa"/>
          </w:tcPr>
          <w:p w14:paraId="591E7B97" w14:textId="552BAB2D" w:rsidR="00261F77" w:rsidRPr="00154822" w:rsidRDefault="00154822" w:rsidP="005E7221">
            <w:pPr>
              <w:ind w:left="284" w:hanging="284"/>
              <w:jc w:val="center"/>
              <w:rPr>
                <w:rFonts w:ascii="Noto Sans" w:eastAsia="Times New Roman" w:hAnsi="Noto Sans" w:cs="Noto Sans"/>
                <w:b/>
                <w:bCs/>
                <w:sz w:val="22"/>
                <w:szCs w:val="22"/>
                <w:lang w:val="es-ES"/>
              </w:rPr>
            </w:pPr>
            <w:r w:rsidRPr="00154822">
              <w:rPr>
                <w:rFonts w:ascii="Noto Sans" w:eastAsia="Times New Roman" w:hAnsi="Noto Sans" w:cs="Noto Sans"/>
                <w:b/>
                <w:bCs/>
                <w:sz w:val="22"/>
                <w:szCs w:val="22"/>
                <w:lang w:val="es-ES"/>
              </w:rPr>
              <w:t>Sesiones</w:t>
            </w:r>
          </w:p>
        </w:tc>
        <w:tc>
          <w:tcPr>
            <w:tcW w:w="2410" w:type="dxa"/>
          </w:tcPr>
          <w:p w14:paraId="0178358A" w14:textId="26276FAC" w:rsidR="00261F77" w:rsidRPr="00154822" w:rsidRDefault="00154822" w:rsidP="005E7221">
            <w:pPr>
              <w:ind w:left="284" w:hanging="284"/>
              <w:jc w:val="center"/>
              <w:rPr>
                <w:rFonts w:ascii="Noto Sans" w:eastAsia="Times New Roman" w:hAnsi="Noto Sans" w:cs="Noto Sans"/>
                <w:b/>
                <w:bCs/>
                <w:sz w:val="22"/>
                <w:szCs w:val="22"/>
                <w:lang w:val="es-ES"/>
              </w:rPr>
            </w:pPr>
            <w:r w:rsidRPr="00154822">
              <w:rPr>
                <w:rFonts w:ascii="Noto Sans" w:eastAsia="Times New Roman" w:hAnsi="Noto Sans" w:cs="Noto Sans"/>
                <w:b/>
                <w:bCs/>
                <w:sz w:val="22"/>
                <w:szCs w:val="22"/>
                <w:lang w:val="es-ES"/>
              </w:rPr>
              <w:t>Fechas</w:t>
            </w:r>
          </w:p>
        </w:tc>
        <w:tc>
          <w:tcPr>
            <w:tcW w:w="2410" w:type="dxa"/>
          </w:tcPr>
          <w:p w14:paraId="7BAA8EE6" w14:textId="166C9CEA" w:rsidR="00261F77" w:rsidRPr="00154822" w:rsidRDefault="00154822" w:rsidP="005E7221">
            <w:pPr>
              <w:ind w:left="284" w:hanging="284"/>
              <w:jc w:val="center"/>
              <w:rPr>
                <w:rFonts w:ascii="Noto Sans" w:eastAsia="Times New Roman" w:hAnsi="Noto Sans" w:cs="Noto Sans"/>
                <w:b/>
                <w:bCs/>
                <w:sz w:val="22"/>
                <w:szCs w:val="22"/>
                <w:lang w:val="es-ES"/>
              </w:rPr>
            </w:pPr>
            <w:r w:rsidRPr="00154822">
              <w:rPr>
                <w:rFonts w:ascii="Noto Sans" w:eastAsia="Times New Roman" w:hAnsi="Noto Sans" w:cs="Noto Sans"/>
                <w:b/>
                <w:bCs/>
                <w:sz w:val="22"/>
                <w:szCs w:val="22"/>
                <w:lang w:val="es-ES"/>
              </w:rPr>
              <w:t>Formato</w:t>
            </w:r>
          </w:p>
        </w:tc>
      </w:tr>
      <w:tr w:rsidR="00261F77" w14:paraId="69ECE276" w14:textId="77777777" w:rsidTr="004C591F">
        <w:tc>
          <w:tcPr>
            <w:tcW w:w="3969" w:type="dxa"/>
          </w:tcPr>
          <w:p w14:paraId="7CE8A7B9" w14:textId="4F91C829" w:rsidR="00261F77" w:rsidRDefault="00261F77" w:rsidP="005E7221">
            <w:pPr>
              <w:ind w:left="284" w:hanging="284"/>
              <w:jc w:val="both"/>
              <w:rPr>
                <w:rFonts w:ascii="Noto Sans" w:eastAsia="Times New Roman" w:hAnsi="Noto Sans" w:cs="Noto Sans"/>
                <w:sz w:val="22"/>
                <w:szCs w:val="22"/>
                <w:lang w:val="es-ES"/>
              </w:rPr>
            </w:pPr>
            <w:r>
              <w:rPr>
                <w:rFonts w:ascii="Noto Sans" w:eastAsia="Times New Roman" w:hAnsi="Noto Sans" w:cs="Noto Sans"/>
                <w:sz w:val="22"/>
                <w:szCs w:val="22"/>
                <w:lang w:val="es-ES"/>
              </w:rPr>
              <w:t>Primera sesión ordinaria</w:t>
            </w:r>
          </w:p>
        </w:tc>
        <w:tc>
          <w:tcPr>
            <w:tcW w:w="2410" w:type="dxa"/>
          </w:tcPr>
          <w:p w14:paraId="04776F47" w14:textId="4F7FC779" w:rsidR="00261F77" w:rsidRDefault="00261F77" w:rsidP="004C591F">
            <w:pPr>
              <w:ind w:left="284" w:hanging="284"/>
              <w:jc w:val="center"/>
              <w:rPr>
                <w:rFonts w:ascii="Noto Sans" w:eastAsia="Times New Roman" w:hAnsi="Noto Sans" w:cs="Noto Sans"/>
                <w:sz w:val="22"/>
                <w:szCs w:val="22"/>
                <w:lang w:val="es-ES"/>
              </w:rPr>
            </w:pPr>
            <w:r>
              <w:rPr>
                <w:rFonts w:ascii="Noto Sans" w:eastAsia="Times New Roman" w:hAnsi="Noto Sans" w:cs="Noto Sans"/>
                <w:sz w:val="22"/>
                <w:szCs w:val="22"/>
                <w:lang w:val="es-ES"/>
              </w:rPr>
              <w:t>8 de julio</w:t>
            </w:r>
          </w:p>
        </w:tc>
        <w:tc>
          <w:tcPr>
            <w:tcW w:w="2410" w:type="dxa"/>
          </w:tcPr>
          <w:p w14:paraId="74F4AF10" w14:textId="0CE83CBF" w:rsidR="00261F77" w:rsidRDefault="00261F77" w:rsidP="004C591F">
            <w:pPr>
              <w:ind w:left="284" w:hanging="284"/>
              <w:jc w:val="center"/>
              <w:rPr>
                <w:rFonts w:ascii="Noto Sans" w:eastAsia="Times New Roman" w:hAnsi="Noto Sans" w:cs="Noto Sans"/>
                <w:sz w:val="22"/>
                <w:szCs w:val="22"/>
                <w:lang w:val="es-ES"/>
              </w:rPr>
            </w:pPr>
            <w:r>
              <w:rPr>
                <w:rFonts w:ascii="Noto Sans" w:eastAsia="Times New Roman" w:hAnsi="Noto Sans" w:cs="Noto Sans"/>
                <w:sz w:val="22"/>
                <w:szCs w:val="22"/>
                <w:lang w:val="es-ES"/>
              </w:rPr>
              <w:t>Formato mixto</w:t>
            </w:r>
          </w:p>
        </w:tc>
      </w:tr>
      <w:tr w:rsidR="00261F77" w14:paraId="30F79D4D" w14:textId="77777777" w:rsidTr="004C591F">
        <w:tc>
          <w:tcPr>
            <w:tcW w:w="3969" w:type="dxa"/>
          </w:tcPr>
          <w:p w14:paraId="3FB8A734" w14:textId="2A6F419E" w:rsidR="00261F77" w:rsidRDefault="00261F77" w:rsidP="005E7221">
            <w:pPr>
              <w:ind w:left="284" w:hanging="284"/>
              <w:jc w:val="both"/>
              <w:rPr>
                <w:rFonts w:ascii="Noto Sans" w:eastAsia="Times New Roman" w:hAnsi="Noto Sans" w:cs="Noto Sans"/>
                <w:sz w:val="22"/>
                <w:szCs w:val="22"/>
                <w:lang w:val="es-ES"/>
              </w:rPr>
            </w:pPr>
            <w:r>
              <w:rPr>
                <w:rFonts w:ascii="Noto Sans" w:eastAsia="Times New Roman" w:hAnsi="Noto Sans" w:cs="Noto Sans"/>
                <w:sz w:val="22"/>
                <w:szCs w:val="22"/>
                <w:lang w:val="es-ES"/>
              </w:rPr>
              <w:t>Segunda sesión ordinaria</w:t>
            </w:r>
          </w:p>
        </w:tc>
        <w:tc>
          <w:tcPr>
            <w:tcW w:w="2410" w:type="dxa"/>
          </w:tcPr>
          <w:p w14:paraId="29F343AB" w14:textId="53A93A90" w:rsidR="00261F77" w:rsidRDefault="00154822" w:rsidP="004C591F">
            <w:pPr>
              <w:ind w:left="284" w:hanging="284"/>
              <w:jc w:val="center"/>
              <w:rPr>
                <w:rFonts w:ascii="Noto Sans" w:eastAsia="Times New Roman" w:hAnsi="Noto Sans" w:cs="Noto Sans"/>
                <w:sz w:val="22"/>
                <w:szCs w:val="22"/>
                <w:lang w:val="es-ES"/>
              </w:rPr>
            </w:pPr>
            <w:r>
              <w:rPr>
                <w:rFonts w:ascii="Noto Sans" w:eastAsia="Times New Roman" w:hAnsi="Noto Sans" w:cs="Noto Sans"/>
                <w:sz w:val="22"/>
                <w:szCs w:val="22"/>
                <w:lang w:val="es-ES"/>
              </w:rPr>
              <w:t>26 de noviembre</w:t>
            </w:r>
          </w:p>
        </w:tc>
        <w:tc>
          <w:tcPr>
            <w:tcW w:w="2410" w:type="dxa"/>
          </w:tcPr>
          <w:p w14:paraId="7477BF6D" w14:textId="0875536C" w:rsidR="00261F77" w:rsidRDefault="00154822" w:rsidP="004C591F">
            <w:pPr>
              <w:ind w:left="284" w:hanging="284"/>
              <w:jc w:val="center"/>
              <w:rPr>
                <w:rFonts w:ascii="Noto Sans" w:eastAsia="Times New Roman" w:hAnsi="Noto Sans" w:cs="Noto Sans"/>
                <w:sz w:val="22"/>
                <w:szCs w:val="22"/>
                <w:lang w:val="es-ES"/>
              </w:rPr>
            </w:pPr>
            <w:r>
              <w:rPr>
                <w:rFonts w:ascii="Noto Sans" w:eastAsia="Times New Roman" w:hAnsi="Noto Sans" w:cs="Noto Sans"/>
                <w:sz w:val="22"/>
                <w:szCs w:val="22"/>
                <w:lang w:val="es-ES"/>
              </w:rPr>
              <w:t>Formato mixto</w:t>
            </w:r>
          </w:p>
        </w:tc>
      </w:tr>
    </w:tbl>
    <w:p w14:paraId="47338AAA" w14:textId="77777777" w:rsidR="00261F77" w:rsidRDefault="00261F77" w:rsidP="005E7221">
      <w:pPr>
        <w:spacing w:after="0" w:line="240" w:lineRule="auto"/>
        <w:ind w:left="284" w:hanging="284"/>
        <w:jc w:val="both"/>
        <w:rPr>
          <w:rFonts w:ascii="Noto Sans" w:eastAsia="Times New Roman" w:hAnsi="Noto Sans" w:cs="Noto Sans"/>
          <w:kern w:val="0"/>
          <w:sz w:val="22"/>
          <w:szCs w:val="22"/>
          <w:lang w:val="es-ES"/>
          <w14:ligatures w14:val="none"/>
        </w:rPr>
      </w:pPr>
    </w:p>
    <w:p w14:paraId="152E6337" w14:textId="60DD30DE" w:rsidR="005D5079" w:rsidRPr="005D5079" w:rsidRDefault="005D5079" w:rsidP="005E7221">
      <w:pPr>
        <w:spacing w:after="0" w:line="240" w:lineRule="auto"/>
        <w:ind w:left="284" w:hanging="284"/>
        <w:jc w:val="both"/>
        <w:rPr>
          <w:rFonts w:ascii="Noto Sans" w:eastAsia="Times New Roman" w:hAnsi="Noto Sans" w:cs="Noto Sans"/>
          <w:kern w:val="0"/>
          <w:sz w:val="22"/>
          <w:szCs w:val="22"/>
          <w:lang w:val="es-ES"/>
          <w14:ligatures w14:val="none"/>
        </w:rPr>
      </w:pPr>
      <w:r w:rsidRPr="005D5079">
        <w:rPr>
          <w:rFonts w:ascii="Noto Sans" w:eastAsia="Times New Roman" w:hAnsi="Noto Sans" w:cs="Noto Sans"/>
          <w:kern w:val="0"/>
          <w:sz w:val="22"/>
          <w:szCs w:val="22"/>
          <w:lang w:val="es-ES"/>
          <w14:ligatures w14:val="none"/>
        </w:rPr>
        <w:t xml:space="preserve"> En ella estuvieron presentes </w:t>
      </w:r>
      <w:r w:rsidR="00072304">
        <w:rPr>
          <w:rFonts w:ascii="Noto Sans" w:eastAsia="Times New Roman" w:hAnsi="Noto Sans" w:cs="Noto Sans"/>
          <w:kern w:val="0"/>
          <w:sz w:val="22"/>
          <w:szCs w:val="22"/>
          <w:lang w:val="es-ES"/>
          <w14:ligatures w14:val="none"/>
        </w:rPr>
        <w:t xml:space="preserve">respectivamente </w:t>
      </w:r>
      <w:r w:rsidRPr="005D5079">
        <w:rPr>
          <w:rFonts w:ascii="Noto Sans" w:eastAsia="Times New Roman" w:hAnsi="Noto Sans" w:cs="Noto Sans"/>
          <w:kern w:val="0"/>
          <w:sz w:val="22"/>
          <w:szCs w:val="22"/>
          <w:lang w:val="es-ES"/>
          <w14:ligatures w14:val="none"/>
        </w:rPr>
        <w:t xml:space="preserve">13 </w:t>
      </w:r>
      <w:r w:rsidR="00072304">
        <w:rPr>
          <w:rFonts w:ascii="Noto Sans" w:eastAsia="Times New Roman" w:hAnsi="Noto Sans" w:cs="Noto Sans"/>
          <w:kern w:val="0"/>
          <w:sz w:val="22"/>
          <w:szCs w:val="22"/>
          <w:lang w:val="es-ES"/>
          <w14:ligatures w14:val="none"/>
        </w:rPr>
        <w:t xml:space="preserve">y 12 </w:t>
      </w:r>
      <w:r w:rsidRPr="005D5079">
        <w:rPr>
          <w:rFonts w:ascii="Noto Sans" w:eastAsia="Times New Roman" w:hAnsi="Noto Sans" w:cs="Noto Sans"/>
          <w:kern w:val="0"/>
          <w:sz w:val="22"/>
          <w:szCs w:val="22"/>
          <w:lang w:val="es-ES"/>
          <w14:ligatures w14:val="none"/>
        </w:rPr>
        <w:t>de las 15 personas consejeras.</w:t>
      </w:r>
    </w:p>
    <w:p w14:paraId="2FA0EA68" w14:textId="77777777" w:rsidR="005D5079" w:rsidRPr="00407D46" w:rsidRDefault="005D5079" w:rsidP="005E7221">
      <w:pPr>
        <w:spacing w:after="0" w:line="240" w:lineRule="auto"/>
        <w:ind w:left="284" w:hanging="284"/>
        <w:jc w:val="both"/>
        <w:rPr>
          <w:rFonts w:ascii="Noto Sans" w:eastAsia="Times New Roman" w:hAnsi="Noto Sans" w:cs="Noto Sans"/>
          <w:kern w:val="0"/>
          <w:sz w:val="22"/>
          <w:szCs w:val="22"/>
          <w:lang w:val="es-ES"/>
          <w14:ligatures w14:val="none"/>
        </w:rPr>
      </w:pPr>
    </w:p>
    <w:p w14:paraId="4B4D5ED0" w14:textId="77777777" w:rsidR="005D5079" w:rsidRPr="00F678E3" w:rsidRDefault="005D5079" w:rsidP="005E7221">
      <w:pPr>
        <w:numPr>
          <w:ilvl w:val="0"/>
          <w:numId w:val="12"/>
        </w:numPr>
        <w:spacing w:after="0" w:line="240" w:lineRule="auto"/>
        <w:ind w:left="284" w:hanging="284"/>
        <w:contextualSpacing/>
        <w:jc w:val="both"/>
        <w:rPr>
          <w:rFonts w:ascii="Noto Sans" w:eastAsia="Times New Roman" w:hAnsi="Noto Sans" w:cs="Noto Sans"/>
          <w:b/>
          <w:bCs/>
          <w:sz w:val="22"/>
          <w:szCs w:val="22"/>
          <w:lang w:val="es-ES"/>
        </w:rPr>
      </w:pPr>
      <w:r w:rsidRPr="00F678E3">
        <w:rPr>
          <w:rFonts w:ascii="Noto Sans" w:eastAsia="Times New Roman" w:hAnsi="Noto Sans" w:cs="Noto Sans"/>
          <w:b/>
          <w:bCs/>
          <w:sz w:val="22"/>
          <w:szCs w:val="22"/>
          <w:lang w:val="es-ES"/>
        </w:rPr>
        <w:t>Desglosar el número de acuerdos que se derivaron de la sesión, avance y cumplimiento</w:t>
      </w:r>
    </w:p>
    <w:p w14:paraId="723B32E4" w14:textId="77777777" w:rsidR="005D5079" w:rsidRPr="00407D46" w:rsidRDefault="005D5079" w:rsidP="005E7221">
      <w:pPr>
        <w:spacing w:after="0" w:line="240" w:lineRule="auto"/>
        <w:ind w:left="284" w:hanging="284"/>
        <w:jc w:val="both"/>
        <w:rPr>
          <w:rFonts w:ascii="Noto Sans" w:eastAsia="Times New Roman" w:hAnsi="Noto Sans" w:cs="Noto Sans"/>
          <w:kern w:val="0"/>
          <w:sz w:val="22"/>
          <w:szCs w:val="22"/>
          <w:lang w:val="es-ES"/>
          <w14:ligatures w14:val="none"/>
        </w:rPr>
      </w:pPr>
    </w:p>
    <w:p w14:paraId="641C5328" w14:textId="0116849A" w:rsidR="005D5079" w:rsidRPr="005D5079" w:rsidRDefault="005D5079" w:rsidP="005E7221">
      <w:pPr>
        <w:spacing w:after="0" w:line="240" w:lineRule="auto"/>
        <w:ind w:left="284" w:hanging="284"/>
        <w:jc w:val="both"/>
        <w:rPr>
          <w:rFonts w:ascii="Noto Sans" w:eastAsia="Times New Roman" w:hAnsi="Noto Sans" w:cs="Noto Sans"/>
          <w:kern w:val="0"/>
          <w:sz w:val="22"/>
          <w:szCs w:val="22"/>
          <w:lang w:val="es-ES"/>
          <w14:ligatures w14:val="none"/>
        </w:rPr>
      </w:pPr>
      <w:r w:rsidRPr="005D5079">
        <w:rPr>
          <w:rFonts w:ascii="Noto Sans" w:eastAsia="Times New Roman" w:hAnsi="Noto Sans" w:cs="Noto Sans"/>
          <w:kern w:val="0"/>
          <w:sz w:val="22"/>
          <w:szCs w:val="22"/>
          <w:lang w:val="es-ES"/>
          <w14:ligatures w14:val="none"/>
        </w:rPr>
        <w:t>De esta</w:t>
      </w:r>
      <w:r w:rsidR="00560338">
        <w:rPr>
          <w:rFonts w:ascii="Noto Sans" w:eastAsia="Times New Roman" w:hAnsi="Noto Sans" w:cs="Noto Sans"/>
          <w:kern w:val="0"/>
          <w:sz w:val="22"/>
          <w:szCs w:val="22"/>
          <w:lang w:val="es-ES"/>
          <w14:ligatures w14:val="none"/>
        </w:rPr>
        <w:t>s</w:t>
      </w:r>
      <w:r w:rsidRPr="005D5079">
        <w:rPr>
          <w:rFonts w:ascii="Noto Sans" w:eastAsia="Times New Roman" w:hAnsi="Noto Sans" w:cs="Noto Sans"/>
          <w:kern w:val="0"/>
          <w:sz w:val="22"/>
          <w:szCs w:val="22"/>
          <w:lang w:val="es-ES"/>
          <w14:ligatures w14:val="none"/>
        </w:rPr>
        <w:t xml:space="preserve"> sesi</w:t>
      </w:r>
      <w:r w:rsidR="00560338">
        <w:rPr>
          <w:rFonts w:ascii="Noto Sans" w:eastAsia="Times New Roman" w:hAnsi="Noto Sans" w:cs="Noto Sans"/>
          <w:kern w:val="0"/>
          <w:sz w:val="22"/>
          <w:szCs w:val="22"/>
          <w:lang w:val="es-ES"/>
          <w14:ligatures w14:val="none"/>
        </w:rPr>
        <w:t>ones</w:t>
      </w:r>
      <w:r w:rsidRPr="005D5079">
        <w:rPr>
          <w:rFonts w:ascii="Noto Sans" w:eastAsia="Times New Roman" w:hAnsi="Noto Sans" w:cs="Noto Sans"/>
          <w:kern w:val="0"/>
          <w:sz w:val="22"/>
          <w:szCs w:val="22"/>
          <w:lang w:val="es-ES"/>
          <w14:ligatures w14:val="none"/>
        </w:rPr>
        <w:t xml:space="preserve"> deriv</w:t>
      </w:r>
      <w:r w:rsidR="00560338">
        <w:rPr>
          <w:rFonts w:ascii="Noto Sans" w:eastAsia="Times New Roman" w:hAnsi="Noto Sans" w:cs="Noto Sans"/>
          <w:kern w:val="0"/>
          <w:sz w:val="22"/>
          <w:szCs w:val="22"/>
          <w:lang w:val="es-ES"/>
          <w14:ligatures w14:val="none"/>
        </w:rPr>
        <w:t>aron</w:t>
      </w:r>
      <w:r w:rsidRPr="005D5079">
        <w:rPr>
          <w:rFonts w:ascii="Noto Sans" w:eastAsia="Times New Roman" w:hAnsi="Noto Sans" w:cs="Noto Sans"/>
          <w:kern w:val="0"/>
          <w:sz w:val="22"/>
          <w:szCs w:val="22"/>
          <w:lang w:val="es-ES"/>
          <w14:ligatures w14:val="none"/>
        </w:rPr>
        <w:t xml:space="preserve"> un total de 27 acuerdos/recomendaciones/</w:t>
      </w:r>
      <w:r w:rsidR="00F678E3">
        <w:rPr>
          <w:rFonts w:ascii="Noto Sans" w:eastAsia="Times New Roman" w:hAnsi="Noto Sans" w:cs="Noto Sans"/>
          <w:kern w:val="0"/>
          <w:sz w:val="22"/>
          <w:szCs w:val="22"/>
          <w:lang w:val="es-ES"/>
          <w14:ligatures w14:val="none"/>
        </w:rPr>
        <w:t>o</w:t>
      </w:r>
      <w:r w:rsidRPr="005D5079">
        <w:rPr>
          <w:rFonts w:ascii="Noto Sans" w:eastAsia="Times New Roman" w:hAnsi="Noto Sans" w:cs="Noto Sans"/>
          <w:kern w:val="0"/>
          <w:sz w:val="22"/>
          <w:szCs w:val="22"/>
          <w:lang w:val="es-ES"/>
          <w14:ligatures w14:val="none"/>
        </w:rPr>
        <w:t>piniones, distribuidos de la siguiente forma:</w:t>
      </w:r>
    </w:p>
    <w:p w14:paraId="2DAF08F6" w14:textId="77777777" w:rsidR="005D5079" w:rsidRPr="00407D46" w:rsidRDefault="005D5079" w:rsidP="005E7221">
      <w:pPr>
        <w:spacing w:after="0" w:line="240" w:lineRule="auto"/>
        <w:ind w:left="284" w:hanging="284"/>
        <w:jc w:val="both"/>
        <w:rPr>
          <w:rFonts w:ascii="Noto Sans" w:eastAsia="Times New Roman" w:hAnsi="Noto Sans" w:cs="Noto Sans"/>
          <w:kern w:val="0"/>
          <w:sz w:val="22"/>
          <w:szCs w:val="22"/>
          <w:lang w:val="es-ES"/>
          <w14:ligatures w14:val="none"/>
        </w:rPr>
      </w:pPr>
    </w:p>
    <w:tbl>
      <w:tblPr>
        <w:tblStyle w:val="Tablaconcuadrcula"/>
        <w:tblW w:w="8931" w:type="dxa"/>
        <w:tblInd w:w="-5" w:type="dxa"/>
        <w:tblLook w:val="04A0" w:firstRow="1" w:lastRow="0" w:firstColumn="1" w:lastColumn="0" w:noHBand="0" w:noVBand="1"/>
      </w:tblPr>
      <w:tblGrid>
        <w:gridCol w:w="4253"/>
        <w:gridCol w:w="2339"/>
        <w:gridCol w:w="2339"/>
      </w:tblGrid>
      <w:tr w:rsidR="009B15C5" w:rsidRPr="005D5079" w14:paraId="28BDB37D" w14:textId="2298EC44" w:rsidTr="004C591F">
        <w:tc>
          <w:tcPr>
            <w:tcW w:w="4253" w:type="dxa"/>
            <w:tcBorders>
              <w:top w:val="single" w:sz="4" w:space="0" w:color="auto"/>
              <w:left w:val="single" w:sz="4" w:space="0" w:color="auto"/>
              <w:bottom w:val="single" w:sz="4" w:space="0" w:color="auto"/>
              <w:right w:val="single" w:sz="4" w:space="0" w:color="auto"/>
            </w:tcBorders>
            <w:vAlign w:val="center"/>
            <w:hideMark/>
          </w:tcPr>
          <w:p w14:paraId="2EF7A0A2" w14:textId="77777777" w:rsidR="009B15C5" w:rsidRPr="005D5079" w:rsidRDefault="009B15C5" w:rsidP="004C591F">
            <w:pPr>
              <w:ind w:left="29" w:hanging="29"/>
              <w:jc w:val="center"/>
              <w:rPr>
                <w:rFonts w:ascii="Noto Sans" w:eastAsia="Times New Roman" w:hAnsi="Noto Sans" w:cs="Noto Sans"/>
                <w:b/>
                <w:bCs/>
                <w:sz w:val="22"/>
                <w:szCs w:val="22"/>
                <w:lang w:val="es-ES"/>
              </w:rPr>
            </w:pPr>
            <w:r w:rsidRPr="005D5079">
              <w:rPr>
                <w:rFonts w:ascii="Noto Sans" w:eastAsia="Times New Roman" w:hAnsi="Noto Sans" w:cs="Noto Sans"/>
                <w:b/>
                <w:bCs/>
                <w:sz w:val="22"/>
                <w:szCs w:val="22"/>
                <w:lang w:val="es-ES"/>
              </w:rPr>
              <w:t>Acuerdos</w:t>
            </w:r>
          </w:p>
        </w:tc>
        <w:tc>
          <w:tcPr>
            <w:tcW w:w="2339" w:type="dxa"/>
            <w:tcBorders>
              <w:top w:val="single" w:sz="4" w:space="0" w:color="auto"/>
              <w:left w:val="single" w:sz="4" w:space="0" w:color="auto"/>
              <w:bottom w:val="single" w:sz="4" w:space="0" w:color="auto"/>
              <w:right w:val="single" w:sz="4" w:space="0" w:color="auto"/>
            </w:tcBorders>
            <w:vAlign w:val="center"/>
            <w:hideMark/>
          </w:tcPr>
          <w:p w14:paraId="6CDA2377" w14:textId="2F9678D0" w:rsidR="009B15C5" w:rsidRPr="005D5079" w:rsidRDefault="009B15C5" w:rsidP="005E7221">
            <w:pPr>
              <w:ind w:left="284" w:hanging="284"/>
              <w:jc w:val="center"/>
              <w:rPr>
                <w:rFonts w:ascii="Noto Sans" w:eastAsia="Times New Roman" w:hAnsi="Noto Sans" w:cs="Noto Sans"/>
                <w:b/>
                <w:bCs/>
                <w:sz w:val="22"/>
                <w:szCs w:val="22"/>
                <w:lang w:val="es-ES"/>
              </w:rPr>
            </w:pPr>
            <w:r w:rsidRPr="005D5079">
              <w:rPr>
                <w:rFonts w:ascii="Noto Sans" w:eastAsia="Times New Roman" w:hAnsi="Noto Sans" w:cs="Noto Sans"/>
                <w:b/>
                <w:bCs/>
                <w:sz w:val="22"/>
                <w:szCs w:val="22"/>
                <w:lang w:val="es-ES"/>
              </w:rPr>
              <w:t xml:space="preserve">Número </w:t>
            </w:r>
            <w:r>
              <w:rPr>
                <w:rFonts w:ascii="Noto Sans" w:eastAsia="Times New Roman" w:hAnsi="Noto Sans" w:cs="Noto Sans"/>
                <w:b/>
                <w:bCs/>
                <w:sz w:val="22"/>
                <w:szCs w:val="22"/>
                <w:lang w:val="es-ES"/>
              </w:rPr>
              <w:t>primera sesión</w:t>
            </w:r>
          </w:p>
        </w:tc>
        <w:tc>
          <w:tcPr>
            <w:tcW w:w="2339" w:type="dxa"/>
            <w:tcBorders>
              <w:top w:val="single" w:sz="4" w:space="0" w:color="auto"/>
              <w:left w:val="single" w:sz="4" w:space="0" w:color="auto"/>
              <w:bottom w:val="single" w:sz="4" w:space="0" w:color="auto"/>
              <w:right w:val="single" w:sz="4" w:space="0" w:color="auto"/>
            </w:tcBorders>
            <w:vAlign w:val="center"/>
            <w:hideMark/>
          </w:tcPr>
          <w:p w14:paraId="078F8A6A" w14:textId="759E80EA" w:rsidR="009B15C5" w:rsidRPr="005D5079" w:rsidRDefault="009B15C5" w:rsidP="005E7221">
            <w:pPr>
              <w:ind w:left="284" w:hanging="284"/>
              <w:jc w:val="center"/>
              <w:rPr>
                <w:rFonts w:ascii="Noto Sans" w:eastAsia="Times New Roman" w:hAnsi="Noto Sans" w:cs="Noto Sans"/>
                <w:b/>
                <w:bCs/>
                <w:sz w:val="22"/>
                <w:szCs w:val="22"/>
                <w:lang w:val="es-ES"/>
              </w:rPr>
            </w:pPr>
            <w:r w:rsidRPr="005D5079">
              <w:rPr>
                <w:rFonts w:ascii="Noto Sans" w:eastAsia="Times New Roman" w:hAnsi="Noto Sans" w:cs="Noto Sans"/>
                <w:b/>
                <w:bCs/>
                <w:sz w:val="22"/>
                <w:szCs w:val="22"/>
                <w:lang w:val="es-ES"/>
              </w:rPr>
              <w:t xml:space="preserve">Número </w:t>
            </w:r>
            <w:r>
              <w:rPr>
                <w:rFonts w:ascii="Noto Sans" w:eastAsia="Times New Roman" w:hAnsi="Noto Sans" w:cs="Noto Sans"/>
                <w:b/>
                <w:bCs/>
                <w:sz w:val="22"/>
                <w:szCs w:val="22"/>
                <w:lang w:val="es-ES"/>
              </w:rPr>
              <w:t>segunda sesión</w:t>
            </w:r>
          </w:p>
        </w:tc>
      </w:tr>
      <w:tr w:rsidR="009B15C5" w:rsidRPr="005D5079" w14:paraId="480B6D4B" w14:textId="4A1F7517" w:rsidTr="004C591F">
        <w:trPr>
          <w:trHeight w:val="723"/>
        </w:trPr>
        <w:tc>
          <w:tcPr>
            <w:tcW w:w="4253" w:type="dxa"/>
            <w:tcBorders>
              <w:top w:val="single" w:sz="4" w:space="0" w:color="auto"/>
              <w:left w:val="single" w:sz="4" w:space="0" w:color="auto"/>
              <w:bottom w:val="single" w:sz="4" w:space="0" w:color="auto"/>
              <w:right w:val="single" w:sz="4" w:space="0" w:color="auto"/>
            </w:tcBorders>
            <w:vAlign w:val="center"/>
            <w:hideMark/>
          </w:tcPr>
          <w:p w14:paraId="109B97FB" w14:textId="77777777" w:rsidR="009B15C5" w:rsidRPr="005D5079" w:rsidRDefault="009B15C5" w:rsidP="005E7221">
            <w:pPr>
              <w:ind w:left="284" w:hanging="284"/>
              <w:jc w:val="center"/>
              <w:rPr>
                <w:rFonts w:ascii="Noto Sans" w:eastAsia="Times New Roman" w:hAnsi="Noto Sans" w:cs="Noto Sans"/>
                <w:sz w:val="22"/>
                <w:szCs w:val="22"/>
                <w:lang w:val="es-ES"/>
              </w:rPr>
            </w:pPr>
            <w:r w:rsidRPr="005D5079">
              <w:rPr>
                <w:rFonts w:ascii="Noto Sans" w:eastAsia="Times New Roman" w:hAnsi="Noto Sans" w:cs="Noto Sans"/>
                <w:sz w:val="22"/>
                <w:szCs w:val="22"/>
                <w:lang w:val="es-ES"/>
              </w:rPr>
              <w:t>Recomendaciones de la SABG sobre los Estados Financieros Dictaminados</w:t>
            </w:r>
          </w:p>
        </w:tc>
        <w:tc>
          <w:tcPr>
            <w:tcW w:w="2339" w:type="dxa"/>
            <w:tcBorders>
              <w:top w:val="single" w:sz="4" w:space="0" w:color="auto"/>
              <w:left w:val="single" w:sz="4" w:space="0" w:color="auto"/>
              <w:bottom w:val="single" w:sz="4" w:space="0" w:color="auto"/>
              <w:right w:val="single" w:sz="4" w:space="0" w:color="auto"/>
            </w:tcBorders>
            <w:vAlign w:val="center"/>
            <w:hideMark/>
          </w:tcPr>
          <w:p w14:paraId="3C223C4B" w14:textId="77777777" w:rsidR="009B15C5" w:rsidRPr="005D5079" w:rsidRDefault="009B15C5" w:rsidP="005E7221">
            <w:pPr>
              <w:ind w:left="284" w:hanging="284"/>
              <w:jc w:val="center"/>
              <w:rPr>
                <w:rFonts w:ascii="Noto Sans" w:eastAsia="Times New Roman" w:hAnsi="Noto Sans" w:cs="Noto Sans"/>
                <w:sz w:val="22"/>
                <w:szCs w:val="22"/>
                <w:lang w:val="es-ES"/>
              </w:rPr>
            </w:pPr>
            <w:r w:rsidRPr="005D5079">
              <w:rPr>
                <w:rFonts w:ascii="Noto Sans" w:eastAsia="Times New Roman" w:hAnsi="Noto Sans" w:cs="Noto Sans"/>
                <w:sz w:val="22"/>
                <w:szCs w:val="22"/>
                <w:lang w:val="es-ES"/>
              </w:rPr>
              <w:t>3</w:t>
            </w:r>
          </w:p>
        </w:tc>
        <w:tc>
          <w:tcPr>
            <w:tcW w:w="2339" w:type="dxa"/>
            <w:tcBorders>
              <w:top w:val="single" w:sz="4" w:space="0" w:color="auto"/>
              <w:left w:val="single" w:sz="4" w:space="0" w:color="auto"/>
              <w:bottom w:val="single" w:sz="4" w:space="0" w:color="auto"/>
              <w:right w:val="single" w:sz="4" w:space="0" w:color="auto"/>
            </w:tcBorders>
            <w:vAlign w:val="center"/>
          </w:tcPr>
          <w:p w14:paraId="086FE75C" w14:textId="43222F2B" w:rsidR="009B15C5" w:rsidRPr="005D5079" w:rsidRDefault="009B15C5" w:rsidP="005E7221">
            <w:pPr>
              <w:ind w:left="284" w:hanging="284"/>
              <w:jc w:val="center"/>
              <w:rPr>
                <w:rFonts w:ascii="Noto Sans" w:eastAsia="Times New Roman" w:hAnsi="Noto Sans" w:cs="Noto Sans"/>
                <w:sz w:val="22"/>
                <w:szCs w:val="22"/>
                <w:lang w:val="es-ES"/>
              </w:rPr>
            </w:pPr>
            <w:r>
              <w:rPr>
                <w:rFonts w:ascii="Noto Sans" w:eastAsia="Times New Roman" w:hAnsi="Noto Sans" w:cs="Noto Sans"/>
                <w:sz w:val="22"/>
                <w:szCs w:val="22"/>
                <w:lang w:val="es-ES"/>
              </w:rPr>
              <w:t>N/A</w:t>
            </w:r>
          </w:p>
        </w:tc>
      </w:tr>
      <w:tr w:rsidR="009B15C5" w:rsidRPr="005D5079" w14:paraId="65711DE8" w14:textId="44BAB952" w:rsidTr="004C591F">
        <w:tc>
          <w:tcPr>
            <w:tcW w:w="4253" w:type="dxa"/>
            <w:tcBorders>
              <w:top w:val="single" w:sz="4" w:space="0" w:color="auto"/>
              <w:left w:val="single" w:sz="4" w:space="0" w:color="auto"/>
              <w:bottom w:val="single" w:sz="4" w:space="0" w:color="auto"/>
              <w:right w:val="single" w:sz="4" w:space="0" w:color="auto"/>
            </w:tcBorders>
            <w:vAlign w:val="center"/>
            <w:hideMark/>
          </w:tcPr>
          <w:p w14:paraId="796CAAE9" w14:textId="77777777" w:rsidR="009B15C5" w:rsidRPr="005D5079" w:rsidRDefault="009B15C5" w:rsidP="005E7221">
            <w:pPr>
              <w:ind w:left="284" w:hanging="284"/>
              <w:jc w:val="center"/>
              <w:rPr>
                <w:rFonts w:ascii="Noto Sans" w:eastAsia="Times New Roman" w:hAnsi="Noto Sans" w:cs="Noto Sans"/>
                <w:sz w:val="22"/>
                <w:szCs w:val="22"/>
                <w:lang w:val="es-ES"/>
              </w:rPr>
            </w:pPr>
            <w:r w:rsidRPr="005D5079">
              <w:rPr>
                <w:rFonts w:ascii="Noto Sans" w:eastAsia="Times New Roman" w:hAnsi="Noto Sans" w:cs="Noto Sans"/>
                <w:sz w:val="22"/>
                <w:szCs w:val="22"/>
                <w:lang w:val="es-ES"/>
              </w:rPr>
              <w:t>Opinión de la SABG sobre el Informe de Autoevaluación</w:t>
            </w:r>
          </w:p>
        </w:tc>
        <w:tc>
          <w:tcPr>
            <w:tcW w:w="2339" w:type="dxa"/>
            <w:tcBorders>
              <w:top w:val="single" w:sz="4" w:space="0" w:color="auto"/>
              <w:left w:val="single" w:sz="4" w:space="0" w:color="auto"/>
              <w:bottom w:val="single" w:sz="4" w:space="0" w:color="auto"/>
              <w:right w:val="single" w:sz="4" w:space="0" w:color="auto"/>
            </w:tcBorders>
            <w:vAlign w:val="center"/>
            <w:hideMark/>
          </w:tcPr>
          <w:p w14:paraId="58E5B696" w14:textId="77777777" w:rsidR="009B15C5" w:rsidRPr="005D5079" w:rsidRDefault="009B15C5" w:rsidP="005E7221">
            <w:pPr>
              <w:ind w:left="284" w:hanging="284"/>
              <w:jc w:val="center"/>
              <w:rPr>
                <w:rFonts w:ascii="Noto Sans" w:eastAsia="Times New Roman" w:hAnsi="Noto Sans" w:cs="Noto Sans"/>
                <w:sz w:val="22"/>
                <w:szCs w:val="22"/>
                <w:lang w:val="es-ES"/>
              </w:rPr>
            </w:pPr>
            <w:r w:rsidRPr="005D5079">
              <w:rPr>
                <w:rFonts w:ascii="Noto Sans" w:eastAsia="Times New Roman" w:hAnsi="Noto Sans" w:cs="Noto Sans"/>
                <w:sz w:val="22"/>
                <w:szCs w:val="22"/>
                <w:lang w:val="es-ES"/>
              </w:rPr>
              <w:t>3</w:t>
            </w:r>
          </w:p>
        </w:tc>
        <w:tc>
          <w:tcPr>
            <w:tcW w:w="2339" w:type="dxa"/>
            <w:tcBorders>
              <w:top w:val="single" w:sz="4" w:space="0" w:color="auto"/>
              <w:left w:val="single" w:sz="4" w:space="0" w:color="auto"/>
              <w:bottom w:val="single" w:sz="4" w:space="0" w:color="auto"/>
              <w:right w:val="single" w:sz="4" w:space="0" w:color="auto"/>
            </w:tcBorders>
            <w:vAlign w:val="center"/>
          </w:tcPr>
          <w:p w14:paraId="7F9A81C3" w14:textId="5D0620A5" w:rsidR="009B15C5" w:rsidRPr="005D5079" w:rsidRDefault="009B15C5" w:rsidP="005E7221">
            <w:pPr>
              <w:ind w:left="284" w:hanging="284"/>
              <w:jc w:val="center"/>
              <w:rPr>
                <w:rFonts w:ascii="Noto Sans" w:eastAsia="Times New Roman" w:hAnsi="Noto Sans" w:cs="Noto Sans"/>
                <w:sz w:val="22"/>
                <w:szCs w:val="22"/>
                <w:lang w:val="es-ES"/>
              </w:rPr>
            </w:pPr>
            <w:r>
              <w:rPr>
                <w:rFonts w:ascii="Noto Sans" w:eastAsia="Times New Roman" w:hAnsi="Noto Sans" w:cs="Noto Sans"/>
                <w:sz w:val="22"/>
                <w:szCs w:val="22"/>
                <w:lang w:val="es-ES"/>
              </w:rPr>
              <w:t>5</w:t>
            </w:r>
          </w:p>
        </w:tc>
      </w:tr>
      <w:tr w:rsidR="009B15C5" w:rsidRPr="005D5079" w14:paraId="4BA8E25D" w14:textId="6201411F" w:rsidTr="004C591F">
        <w:tc>
          <w:tcPr>
            <w:tcW w:w="4253" w:type="dxa"/>
            <w:tcBorders>
              <w:top w:val="single" w:sz="4" w:space="0" w:color="auto"/>
              <w:left w:val="single" w:sz="4" w:space="0" w:color="auto"/>
              <w:bottom w:val="single" w:sz="4" w:space="0" w:color="auto"/>
              <w:right w:val="single" w:sz="4" w:space="0" w:color="auto"/>
            </w:tcBorders>
            <w:vAlign w:val="center"/>
          </w:tcPr>
          <w:p w14:paraId="3F954817" w14:textId="77777777" w:rsidR="009B15C5" w:rsidRPr="005D5079" w:rsidRDefault="009B15C5" w:rsidP="005E7221">
            <w:pPr>
              <w:ind w:left="284" w:hanging="284"/>
              <w:jc w:val="center"/>
              <w:rPr>
                <w:rFonts w:ascii="Noto Sans" w:eastAsia="Times New Roman" w:hAnsi="Noto Sans" w:cs="Noto Sans"/>
                <w:sz w:val="22"/>
                <w:szCs w:val="22"/>
                <w:lang w:val="es-ES"/>
              </w:rPr>
            </w:pPr>
            <w:r w:rsidRPr="005D5079">
              <w:rPr>
                <w:rFonts w:ascii="Noto Sans" w:eastAsia="Times New Roman" w:hAnsi="Noto Sans" w:cs="Noto Sans"/>
                <w:sz w:val="22"/>
                <w:szCs w:val="22"/>
                <w:lang w:val="es-ES"/>
              </w:rPr>
              <w:t>Recomendaciones del CEE</w:t>
            </w:r>
          </w:p>
          <w:p w14:paraId="5CFB6907" w14:textId="77777777" w:rsidR="009B15C5" w:rsidRPr="005D5079" w:rsidRDefault="009B15C5" w:rsidP="005E7221">
            <w:pPr>
              <w:ind w:left="284" w:hanging="284"/>
              <w:jc w:val="center"/>
              <w:rPr>
                <w:rFonts w:ascii="Noto Sans" w:eastAsia="Times New Roman" w:hAnsi="Noto Sans" w:cs="Noto Sans"/>
                <w:sz w:val="22"/>
                <w:szCs w:val="22"/>
                <w:lang w:val="es-ES"/>
              </w:rPr>
            </w:pPr>
          </w:p>
        </w:tc>
        <w:tc>
          <w:tcPr>
            <w:tcW w:w="2339" w:type="dxa"/>
            <w:tcBorders>
              <w:top w:val="single" w:sz="4" w:space="0" w:color="auto"/>
              <w:left w:val="single" w:sz="4" w:space="0" w:color="auto"/>
              <w:bottom w:val="single" w:sz="4" w:space="0" w:color="auto"/>
              <w:right w:val="single" w:sz="4" w:space="0" w:color="auto"/>
            </w:tcBorders>
            <w:vAlign w:val="center"/>
            <w:hideMark/>
          </w:tcPr>
          <w:p w14:paraId="33F9271B" w14:textId="77777777" w:rsidR="009B15C5" w:rsidRPr="005D5079" w:rsidRDefault="009B15C5" w:rsidP="005E7221">
            <w:pPr>
              <w:ind w:left="284" w:hanging="284"/>
              <w:jc w:val="center"/>
              <w:rPr>
                <w:rFonts w:ascii="Noto Sans" w:eastAsia="Times New Roman" w:hAnsi="Noto Sans" w:cs="Noto Sans"/>
                <w:sz w:val="22"/>
                <w:szCs w:val="22"/>
                <w:lang w:val="es-ES"/>
              </w:rPr>
            </w:pPr>
            <w:r w:rsidRPr="005D5079">
              <w:rPr>
                <w:rFonts w:ascii="Noto Sans" w:eastAsia="Times New Roman" w:hAnsi="Noto Sans" w:cs="Noto Sans"/>
                <w:sz w:val="22"/>
                <w:szCs w:val="22"/>
                <w:lang w:val="es-ES"/>
              </w:rPr>
              <w:t>21</w:t>
            </w:r>
          </w:p>
        </w:tc>
        <w:tc>
          <w:tcPr>
            <w:tcW w:w="2339" w:type="dxa"/>
            <w:tcBorders>
              <w:top w:val="single" w:sz="4" w:space="0" w:color="auto"/>
              <w:left w:val="single" w:sz="4" w:space="0" w:color="auto"/>
              <w:bottom w:val="single" w:sz="4" w:space="0" w:color="auto"/>
              <w:right w:val="single" w:sz="4" w:space="0" w:color="auto"/>
            </w:tcBorders>
            <w:vAlign w:val="center"/>
          </w:tcPr>
          <w:p w14:paraId="785E106B" w14:textId="006EF548" w:rsidR="009B15C5" w:rsidRPr="005D5079" w:rsidRDefault="009B15C5" w:rsidP="005E7221">
            <w:pPr>
              <w:ind w:left="284" w:hanging="284"/>
              <w:jc w:val="center"/>
              <w:rPr>
                <w:rFonts w:ascii="Noto Sans" w:eastAsia="Times New Roman" w:hAnsi="Noto Sans" w:cs="Noto Sans"/>
                <w:sz w:val="22"/>
                <w:szCs w:val="22"/>
                <w:lang w:val="es-ES"/>
              </w:rPr>
            </w:pPr>
            <w:r>
              <w:rPr>
                <w:rFonts w:ascii="Noto Sans" w:eastAsia="Times New Roman" w:hAnsi="Noto Sans" w:cs="Noto Sans"/>
                <w:sz w:val="22"/>
                <w:szCs w:val="22"/>
                <w:lang w:val="es-ES"/>
              </w:rPr>
              <w:t>N/A</w:t>
            </w:r>
          </w:p>
        </w:tc>
      </w:tr>
      <w:tr w:rsidR="009B15C5" w:rsidRPr="005D5079" w14:paraId="5E2A1F5C" w14:textId="0C3E25EB" w:rsidTr="004C591F">
        <w:tc>
          <w:tcPr>
            <w:tcW w:w="4253" w:type="dxa"/>
            <w:tcBorders>
              <w:top w:val="single" w:sz="4" w:space="0" w:color="auto"/>
              <w:left w:val="single" w:sz="4" w:space="0" w:color="auto"/>
              <w:bottom w:val="single" w:sz="4" w:space="0" w:color="auto"/>
              <w:right w:val="single" w:sz="4" w:space="0" w:color="auto"/>
            </w:tcBorders>
            <w:vAlign w:val="center"/>
          </w:tcPr>
          <w:p w14:paraId="23F52E1B" w14:textId="7013411F" w:rsidR="009B15C5" w:rsidRPr="005D5079" w:rsidRDefault="009B15C5" w:rsidP="005E7221">
            <w:pPr>
              <w:ind w:left="284" w:hanging="284"/>
              <w:jc w:val="center"/>
              <w:rPr>
                <w:rFonts w:ascii="Noto Sans" w:eastAsia="Times New Roman" w:hAnsi="Noto Sans" w:cs="Noto Sans"/>
                <w:b/>
                <w:bCs/>
                <w:sz w:val="22"/>
                <w:szCs w:val="22"/>
                <w:lang w:val="es-ES"/>
              </w:rPr>
            </w:pPr>
            <w:r w:rsidRPr="005D5079">
              <w:rPr>
                <w:rFonts w:ascii="Noto Sans" w:eastAsia="Times New Roman" w:hAnsi="Noto Sans" w:cs="Noto Sans"/>
                <w:b/>
                <w:bCs/>
                <w:sz w:val="22"/>
                <w:szCs w:val="22"/>
                <w:lang w:val="es-ES"/>
              </w:rPr>
              <w:t xml:space="preserve">Total </w:t>
            </w:r>
          </w:p>
        </w:tc>
        <w:tc>
          <w:tcPr>
            <w:tcW w:w="2339" w:type="dxa"/>
            <w:tcBorders>
              <w:top w:val="single" w:sz="4" w:space="0" w:color="auto"/>
              <w:left w:val="single" w:sz="4" w:space="0" w:color="auto"/>
              <w:bottom w:val="single" w:sz="4" w:space="0" w:color="auto"/>
              <w:right w:val="single" w:sz="4" w:space="0" w:color="auto"/>
            </w:tcBorders>
            <w:vAlign w:val="center"/>
            <w:hideMark/>
          </w:tcPr>
          <w:p w14:paraId="0FF69402" w14:textId="77777777" w:rsidR="009B15C5" w:rsidRPr="005D5079" w:rsidRDefault="009B15C5" w:rsidP="005E7221">
            <w:pPr>
              <w:ind w:left="284" w:hanging="284"/>
              <w:jc w:val="center"/>
              <w:rPr>
                <w:rFonts w:ascii="Noto Sans" w:eastAsia="Times New Roman" w:hAnsi="Noto Sans" w:cs="Noto Sans"/>
                <w:b/>
                <w:bCs/>
                <w:sz w:val="22"/>
                <w:szCs w:val="22"/>
                <w:lang w:val="es-ES"/>
              </w:rPr>
            </w:pPr>
            <w:r w:rsidRPr="005D5079">
              <w:rPr>
                <w:rFonts w:ascii="Noto Sans" w:eastAsia="Times New Roman" w:hAnsi="Noto Sans" w:cs="Noto Sans"/>
                <w:b/>
                <w:bCs/>
                <w:sz w:val="22"/>
                <w:szCs w:val="22"/>
                <w:lang w:val="es-ES"/>
              </w:rPr>
              <w:t>27</w:t>
            </w:r>
          </w:p>
        </w:tc>
        <w:tc>
          <w:tcPr>
            <w:tcW w:w="2339" w:type="dxa"/>
            <w:tcBorders>
              <w:top w:val="single" w:sz="4" w:space="0" w:color="auto"/>
              <w:left w:val="single" w:sz="4" w:space="0" w:color="auto"/>
              <w:bottom w:val="single" w:sz="4" w:space="0" w:color="auto"/>
              <w:right w:val="single" w:sz="4" w:space="0" w:color="auto"/>
            </w:tcBorders>
            <w:vAlign w:val="center"/>
          </w:tcPr>
          <w:p w14:paraId="0198CE2C" w14:textId="4F1F2F49" w:rsidR="009B15C5" w:rsidRPr="005D5079" w:rsidRDefault="009B15C5" w:rsidP="005E7221">
            <w:pPr>
              <w:ind w:left="284" w:hanging="284"/>
              <w:jc w:val="center"/>
              <w:rPr>
                <w:rFonts w:ascii="Noto Sans" w:eastAsia="Times New Roman" w:hAnsi="Noto Sans" w:cs="Noto Sans"/>
                <w:b/>
                <w:bCs/>
                <w:sz w:val="22"/>
                <w:szCs w:val="22"/>
                <w:lang w:val="es-ES"/>
              </w:rPr>
            </w:pPr>
            <w:r>
              <w:rPr>
                <w:rFonts w:ascii="Noto Sans" w:eastAsia="Times New Roman" w:hAnsi="Noto Sans" w:cs="Noto Sans"/>
                <w:b/>
                <w:bCs/>
                <w:sz w:val="22"/>
                <w:szCs w:val="22"/>
                <w:lang w:val="es-ES"/>
              </w:rPr>
              <w:t>5</w:t>
            </w:r>
          </w:p>
        </w:tc>
      </w:tr>
    </w:tbl>
    <w:p w14:paraId="1102012A" w14:textId="77777777" w:rsidR="005D5079" w:rsidRPr="00407D46" w:rsidRDefault="005D5079" w:rsidP="005E7221">
      <w:pPr>
        <w:spacing w:after="0" w:line="240" w:lineRule="auto"/>
        <w:ind w:left="284" w:hanging="284"/>
        <w:jc w:val="both"/>
        <w:rPr>
          <w:rFonts w:ascii="Noto Sans" w:eastAsia="Times New Roman" w:hAnsi="Noto Sans" w:cs="Noto Sans"/>
          <w:kern w:val="0"/>
          <w:sz w:val="22"/>
          <w:szCs w:val="22"/>
          <w:lang w:val="es-ES"/>
          <w14:ligatures w14:val="none"/>
        </w:rPr>
      </w:pPr>
    </w:p>
    <w:p w14:paraId="6E043FA1" w14:textId="19791522" w:rsidR="00CB7695" w:rsidRDefault="005D5079" w:rsidP="00CB7695">
      <w:pPr>
        <w:spacing w:line="240" w:lineRule="auto"/>
        <w:jc w:val="both"/>
        <w:rPr>
          <w:rFonts w:ascii="Noto Sans" w:eastAsia="Times New Roman" w:hAnsi="Noto Sans" w:cs="Noto Sans"/>
          <w:kern w:val="0"/>
          <w:sz w:val="22"/>
          <w:szCs w:val="22"/>
          <w:lang w:val="es-ES"/>
          <w14:ligatures w14:val="none"/>
        </w:rPr>
      </w:pPr>
      <w:r w:rsidRPr="005D5079">
        <w:rPr>
          <w:rFonts w:ascii="Noto Sans" w:eastAsia="Times New Roman" w:hAnsi="Noto Sans" w:cs="Noto Sans"/>
          <w:kern w:val="0"/>
          <w:sz w:val="22"/>
          <w:szCs w:val="22"/>
          <w:lang w:val="es-ES"/>
          <w14:ligatures w14:val="none"/>
        </w:rPr>
        <w:t xml:space="preserve">Se anexan los oficios 223/DGPCMC/263/2025 y 223/DGPCMC/264/2025 que informan a ECOSUR que quedan solventadas las Recomendaciones y Opinión realizadas por la SABG respectivamente a los Estados Financieros Dictaminados y al Informe de Autoevaluación </w:t>
      </w:r>
      <w:r w:rsidR="006367AB">
        <w:rPr>
          <w:rFonts w:ascii="Noto Sans" w:eastAsia="Times New Roman" w:hAnsi="Noto Sans" w:cs="Noto Sans"/>
          <w:kern w:val="0"/>
          <w:sz w:val="22"/>
          <w:szCs w:val="22"/>
          <w:lang w:val="es-ES"/>
          <w14:ligatures w14:val="none"/>
        </w:rPr>
        <w:t>reportados en la primera sesión ordinaria y correspondientes al</w:t>
      </w:r>
      <w:r w:rsidRPr="005D5079">
        <w:rPr>
          <w:rFonts w:ascii="Noto Sans" w:eastAsia="Times New Roman" w:hAnsi="Noto Sans" w:cs="Noto Sans"/>
          <w:kern w:val="0"/>
          <w:sz w:val="22"/>
          <w:szCs w:val="22"/>
          <w:lang w:val="es-ES"/>
          <w14:ligatures w14:val="none"/>
        </w:rPr>
        <w:t xml:space="preserve"> año 2024.</w:t>
      </w:r>
    </w:p>
    <w:p w14:paraId="1C6DD4FA" w14:textId="2E437C4C" w:rsidR="005D5079" w:rsidRPr="005D5079" w:rsidRDefault="001657E5" w:rsidP="00CB7695">
      <w:pPr>
        <w:spacing w:line="240" w:lineRule="auto"/>
        <w:ind w:left="284" w:hanging="284"/>
        <w:jc w:val="both"/>
        <w:rPr>
          <w:rFonts w:ascii="Noto Sans" w:eastAsia="Times New Roman" w:hAnsi="Noto Sans" w:cs="Noto Sans"/>
          <w:kern w:val="0"/>
          <w:sz w:val="22"/>
          <w:szCs w:val="22"/>
          <w:lang w:val="es-ES"/>
          <w14:ligatures w14:val="none"/>
        </w:rPr>
      </w:pPr>
      <w:r>
        <w:rPr>
          <w:rFonts w:ascii="Noto Sans" w:eastAsia="Times New Roman" w:hAnsi="Noto Sans" w:cs="Noto Sans"/>
          <w:kern w:val="0"/>
          <w:sz w:val="22"/>
          <w:szCs w:val="22"/>
          <w:lang w:val="es-ES"/>
          <w14:ligatures w14:val="none"/>
        </w:rPr>
        <w:t xml:space="preserve">La tabla siguiente concentra </w:t>
      </w:r>
      <w:r w:rsidR="00F678E3">
        <w:rPr>
          <w:rFonts w:ascii="Noto Sans" w:eastAsia="Times New Roman" w:hAnsi="Noto Sans" w:cs="Noto Sans"/>
          <w:kern w:val="0"/>
          <w:sz w:val="22"/>
          <w:szCs w:val="22"/>
          <w:lang w:val="es-ES"/>
          <w14:ligatures w14:val="none"/>
        </w:rPr>
        <w:t xml:space="preserve">el estatus de </w:t>
      </w:r>
      <w:r>
        <w:rPr>
          <w:rFonts w:ascii="Noto Sans" w:eastAsia="Times New Roman" w:hAnsi="Noto Sans" w:cs="Noto Sans"/>
          <w:kern w:val="0"/>
          <w:sz w:val="22"/>
          <w:szCs w:val="22"/>
          <w:lang w:val="es-ES"/>
          <w14:ligatures w14:val="none"/>
        </w:rPr>
        <w:t>l</w:t>
      </w:r>
      <w:r w:rsidR="00354F61">
        <w:rPr>
          <w:rFonts w:ascii="Noto Sans" w:eastAsia="Times New Roman" w:hAnsi="Noto Sans" w:cs="Noto Sans"/>
          <w:kern w:val="0"/>
          <w:sz w:val="22"/>
          <w:szCs w:val="22"/>
          <w:lang w:val="es-ES"/>
          <w14:ligatures w14:val="none"/>
        </w:rPr>
        <w:t>os Acuerdos al finalizar 2025</w:t>
      </w:r>
      <w:r w:rsidR="005D5079" w:rsidRPr="005D5079">
        <w:rPr>
          <w:rFonts w:ascii="Noto Sans" w:eastAsia="Times New Roman" w:hAnsi="Noto Sans" w:cs="Noto Sans"/>
          <w:kern w:val="0"/>
          <w:sz w:val="22"/>
          <w:szCs w:val="22"/>
          <w:lang w:val="es-ES"/>
          <w14:ligatures w14:val="none"/>
        </w:rPr>
        <w:t>.</w:t>
      </w:r>
    </w:p>
    <w:p w14:paraId="0349DFE8" w14:textId="77777777" w:rsidR="005D5079" w:rsidRPr="005D5079" w:rsidRDefault="005D5079" w:rsidP="005E7221">
      <w:pPr>
        <w:spacing w:after="0" w:line="240" w:lineRule="auto"/>
        <w:ind w:left="284" w:hanging="284"/>
        <w:jc w:val="both"/>
        <w:rPr>
          <w:rFonts w:ascii="Noto Sans" w:eastAsia="Times New Roman" w:hAnsi="Noto Sans" w:cs="Noto Sans"/>
          <w:kern w:val="0"/>
          <w:sz w:val="22"/>
          <w:szCs w:val="22"/>
          <w:lang w:val="es-ES"/>
          <w14:ligatures w14:val="none"/>
        </w:rPr>
      </w:pPr>
    </w:p>
    <w:tbl>
      <w:tblPr>
        <w:tblStyle w:val="Tablaconcuadrcula"/>
        <w:tblW w:w="0" w:type="auto"/>
        <w:tblInd w:w="-5" w:type="dxa"/>
        <w:tblLook w:val="04A0" w:firstRow="1" w:lastRow="0" w:firstColumn="1" w:lastColumn="0" w:noHBand="0" w:noVBand="1"/>
      </w:tblPr>
      <w:tblGrid>
        <w:gridCol w:w="3476"/>
        <w:gridCol w:w="1799"/>
        <w:gridCol w:w="1779"/>
        <w:gridCol w:w="1779"/>
      </w:tblGrid>
      <w:tr w:rsidR="000B209C" w:rsidRPr="005D5079" w14:paraId="669457C4" w14:textId="4EE1F129" w:rsidTr="00CB7695">
        <w:tc>
          <w:tcPr>
            <w:tcW w:w="3476" w:type="dxa"/>
            <w:tcBorders>
              <w:top w:val="single" w:sz="4" w:space="0" w:color="auto"/>
              <w:left w:val="single" w:sz="4" w:space="0" w:color="auto"/>
              <w:bottom w:val="single" w:sz="4" w:space="0" w:color="auto"/>
              <w:right w:val="single" w:sz="4" w:space="0" w:color="auto"/>
            </w:tcBorders>
            <w:hideMark/>
          </w:tcPr>
          <w:p w14:paraId="441F68ED" w14:textId="77777777" w:rsidR="000B209C" w:rsidRPr="005D5079" w:rsidRDefault="000B209C" w:rsidP="005E7221">
            <w:pPr>
              <w:ind w:left="284" w:hanging="284"/>
              <w:jc w:val="center"/>
              <w:rPr>
                <w:rFonts w:ascii="Noto Sans" w:eastAsia="Times New Roman" w:hAnsi="Noto Sans" w:cs="Noto Sans"/>
                <w:b/>
                <w:bCs/>
                <w:sz w:val="20"/>
                <w:szCs w:val="20"/>
                <w:lang w:val="es-ES"/>
              </w:rPr>
            </w:pPr>
            <w:r w:rsidRPr="005D5079">
              <w:rPr>
                <w:rFonts w:ascii="Noto Sans" w:eastAsia="Times New Roman" w:hAnsi="Noto Sans" w:cs="Noto Sans"/>
                <w:b/>
                <w:bCs/>
                <w:sz w:val="20"/>
                <w:szCs w:val="20"/>
                <w:lang w:val="es-ES"/>
              </w:rPr>
              <w:t>Acuerdos</w:t>
            </w:r>
          </w:p>
        </w:tc>
        <w:tc>
          <w:tcPr>
            <w:tcW w:w="1799" w:type="dxa"/>
            <w:tcBorders>
              <w:top w:val="single" w:sz="4" w:space="0" w:color="auto"/>
              <w:left w:val="single" w:sz="4" w:space="0" w:color="auto"/>
              <w:bottom w:val="single" w:sz="4" w:space="0" w:color="auto"/>
              <w:right w:val="single" w:sz="4" w:space="0" w:color="auto"/>
            </w:tcBorders>
            <w:hideMark/>
          </w:tcPr>
          <w:p w14:paraId="040914EF" w14:textId="77777777" w:rsidR="000B209C" w:rsidRPr="005D5079" w:rsidRDefault="000B209C" w:rsidP="005E7221">
            <w:pPr>
              <w:ind w:left="284" w:hanging="284"/>
              <w:jc w:val="center"/>
              <w:rPr>
                <w:rFonts w:ascii="Noto Sans" w:eastAsia="Times New Roman" w:hAnsi="Noto Sans" w:cs="Noto Sans"/>
                <w:b/>
                <w:bCs/>
                <w:sz w:val="20"/>
                <w:szCs w:val="20"/>
                <w:lang w:val="es-ES"/>
              </w:rPr>
            </w:pPr>
            <w:r w:rsidRPr="005D5079">
              <w:rPr>
                <w:rFonts w:ascii="Noto Sans" w:eastAsia="Times New Roman" w:hAnsi="Noto Sans" w:cs="Noto Sans"/>
                <w:b/>
                <w:bCs/>
                <w:sz w:val="20"/>
                <w:szCs w:val="20"/>
                <w:lang w:val="es-ES"/>
              </w:rPr>
              <w:t>Total</w:t>
            </w:r>
          </w:p>
        </w:tc>
        <w:tc>
          <w:tcPr>
            <w:tcW w:w="1779" w:type="dxa"/>
            <w:tcBorders>
              <w:top w:val="single" w:sz="4" w:space="0" w:color="auto"/>
              <w:left w:val="single" w:sz="4" w:space="0" w:color="auto"/>
              <w:bottom w:val="single" w:sz="4" w:space="0" w:color="auto"/>
              <w:right w:val="single" w:sz="4" w:space="0" w:color="auto"/>
            </w:tcBorders>
          </w:tcPr>
          <w:p w14:paraId="1FCF5A72" w14:textId="1BBCD6B5" w:rsidR="000B209C" w:rsidRPr="005D5079" w:rsidRDefault="000B209C" w:rsidP="005E7221">
            <w:pPr>
              <w:ind w:left="284" w:hanging="284"/>
              <w:jc w:val="center"/>
              <w:rPr>
                <w:rFonts w:ascii="Noto Sans" w:eastAsia="Times New Roman" w:hAnsi="Noto Sans" w:cs="Noto Sans"/>
                <w:b/>
                <w:bCs/>
                <w:sz w:val="20"/>
                <w:szCs w:val="20"/>
                <w:lang w:val="es-ES"/>
              </w:rPr>
            </w:pPr>
            <w:r>
              <w:rPr>
                <w:rFonts w:ascii="Noto Sans" w:eastAsia="Times New Roman" w:hAnsi="Noto Sans" w:cs="Noto Sans"/>
                <w:b/>
                <w:bCs/>
                <w:sz w:val="20"/>
                <w:szCs w:val="20"/>
                <w:lang w:val="es-ES"/>
              </w:rPr>
              <w:t>Cumplidos</w:t>
            </w:r>
          </w:p>
        </w:tc>
        <w:tc>
          <w:tcPr>
            <w:tcW w:w="1779" w:type="dxa"/>
            <w:tcBorders>
              <w:top w:val="single" w:sz="4" w:space="0" w:color="auto"/>
              <w:left w:val="single" w:sz="4" w:space="0" w:color="auto"/>
              <w:bottom w:val="single" w:sz="4" w:space="0" w:color="auto"/>
              <w:right w:val="single" w:sz="4" w:space="0" w:color="auto"/>
            </w:tcBorders>
          </w:tcPr>
          <w:p w14:paraId="4CED87B0" w14:textId="51584A0A" w:rsidR="000B209C" w:rsidRPr="005D5079" w:rsidRDefault="00E52C9D" w:rsidP="005E7221">
            <w:pPr>
              <w:ind w:left="284" w:hanging="284"/>
              <w:jc w:val="center"/>
              <w:rPr>
                <w:rFonts w:ascii="Noto Sans" w:eastAsia="Times New Roman" w:hAnsi="Noto Sans" w:cs="Noto Sans"/>
                <w:b/>
                <w:bCs/>
                <w:sz w:val="20"/>
                <w:szCs w:val="20"/>
                <w:lang w:val="es-ES"/>
              </w:rPr>
            </w:pPr>
            <w:r>
              <w:rPr>
                <w:rFonts w:ascii="Noto Sans" w:eastAsia="Times New Roman" w:hAnsi="Noto Sans" w:cs="Noto Sans"/>
                <w:b/>
                <w:bCs/>
                <w:sz w:val="20"/>
                <w:szCs w:val="20"/>
                <w:lang w:val="es-ES"/>
              </w:rPr>
              <w:t>sin cumplir al 100%</w:t>
            </w:r>
          </w:p>
        </w:tc>
      </w:tr>
      <w:tr w:rsidR="000B209C" w:rsidRPr="005D5079" w14:paraId="28B1D5ED" w14:textId="35D6EB53" w:rsidTr="00CB7695">
        <w:tc>
          <w:tcPr>
            <w:tcW w:w="3476" w:type="dxa"/>
            <w:tcBorders>
              <w:top w:val="single" w:sz="4" w:space="0" w:color="auto"/>
              <w:left w:val="single" w:sz="4" w:space="0" w:color="auto"/>
              <w:bottom w:val="single" w:sz="4" w:space="0" w:color="auto"/>
              <w:right w:val="single" w:sz="4" w:space="0" w:color="auto"/>
            </w:tcBorders>
            <w:hideMark/>
          </w:tcPr>
          <w:p w14:paraId="63F7ED11" w14:textId="77777777" w:rsidR="000B209C" w:rsidRPr="005D5079" w:rsidRDefault="000B209C" w:rsidP="005E7221">
            <w:pPr>
              <w:ind w:left="284" w:hanging="284"/>
              <w:jc w:val="both"/>
              <w:rPr>
                <w:rFonts w:ascii="Noto Sans" w:eastAsia="Times New Roman" w:hAnsi="Noto Sans" w:cs="Noto Sans"/>
                <w:sz w:val="20"/>
                <w:szCs w:val="20"/>
                <w:lang w:val="es-ES"/>
              </w:rPr>
            </w:pPr>
            <w:r w:rsidRPr="005D5079">
              <w:rPr>
                <w:rFonts w:ascii="Noto Sans" w:eastAsia="Times New Roman" w:hAnsi="Noto Sans" w:cs="Noto Sans"/>
                <w:sz w:val="20"/>
                <w:szCs w:val="20"/>
                <w:lang w:val="es-ES"/>
              </w:rPr>
              <w:t>Órgano del Gobierno</w:t>
            </w:r>
          </w:p>
        </w:tc>
        <w:tc>
          <w:tcPr>
            <w:tcW w:w="1799" w:type="dxa"/>
            <w:tcBorders>
              <w:top w:val="single" w:sz="4" w:space="0" w:color="auto"/>
              <w:left w:val="single" w:sz="4" w:space="0" w:color="auto"/>
              <w:bottom w:val="single" w:sz="4" w:space="0" w:color="auto"/>
              <w:right w:val="single" w:sz="4" w:space="0" w:color="auto"/>
            </w:tcBorders>
            <w:hideMark/>
          </w:tcPr>
          <w:p w14:paraId="394E9079" w14:textId="4CF29183" w:rsidR="000B209C" w:rsidRPr="005D5079" w:rsidRDefault="000B209C" w:rsidP="005E7221">
            <w:pPr>
              <w:ind w:left="284" w:hanging="284"/>
              <w:jc w:val="center"/>
              <w:rPr>
                <w:rFonts w:ascii="Noto Sans" w:eastAsia="Times New Roman" w:hAnsi="Noto Sans" w:cs="Noto Sans"/>
                <w:sz w:val="20"/>
                <w:szCs w:val="20"/>
                <w:lang w:val="es-ES"/>
              </w:rPr>
            </w:pPr>
            <w:r>
              <w:rPr>
                <w:rFonts w:ascii="Noto Sans" w:eastAsia="Times New Roman" w:hAnsi="Noto Sans" w:cs="Noto Sans"/>
                <w:sz w:val="20"/>
                <w:szCs w:val="20"/>
                <w:lang w:val="es-ES"/>
              </w:rPr>
              <w:t>2</w:t>
            </w:r>
          </w:p>
        </w:tc>
        <w:tc>
          <w:tcPr>
            <w:tcW w:w="1779" w:type="dxa"/>
            <w:tcBorders>
              <w:top w:val="single" w:sz="4" w:space="0" w:color="auto"/>
              <w:left w:val="single" w:sz="4" w:space="0" w:color="auto"/>
              <w:bottom w:val="single" w:sz="4" w:space="0" w:color="auto"/>
              <w:right w:val="single" w:sz="4" w:space="0" w:color="auto"/>
            </w:tcBorders>
          </w:tcPr>
          <w:p w14:paraId="25B8B2FA" w14:textId="431D436A" w:rsidR="000B209C" w:rsidRDefault="00E52C9D" w:rsidP="005E7221">
            <w:pPr>
              <w:ind w:left="284" w:hanging="284"/>
              <w:jc w:val="center"/>
              <w:rPr>
                <w:rFonts w:ascii="Noto Sans" w:eastAsia="Times New Roman" w:hAnsi="Noto Sans" w:cs="Noto Sans"/>
                <w:sz w:val="20"/>
                <w:szCs w:val="20"/>
                <w:lang w:val="es-ES"/>
              </w:rPr>
            </w:pPr>
            <w:r>
              <w:rPr>
                <w:rFonts w:ascii="Noto Sans" w:eastAsia="Times New Roman" w:hAnsi="Noto Sans" w:cs="Noto Sans"/>
                <w:sz w:val="20"/>
                <w:szCs w:val="20"/>
                <w:lang w:val="es-ES"/>
              </w:rPr>
              <w:t>0</w:t>
            </w:r>
          </w:p>
        </w:tc>
        <w:tc>
          <w:tcPr>
            <w:tcW w:w="1779" w:type="dxa"/>
            <w:tcBorders>
              <w:top w:val="single" w:sz="4" w:space="0" w:color="auto"/>
              <w:left w:val="single" w:sz="4" w:space="0" w:color="auto"/>
              <w:bottom w:val="single" w:sz="4" w:space="0" w:color="auto"/>
              <w:right w:val="single" w:sz="4" w:space="0" w:color="auto"/>
            </w:tcBorders>
          </w:tcPr>
          <w:p w14:paraId="110E9942" w14:textId="54B014EB" w:rsidR="000B209C" w:rsidRDefault="00E52C9D" w:rsidP="005E7221">
            <w:pPr>
              <w:ind w:left="284" w:hanging="284"/>
              <w:jc w:val="center"/>
              <w:rPr>
                <w:rFonts w:ascii="Noto Sans" w:eastAsia="Times New Roman" w:hAnsi="Noto Sans" w:cs="Noto Sans"/>
                <w:sz w:val="20"/>
                <w:szCs w:val="20"/>
                <w:lang w:val="es-ES"/>
              </w:rPr>
            </w:pPr>
            <w:r>
              <w:rPr>
                <w:rFonts w:ascii="Noto Sans" w:eastAsia="Times New Roman" w:hAnsi="Noto Sans" w:cs="Noto Sans"/>
                <w:sz w:val="20"/>
                <w:szCs w:val="20"/>
                <w:lang w:val="es-ES"/>
              </w:rPr>
              <w:t>2</w:t>
            </w:r>
          </w:p>
        </w:tc>
      </w:tr>
      <w:tr w:rsidR="000B209C" w:rsidRPr="005D5079" w14:paraId="0B260435" w14:textId="1C3D2E0F" w:rsidTr="00CB7695">
        <w:tc>
          <w:tcPr>
            <w:tcW w:w="3476" w:type="dxa"/>
            <w:tcBorders>
              <w:top w:val="single" w:sz="4" w:space="0" w:color="auto"/>
              <w:left w:val="single" w:sz="4" w:space="0" w:color="auto"/>
              <w:bottom w:val="single" w:sz="4" w:space="0" w:color="auto"/>
              <w:right w:val="single" w:sz="4" w:space="0" w:color="auto"/>
            </w:tcBorders>
            <w:hideMark/>
          </w:tcPr>
          <w:p w14:paraId="4968A204" w14:textId="77777777" w:rsidR="000B209C" w:rsidRPr="005D5079" w:rsidRDefault="000B209C" w:rsidP="005E7221">
            <w:pPr>
              <w:ind w:left="284" w:hanging="284"/>
              <w:jc w:val="both"/>
              <w:rPr>
                <w:rFonts w:ascii="Noto Sans" w:eastAsia="Times New Roman" w:hAnsi="Noto Sans" w:cs="Noto Sans"/>
                <w:sz w:val="20"/>
                <w:szCs w:val="20"/>
                <w:lang w:val="es-ES"/>
              </w:rPr>
            </w:pPr>
            <w:r w:rsidRPr="005D5079">
              <w:rPr>
                <w:rFonts w:ascii="Noto Sans" w:eastAsia="Times New Roman" w:hAnsi="Noto Sans" w:cs="Noto Sans"/>
                <w:sz w:val="20"/>
                <w:szCs w:val="20"/>
                <w:lang w:val="es-ES"/>
              </w:rPr>
              <w:t>SABG</w:t>
            </w:r>
          </w:p>
        </w:tc>
        <w:tc>
          <w:tcPr>
            <w:tcW w:w="1799" w:type="dxa"/>
            <w:tcBorders>
              <w:top w:val="single" w:sz="4" w:space="0" w:color="auto"/>
              <w:left w:val="single" w:sz="4" w:space="0" w:color="auto"/>
              <w:bottom w:val="single" w:sz="4" w:space="0" w:color="auto"/>
              <w:right w:val="single" w:sz="4" w:space="0" w:color="auto"/>
            </w:tcBorders>
            <w:hideMark/>
          </w:tcPr>
          <w:p w14:paraId="4E1C40C7" w14:textId="105C2058" w:rsidR="000B209C" w:rsidRPr="005D5079" w:rsidRDefault="000B209C" w:rsidP="005E7221">
            <w:pPr>
              <w:ind w:left="284" w:hanging="284"/>
              <w:jc w:val="center"/>
              <w:rPr>
                <w:rFonts w:ascii="Noto Sans" w:eastAsia="Times New Roman" w:hAnsi="Noto Sans" w:cs="Noto Sans"/>
                <w:sz w:val="20"/>
                <w:szCs w:val="20"/>
                <w:lang w:val="es-ES"/>
              </w:rPr>
            </w:pPr>
            <w:r>
              <w:rPr>
                <w:rFonts w:ascii="Noto Sans" w:eastAsia="Times New Roman" w:hAnsi="Noto Sans" w:cs="Noto Sans"/>
                <w:sz w:val="20"/>
                <w:szCs w:val="20"/>
                <w:lang w:val="es-ES"/>
              </w:rPr>
              <w:t>5</w:t>
            </w:r>
          </w:p>
        </w:tc>
        <w:tc>
          <w:tcPr>
            <w:tcW w:w="1779" w:type="dxa"/>
            <w:tcBorders>
              <w:top w:val="single" w:sz="4" w:space="0" w:color="auto"/>
              <w:left w:val="single" w:sz="4" w:space="0" w:color="auto"/>
              <w:bottom w:val="single" w:sz="4" w:space="0" w:color="auto"/>
              <w:right w:val="single" w:sz="4" w:space="0" w:color="auto"/>
            </w:tcBorders>
          </w:tcPr>
          <w:p w14:paraId="0D18FB7C" w14:textId="77777777" w:rsidR="000B209C" w:rsidRDefault="000B209C" w:rsidP="005E7221">
            <w:pPr>
              <w:ind w:left="284" w:hanging="284"/>
              <w:jc w:val="center"/>
              <w:rPr>
                <w:rFonts w:ascii="Noto Sans" w:eastAsia="Times New Roman" w:hAnsi="Noto Sans" w:cs="Noto Sans"/>
                <w:sz w:val="20"/>
                <w:szCs w:val="20"/>
                <w:lang w:val="es-ES"/>
              </w:rPr>
            </w:pPr>
          </w:p>
        </w:tc>
        <w:tc>
          <w:tcPr>
            <w:tcW w:w="1779" w:type="dxa"/>
            <w:tcBorders>
              <w:top w:val="single" w:sz="4" w:space="0" w:color="auto"/>
              <w:left w:val="single" w:sz="4" w:space="0" w:color="auto"/>
              <w:bottom w:val="single" w:sz="4" w:space="0" w:color="auto"/>
              <w:right w:val="single" w:sz="4" w:space="0" w:color="auto"/>
            </w:tcBorders>
          </w:tcPr>
          <w:p w14:paraId="721CAC72" w14:textId="77777777" w:rsidR="000B209C" w:rsidRDefault="000B209C" w:rsidP="005E7221">
            <w:pPr>
              <w:ind w:left="284" w:hanging="284"/>
              <w:jc w:val="center"/>
              <w:rPr>
                <w:rFonts w:ascii="Noto Sans" w:eastAsia="Times New Roman" w:hAnsi="Noto Sans" w:cs="Noto Sans"/>
                <w:sz w:val="20"/>
                <w:szCs w:val="20"/>
                <w:lang w:val="es-ES"/>
              </w:rPr>
            </w:pPr>
          </w:p>
        </w:tc>
      </w:tr>
      <w:tr w:rsidR="000B209C" w:rsidRPr="005D5079" w14:paraId="7E87C06D" w14:textId="671249A1" w:rsidTr="00CB7695">
        <w:tc>
          <w:tcPr>
            <w:tcW w:w="3476" w:type="dxa"/>
            <w:tcBorders>
              <w:top w:val="single" w:sz="4" w:space="0" w:color="auto"/>
              <w:left w:val="single" w:sz="4" w:space="0" w:color="auto"/>
              <w:bottom w:val="single" w:sz="4" w:space="0" w:color="auto"/>
              <w:right w:val="single" w:sz="4" w:space="0" w:color="auto"/>
            </w:tcBorders>
            <w:hideMark/>
          </w:tcPr>
          <w:p w14:paraId="4C7C174E" w14:textId="77777777" w:rsidR="000B209C" w:rsidRPr="005D5079" w:rsidRDefault="000B209C" w:rsidP="005E7221">
            <w:pPr>
              <w:ind w:left="284" w:hanging="284"/>
              <w:jc w:val="both"/>
              <w:rPr>
                <w:rFonts w:ascii="Noto Sans" w:eastAsia="Times New Roman" w:hAnsi="Noto Sans" w:cs="Noto Sans"/>
                <w:sz w:val="20"/>
                <w:szCs w:val="20"/>
                <w:lang w:val="es-ES"/>
              </w:rPr>
            </w:pPr>
            <w:r w:rsidRPr="005D5079">
              <w:rPr>
                <w:rFonts w:ascii="Noto Sans" w:eastAsia="Times New Roman" w:hAnsi="Noto Sans" w:cs="Noto Sans"/>
                <w:sz w:val="20"/>
                <w:szCs w:val="20"/>
                <w:lang w:val="es-ES"/>
              </w:rPr>
              <w:t>CEE</w:t>
            </w:r>
          </w:p>
        </w:tc>
        <w:tc>
          <w:tcPr>
            <w:tcW w:w="1799" w:type="dxa"/>
            <w:tcBorders>
              <w:top w:val="single" w:sz="4" w:space="0" w:color="auto"/>
              <w:left w:val="single" w:sz="4" w:space="0" w:color="auto"/>
              <w:bottom w:val="single" w:sz="4" w:space="0" w:color="auto"/>
              <w:right w:val="single" w:sz="4" w:space="0" w:color="auto"/>
            </w:tcBorders>
            <w:hideMark/>
          </w:tcPr>
          <w:p w14:paraId="4F96F210" w14:textId="0862F01F" w:rsidR="000B209C" w:rsidRPr="005D5079" w:rsidRDefault="000B209C" w:rsidP="005E7221">
            <w:pPr>
              <w:ind w:left="284" w:hanging="284"/>
              <w:jc w:val="center"/>
              <w:rPr>
                <w:rFonts w:ascii="Noto Sans" w:eastAsia="Times New Roman" w:hAnsi="Noto Sans" w:cs="Noto Sans"/>
                <w:sz w:val="20"/>
                <w:szCs w:val="20"/>
                <w:lang w:val="es-ES"/>
              </w:rPr>
            </w:pPr>
            <w:r>
              <w:rPr>
                <w:rFonts w:ascii="Noto Sans" w:eastAsia="Times New Roman" w:hAnsi="Noto Sans" w:cs="Noto Sans"/>
                <w:sz w:val="20"/>
                <w:szCs w:val="20"/>
                <w:lang w:val="es-ES"/>
              </w:rPr>
              <w:t>0</w:t>
            </w:r>
          </w:p>
        </w:tc>
        <w:tc>
          <w:tcPr>
            <w:tcW w:w="1779" w:type="dxa"/>
            <w:tcBorders>
              <w:top w:val="single" w:sz="4" w:space="0" w:color="auto"/>
              <w:left w:val="single" w:sz="4" w:space="0" w:color="auto"/>
              <w:bottom w:val="single" w:sz="4" w:space="0" w:color="auto"/>
              <w:right w:val="single" w:sz="4" w:space="0" w:color="auto"/>
            </w:tcBorders>
          </w:tcPr>
          <w:p w14:paraId="4515957E" w14:textId="43833F45" w:rsidR="000B209C" w:rsidRDefault="002B0B03" w:rsidP="005E7221">
            <w:pPr>
              <w:ind w:left="284" w:hanging="284"/>
              <w:jc w:val="center"/>
              <w:rPr>
                <w:rFonts w:ascii="Noto Sans" w:eastAsia="Times New Roman" w:hAnsi="Noto Sans" w:cs="Noto Sans"/>
                <w:sz w:val="20"/>
                <w:szCs w:val="20"/>
                <w:lang w:val="es-ES"/>
              </w:rPr>
            </w:pPr>
            <w:r>
              <w:rPr>
                <w:rFonts w:ascii="Noto Sans" w:eastAsia="Times New Roman" w:hAnsi="Noto Sans" w:cs="Noto Sans"/>
                <w:sz w:val="20"/>
                <w:szCs w:val="20"/>
                <w:lang w:val="es-ES"/>
              </w:rPr>
              <w:t>N/A</w:t>
            </w:r>
          </w:p>
        </w:tc>
        <w:tc>
          <w:tcPr>
            <w:tcW w:w="1779" w:type="dxa"/>
            <w:tcBorders>
              <w:top w:val="single" w:sz="4" w:space="0" w:color="auto"/>
              <w:left w:val="single" w:sz="4" w:space="0" w:color="auto"/>
              <w:bottom w:val="single" w:sz="4" w:space="0" w:color="auto"/>
              <w:right w:val="single" w:sz="4" w:space="0" w:color="auto"/>
            </w:tcBorders>
          </w:tcPr>
          <w:p w14:paraId="439F876B" w14:textId="6F9733BA" w:rsidR="000B209C" w:rsidRDefault="002B0B03" w:rsidP="005E7221">
            <w:pPr>
              <w:ind w:left="284" w:hanging="284"/>
              <w:jc w:val="center"/>
              <w:rPr>
                <w:rFonts w:ascii="Noto Sans" w:eastAsia="Times New Roman" w:hAnsi="Noto Sans" w:cs="Noto Sans"/>
                <w:sz w:val="20"/>
                <w:szCs w:val="20"/>
                <w:lang w:val="es-ES"/>
              </w:rPr>
            </w:pPr>
            <w:r>
              <w:rPr>
                <w:rFonts w:ascii="Noto Sans" w:eastAsia="Times New Roman" w:hAnsi="Noto Sans" w:cs="Noto Sans"/>
                <w:sz w:val="20"/>
                <w:szCs w:val="20"/>
                <w:lang w:val="es-ES"/>
              </w:rPr>
              <w:t>N/A</w:t>
            </w:r>
          </w:p>
        </w:tc>
      </w:tr>
      <w:tr w:rsidR="000B209C" w:rsidRPr="005D5079" w14:paraId="13C485DC" w14:textId="0A322E25" w:rsidTr="00CB7695">
        <w:tc>
          <w:tcPr>
            <w:tcW w:w="3476" w:type="dxa"/>
            <w:tcBorders>
              <w:top w:val="single" w:sz="4" w:space="0" w:color="auto"/>
              <w:left w:val="single" w:sz="4" w:space="0" w:color="auto"/>
              <w:bottom w:val="single" w:sz="4" w:space="0" w:color="auto"/>
              <w:right w:val="single" w:sz="4" w:space="0" w:color="auto"/>
            </w:tcBorders>
            <w:hideMark/>
          </w:tcPr>
          <w:p w14:paraId="38EE16C6" w14:textId="77777777" w:rsidR="000B209C" w:rsidRPr="005D5079" w:rsidRDefault="000B209C" w:rsidP="005E7221">
            <w:pPr>
              <w:ind w:left="284" w:hanging="284"/>
              <w:jc w:val="both"/>
              <w:rPr>
                <w:rFonts w:ascii="Noto Sans" w:eastAsia="Times New Roman" w:hAnsi="Noto Sans" w:cs="Noto Sans"/>
                <w:b/>
                <w:bCs/>
                <w:sz w:val="20"/>
                <w:szCs w:val="20"/>
                <w:lang w:val="es-ES"/>
              </w:rPr>
            </w:pPr>
            <w:r w:rsidRPr="005D5079">
              <w:rPr>
                <w:rFonts w:ascii="Noto Sans" w:eastAsia="Times New Roman" w:hAnsi="Noto Sans" w:cs="Noto Sans"/>
                <w:b/>
                <w:bCs/>
                <w:sz w:val="20"/>
                <w:szCs w:val="20"/>
                <w:lang w:val="es-ES"/>
              </w:rPr>
              <w:t>TOTAL</w:t>
            </w:r>
          </w:p>
        </w:tc>
        <w:tc>
          <w:tcPr>
            <w:tcW w:w="1799" w:type="dxa"/>
            <w:tcBorders>
              <w:top w:val="single" w:sz="4" w:space="0" w:color="auto"/>
              <w:left w:val="single" w:sz="4" w:space="0" w:color="auto"/>
              <w:bottom w:val="single" w:sz="4" w:space="0" w:color="auto"/>
              <w:right w:val="single" w:sz="4" w:space="0" w:color="auto"/>
            </w:tcBorders>
            <w:hideMark/>
          </w:tcPr>
          <w:p w14:paraId="20EC8977" w14:textId="369DB2BA" w:rsidR="000B209C" w:rsidRPr="005D5079" w:rsidRDefault="000B209C" w:rsidP="005E7221">
            <w:pPr>
              <w:ind w:left="284" w:hanging="284"/>
              <w:jc w:val="center"/>
              <w:rPr>
                <w:rFonts w:ascii="Noto Sans" w:eastAsia="Times New Roman" w:hAnsi="Noto Sans" w:cs="Noto Sans"/>
                <w:b/>
                <w:bCs/>
                <w:sz w:val="20"/>
                <w:szCs w:val="20"/>
                <w:lang w:val="es-ES"/>
              </w:rPr>
            </w:pPr>
            <w:r>
              <w:rPr>
                <w:rFonts w:ascii="Noto Sans" w:eastAsia="Times New Roman" w:hAnsi="Noto Sans" w:cs="Noto Sans"/>
                <w:b/>
                <w:bCs/>
                <w:sz w:val="20"/>
                <w:szCs w:val="20"/>
                <w:lang w:val="es-ES"/>
              </w:rPr>
              <w:t>7</w:t>
            </w:r>
          </w:p>
        </w:tc>
        <w:tc>
          <w:tcPr>
            <w:tcW w:w="1779" w:type="dxa"/>
            <w:tcBorders>
              <w:top w:val="single" w:sz="4" w:space="0" w:color="auto"/>
              <w:left w:val="single" w:sz="4" w:space="0" w:color="auto"/>
              <w:bottom w:val="single" w:sz="4" w:space="0" w:color="auto"/>
              <w:right w:val="single" w:sz="4" w:space="0" w:color="auto"/>
            </w:tcBorders>
          </w:tcPr>
          <w:p w14:paraId="597FE1B5" w14:textId="77777777" w:rsidR="000B209C" w:rsidRDefault="000B209C" w:rsidP="005E7221">
            <w:pPr>
              <w:ind w:left="284" w:hanging="284"/>
              <w:jc w:val="center"/>
              <w:rPr>
                <w:rFonts w:ascii="Noto Sans" w:eastAsia="Times New Roman" w:hAnsi="Noto Sans" w:cs="Noto Sans"/>
                <w:b/>
                <w:bCs/>
                <w:sz w:val="20"/>
                <w:szCs w:val="20"/>
                <w:lang w:val="es-ES"/>
              </w:rPr>
            </w:pPr>
          </w:p>
        </w:tc>
        <w:tc>
          <w:tcPr>
            <w:tcW w:w="1779" w:type="dxa"/>
            <w:tcBorders>
              <w:top w:val="single" w:sz="4" w:space="0" w:color="auto"/>
              <w:left w:val="single" w:sz="4" w:space="0" w:color="auto"/>
              <w:bottom w:val="single" w:sz="4" w:space="0" w:color="auto"/>
              <w:right w:val="single" w:sz="4" w:space="0" w:color="auto"/>
            </w:tcBorders>
          </w:tcPr>
          <w:p w14:paraId="4220EA21" w14:textId="77777777" w:rsidR="000B209C" w:rsidRDefault="000B209C" w:rsidP="005E7221">
            <w:pPr>
              <w:ind w:left="284" w:hanging="284"/>
              <w:jc w:val="center"/>
              <w:rPr>
                <w:rFonts w:ascii="Noto Sans" w:eastAsia="Times New Roman" w:hAnsi="Noto Sans" w:cs="Noto Sans"/>
                <w:b/>
                <w:bCs/>
                <w:sz w:val="20"/>
                <w:szCs w:val="20"/>
                <w:lang w:val="es-ES"/>
              </w:rPr>
            </w:pPr>
          </w:p>
        </w:tc>
      </w:tr>
    </w:tbl>
    <w:p w14:paraId="27747B3F" w14:textId="77777777" w:rsidR="00F46476" w:rsidRPr="004548C6" w:rsidRDefault="00F46476" w:rsidP="008C75FC">
      <w:pPr>
        <w:spacing w:after="0" w:line="240" w:lineRule="auto"/>
        <w:jc w:val="both"/>
        <w:rPr>
          <w:rFonts w:ascii="Noto Sans" w:eastAsia="Times New Roman" w:hAnsi="Noto Sans" w:cs="Noto Sans"/>
          <w:kern w:val="0"/>
          <w:lang w:val="es-ES"/>
          <w14:ligatures w14:val="none"/>
        </w:rPr>
      </w:pPr>
    </w:p>
    <w:p w14:paraId="4FCE9600" w14:textId="6D2EA194" w:rsidR="00396AE5" w:rsidRDefault="000B4E94" w:rsidP="00267EB9">
      <w:pPr>
        <w:spacing w:after="0" w:line="240" w:lineRule="auto"/>
        <w:jc w:val="both"/>
        <w:rPr>
          <w:rFonts w:ascii="Noto Sans" w:eastAsia="Times New Roman" w:hAnsi="Noto Sans" w:cs="Noto Sans"/>
          <w:kern w:val="0"/>
          <w:lang w:val="es-ES"/>
          <w14:ligatures w14:val="none"/>
        </w:rPr>
      </w:pPr>
      <w:r>
        <w:rPr>
          <w:rFonts w:ascii="Noto Sans" w:eastAsia="Times New Roman" w:hAnsi="Noto Sans" w:cs="Noto Sans"/>
          <w:kern w:val="0"/>
          <w:lang w:val="es-ES"/>
          <w14:ligatures w14:val="none"/>
        </w:rPr>
        <w:t xml:space="preserve">De los siete Acuerdos vigentes en el periodo, </w:t>
      </w:r>
      <w:r w:rsidR="00CB7695">
        <w:rPr>
          <w:rFonts w:ascii="Noto Sans" w:eastAsia="Times New Roman" w:hAnsi="Noto Sans" w:cs="Noto Sans"/>
          <w:kern w:val="0"/>
          <w:lang w:val="es-ES"/>
          <w14:ligatures w14:val="none"/>
        </w:rPr>
        <w:t>4</w:t>
      </w:r>
      <w:r w:rsidR="00734150">
        <w:rPr>
          <w:rFonts w:ascii="Noto Sans" w:eastAsia="Times New Roman" w:hAnsi="Noto Sans" w:cs="Noto Sans"/>
          <w:kern w:val="0"/>
          <w:lang w:val="es-ES"/>
          <w14:ligatures w14:val="none"/>
        </w:rPr>
        <w:t xml:space="preserve"> se </w:t>
      </w:r>
      <w:r w:rsidR="008F52DF">
        <w:rPr>
          <w:rFonts w:ascii="Noto Sans" w:eastAsia="Times New Roman" w:hAnsi="Noto Sans" w:cs="Noto Sans"/>
          <w:kern w:val="0"/>
          <w:lang w:val="es-ES"/>
          <w14:ligatures w14:val="none"/>
        </w:rPr>
        <w:t>han</w:t>
      </w:r>
      <w:r w:rsidR="00734150">
        <w:rPr>
          <w:rFonts w:ascii="Noto Sans" w:eastAsia="Times New Roman" w:hAnsi="Noto Sans" w:cs="Noto Sans"/>
          <w:kern w:val="0"/>
          <w:lang w:val="es-ES"/>
          <w14:ligatures w14:val="none"/>
        </w:rPr>
        <w:t xml:space="preserve"> cumplido</w:t>
      </w:r>
      <w:r w:rsidR="003D7132">
        <w:rPr>
          <w:rFonts w:ascii="Noto Sans" w:eastAsia="Times New Roman" w:hAnsi="Noto Sans" w:cs="Noto Sans"/>
          <w:kern w:val="0"/>
          <w:lang w:val="es-ES"/>
          <w14:ligatures w14:val="none"/>
        </w:rPr>
        <w:t xml:space="preserve"> con 100% de avances</w:t>
      </w:r>
      <w:r w:rsidR="00734150">
        <w:rPr>
          <w:rFonts w:ascii="Noto Sans" w:eastAsia="Times New Roman" w:hAnsi="Noto Sans" w:cs="Noto Sans"/>
          <w:kern w:val="0"/>
          <w:lang w:val="es-ES"/>
          <w14:ligatures w14:val="none"/>
        </w:rPr>
        <w:t xml:space="preserve">. </w:t>
      </w:r>
    </w:p>
    <w:p w14:paraId="17242CD4" w14:textId="77777777" w:rsidR="00A522E6" w:rsidRDefault="00A522E6" w:rsidP="00267EB9">
      <w:pPr>
        <w:spacing w:after="0" w:line="240" w:lineRule="auto"/>
        <w:jc w:val="both"/>
        <w:rPr>
          <w:rFonts w:ascii="Noto Sans" w:eastAsia="Times New Roman" w:hAnsi="Noto Sans" w:cs="Noto Sans"/>
          <w:kern w:val="0"/>
          <w:lang w:val="es-ES"/>
          <w14:ligatures w14:val="none"/>
        </w:rPr>
      </w:pPr>
    </w:p>
    <w:p w14:paraId="4EDEEBFA" w14:textId="15A8879B" w:rsidR="00A522E6" w:rsidRDefault="00544818" w:rsidP="00267EB9">
      <w:pPr>
        <w:spacing w:after="0" w:line="240" w:lineRule="auto"/>
        <w:jc w:val="both"/>
        <w:rPr>
          <w:rFonts w:ascii="Noto Sans" w:eastAsia="Times New Roman" w:hAnsi="Noto Sans" w:cs="Noto Sans"/>
          <w:kern w:val="0"/>
          <w:lang w:val="es-ES"/>
          <w14:ligatures w14:val="none"/>
        </w:rPr>
      </w:pPr>
      <w:r>
        <w:rPr>
          <w:rFonts w:ascii="Noto Sans" w:eastAsia="Times New Roman" w:hAnsi="Noto Sans" w:cs="Noto Sans"/>
          <w:kern w:val="0"/>
          <w:lang w:val="es-ES"/>
          <w14:ligatures w14:val="none"/>
        </w:rPr>
        <w:t>En particular se</w:t>
      </w:r>
      <w:r w:rsidR="003045AA">
        <w:rPr>
          <w:rFonts w:ascii="Noto Sans" w:eastAsia="Times New Roman" w:hAnsi="Noto Sans" w:cs="Noto Sans"/>
          <w:kern w:val="0"/>
          <w:lang w:val="es-ES"/>
          <w14:ligatures w14:val="none"/>
        </w:rPr>
        <w:t xml:space="preserve"> </w:t>
      </w:r>
      <w:r w:rsidR="003223D5">
        <w:rPr>
          <w:rFonts w:ascii="Noto Sans" w:eastAsia="Times New Roman" w:hAnsi="Noto Sans" w:cs="Noto Sans"/>
          <w:kern w:val="0"/>
          <w:lang w:val="es-ES"/>
          <w14:ligatures w14:val="none"/>
        </w:rPr>
        <w:t xml:space="preserve">presenta a continuación </w:t>
      </w:r>
      <w:r w:rsidR="00267EB9">
        <w:rPr>
          <w:rFonts w:ascii="Noto Sans" w:eastAsia="Times New Roman" w:hAnsi="Noto Sans" w:cs="Noto Sans"/>
          <w:kern w:val="0"/>
          <w:lang w:val="es-ES"/>
          <w14:ligatures w14:val="none"/>
        </w:rPr>
        <w:t>un</w:t>
      </w:r>
      <w:r w:rsidR="00A522E6">
        <w:rPr>
          <w:rFonts w:ascii="Noto Sans" w:eastAsia="Times New Roman" w:hAnsi="Noto Sans" w:cs="Noto Sans"/>
          <w:kern w:val="0"/>
          <w:lang w:val="es-ES"/>
          <w14:ligatures w14:val="none"/>
        </w:rPr>
        <w:t xml:space="preserve"> análisis</w:t>
      </w:r>
      <w:r w:rsidR="00267EB9">
        <w:rPr>
          <w:rFonts w:ascii="Noto Sans" w:eastAsia="Times New Roman" w:hAnsi="Noto Sans" w:cs="Noto Sans"/>
          <w:kern w:val="0"/>
          <w:lang w:val="es-ES"/>
          <w14:ligatures w14:val="none"/>
        </w:rPr>
        <w:t xml:space="preserve"> más detallado d</w:t>
      </w:r>
      <w:r w:rsidR="003045AA">
        <w:rPr>
          <w:rFonts w:ascii="Noto Sans" w:eastAsia="Times New Roman" w:hAnsi="Noto Sans" w:cs="Noto Sans"/>
          <w:kern w:val="0"/>
          <w:lang w:val="es-ES"/>
          <w14:ligatures w14:val="none"/>
        </w:rPr>
        <w:t>e</w:t>
      </w:r>
      <w:r w:rsidR="00267EB9">
        <w:rPr>
          <w:rFonts w:ascii="Noto Sans" w:eastAsia="Times New Roman" w:hAnsi="Noto Sans" w:cs="Noto Sans"/>
          <w:kern w:val="0"/>
          <w:lang w:val="es-ES"/>
          <w14:ligatures w14:val="none"/>
        </w:rPr>
        <w:t xml:space="preserve"> </w:t>
      </w:r>
      <w:r w:rsidR="003045AA">
        <w:rPr>
          <w:rFonts w:ascii="Noto Sans" w:eastAsia="Times New Roman" w:hAnsi="Noto Sans" w:cs="Noto Sans"/>
          <w:kern w:val="0"/>
          <w:lang w:val="es-ES"/>
          <w14:ligatures w14:val="none"/>
        </w:rPr>
        <w:t>l</w:t>
      </w:r>
      <w:r w:rsidR="00267EB9">
        <w:rPr>
          <w:rFonts w:ascii="Noto Sans" w:eastAsia="Times New Roman" w:hAnsi="Noto Sans" w:cs="Noto Sans"/>
          <w:kern w:val="0"/>
          <w:lang w:val="es-ES"/>
          <w14:ligatures w14:val="none"/>
        </w:rPr>
        <w:t xml:space="preserve">a recomendación </w:t>
      </w:r>
      <w:r w:rsidR="007C1E73">
        <w:rPr>
          <w:rFonts w:ascii="Noto Sans" w:eastAsia="Times New Roman" w:hAnsi="Noto Sans" w:cs="Noto Sans"/>
          <w:kern w:val="0"/>
          <w:lang w:val="es-ES"/>
          <w14:ligatures w14:val="none"/>
        </w:rPr>
        <w:t xml:space="preserve">01 </w:t>
      </w:r>
      <w:r w:rsidR="00267EB9">
        <w:rPr>
          <w:rFonts w:ascii="Noto Sans" w:eastAsia="Times New Roman" w:hAnsi="Noto Sans" w:cs="Noto Sans"/>
          <w:kern w:val="0"/>
          <w:lang w:val="es-ES"/>
          <w14:ligatures w14:val="none"/>
        </w:rPr>
        <w:t>realizada por la SABG en la segunda sesión ordinaria 2025</w:t>
      </w:r>
      <w:r w:rsidR="00A522E6">
        <w:rPr>
          <w:rFonts w:ascii="Noto Sans" w:eastAsia="Times New Roman" w:hAnsi="Noto Sans" w:cs="Noto Sans"/>
          <w:kern w:val="0"/>
          <w:lang w:val="es-ES"/>
          <w14:ligatures w14:val="none"/>
        </w:rPr>
        <w:t>.</w:t>
      </w:r>
      <w:r w:rsidR="003045AA">
        <w:rPr>
          <w:rFonts w:ascii="Noto Sans" w:eastAsia="Times New Roman" w:hAnsi="Noto Sans" w:cs="Noto Sans"/>
          <w:kern w:val="0"/>
          <w:lang w:val="es-ES"/>
          <w14:ligatures w14:val="none"/>
        </w:rPr>
        <w:t xml:space="preserve"> </w:t>
      </w:r>
    </w:p>
    <w:p w14:paraId="4AE98B85" w14:textId="77777777" w:rsidR="00A522E6" w:rsidRDefault="00A522E6" w:rsidP="00267EB9">
      <w:pPr>
        <w:spacing w:after="0" w:line="240" w:lineRule="auto"/>
        <w:jc w:val="both"/>
        <w:rPr>
          <w:rFonts w:ascii="Noto Sans" w:eastAsia="Times New Roman" w:hAnsi="Noto Sans" w:cs="Noto Sans"/>
          <w:kern w:val="0"/>
          <w:lang w:val="es-ES"/>
          <w14:ligatures w14:val="none"/>
        </w:rPr>
      </w:pPr>
    </w:p>
    <w:tbl>
      <w:tblPr>
        <w:tblStyle w:val="Tablaconcuadrcula"/>
        <w:tblW w:w="0" w:type="auto"/>
        <w:tblInd w:w="0" w:type="dxa"/>
        <w:tblLook w:val="04A0" w:firstRow="1" w:lastRow="0" w:firstColumn="1" w:lastColumn="0" w:noHBand="0" w:noVBand="1"/>
      </w:tblPr>
      <w:tblGrid>
        <w:gridCol w:w="8828"/>
      </w:tblGrid>
      <w:tr w:rsidR="00A522E6" w:rsidRPr="004E0B97" w14:paraId="5F99EF30" w14:textId="77777777" w:rsidTr="00A522E6">
        <w:tc>
          <w:tcPr>
            <w:tcW w:w="8828" w:type="dxa"/>
          </w:tcPr>
          <w:p w14:paraId="1209EBFC" w14:textId="57824BB6" w:rsidR="00A522E6" w:rsidRPr="004E0B97" w:rsidRDefault="00A522E6" w:rsidP="00A522E6">
            <w:pPr>
              <w:jc w:val="both"/>
              <w:rPr>
                <w:rFonts w:ascii="Noto Sans" w:eastAsia="Times New Roman" w:hAnsi="Noto Sans" w:cs="Noto Sans"/>
                <w:b/>
                <w:bCs/>
                <w:sz w:val="20"/>
                <w:szCs w:val="20"/>
                <w:lang w:val="es-ES"/>
              </w:rPr>
            </w:pPr>
            <w:r w:rsidRPr="004E0B97">
              <w:rPr>
                <w:rFonts w:ascii="Noto Sans" w:eastAsia="Times New Roman" w:hAnsi="Noto Sans" w:cs="Noto Sans"/>
                <w:b/>
                <w:bCs/>
                <w:sz w:val="20"/>
                <w:szCs w:val="20"/>
                <w:lang w:val="es-ES"/>
              </w:rPr>
              <w:t>R</w:t>
            </w:r>
            <w:r w:rsidR="004E0B97" w:rsidRPr="004E0B97">
              <w:rPr>
                <w:rFonts w:ascii="Noto Sans" w:eastAsia="Times New Roman" w:hAnsi="Noto Sans" w:cs="Noto Sans"/>
                <w:b/>
                <w:bCs/>
                <w:sz w:val="20"/>
                <w:szCs w:val="20"/>
                <w:lang w:val="es-ES"/>
              </w:rPr>
              <w:t>ecomendación</w:t>
            </w:r>
            <w:r w:rsidRPr="004E0B97">
              <w:rPr>
                <w:rFonts w:ascii="Noto Sans" w:eastAsia="Times New Roman" w:hAnsi="Noto Sans" w:cs="Noto Sans"/>
                <w:b/>
                <w:bCs/>
                <w:sz w:val="20"/>
                <w:szCs w:val="20"/>
                <w:lang w:val="es-ES"/>
              </w:rPr>
              <w:t xml:space="preserve"> </w:t>
            </w:r>
            <w:r w:rsidR="008C75FC">
              <w:rPr>
                <w:rFonts w:ascii="Noto Sans" w:eastAsia="Times New Roman" w:hAnsi="Noto Sans" w:cs="Noto Sans"/>
                <w:b/>
                <w:bCs/>
                <w:sz w:val="20"/>
                <w:szCs w:val="20"/>
                <w:lang w:val="es-ES"/>
              </w:rPr>
              <w:t xml:space="preserve">01 </w:t>
            </w:r>
            <w:r w:rsidRPr="004E0B97">
              <w:rPr>
                <w:rFonts w:ascii="Noto Sans" w:eastAsia="Times New Roman" w:hAnsi="Noto Sans" w:cs="Noto Sans"/>
                <w:b/>
                <w:bCs/>
                <w:sz w:val="20"/>
                <w:szCs w:val="20"/>
                <w:lang w:val="es-ES"/>
              </w:rPr>
              <w:t>SABG</w:t>
            </w:r>
          </w:p>
          <w:p w14:paraId="21AEED41" w14:textId="77777777" w:rsidR="00A522E6" w:rsidRPr="004E0B97" w:rsidRDefault="00A522E6" w:rsidP="00A522E6">
            <w:pPr>
              <w:jc w:val="both"/>
              <w:rPr>
                <w:rFonts w:ascii="Noto Sans" w:eastAsia="Times New Roman" w:hAnsi="Noto Sans" w:cs="Noto Sans"/>
                <w:sz w:val="20"/>
                <w:szCs w:val="20"/>
                <w:lang w:val="es-ES"/>
              </w:rPr>
            </w:pPr>
            <w:r w:rsidRPr="004E0B97">
              <w:rPr>
                <w:rFonts w:ascii="Noto Sans" w:eastAsia="Times New Roman" w:hAnsi="Noto Sans" w:cs="Noto Sans"/>
                <w:sz w:val="20"/>
                <w:szCs w:val="20"/>
                <w:lang w:val="es-ES"/>
              </w:rPr>
              <w:t>Respecto al Programa Institucional se advierte que las metas para el bienestar de los objetivos prioritarios 1, 4 y 5 ya rebasaron la meta establecida para el ejercicio 2025; mismo caso en 5 indicadores de la MIR, motivo por el cual se solicita a ECOSUR rinda informe con las justificaciones de dichos alcances. En el caso del indicador de componente "Tasa de variación de Actividades de divulgación y difusión de la ciencia" justificar porque no se estableció la meta.</w:t>
            </w:r>
          </w:p>
          <w:p w14:paraId="2BAE8B38" w14:textId="77777777" w:rsidR="00A522E6" w:rsidRPr="004E0B97" w:rsidRDefault="004E0B97" w:rsidP="00267EB9">
            <w:pPr>
              <w:jc w:val="both"/>
              <w:rPr>
                <w:rFonts w:ascii="Noto Sans" w:eastAsia="Times New Roman" w:hAnsi="Noto Sans" w:cs="Noto Sans"/>
                <w:b/>
                <w:bCs/>
                <w:sz w:val="20"/>
                <w:szCs w:val="20"/>
                <w:lang w:val="es-ES"/>
              </w:rPr>
            </w:pPr>
            <w:r w:rsidRPr="004E0B97">
              <w:rPr>
                <w:rFonts w:ascii="Noto Sans" w:eastAsia="Times New Roman" w:hAnsi="Noto Sans" w:cs="Noto Sans"/>
                <w:b/>
                <w:bCs/>
                <w:sz w:val="20"/>
                <w:szCs w:val="20"/>
                <w:lang w:val="es-ES"/>
              </w:rPr>
              <w:t>Respuesta</w:t>
            </w:r>
          </w:p>
          <w:p w14:paraId="59B8ADC4" w14:textId="36FB46F2" w:rsidR="004E0B97" w:rsidRPr="004E0B97" w:rsidRDefault="003838FE" w:rsidP="004E0B97">
            <w:pPr>
              <w:jc w:val="both"/>
              <w:rPr>
                <w:rFonts w:ascii="Noto Sans" w:eastAsia="Times New Roman" w:hAnsi="Noto Sans" w:cs="Noto Sans"/>
                <w:sz w:val="20"/>
                <w:szCs w:val="20"/>
                <w:lang w:val="es-ES"/>
              </w:rPr>
            </w:pPr>
            <w:r>
              <w:rPr>
                <w:rFonts w:ascii="Noto Sans" w:eastAsia="Times New Roman" w:hAnsi="Noto Sans" w:cs="Noto Sans"/>
                <w:sz w:val="20"/>
                <w:szCs w:val="20"/>
                <w:lang w:val="es-ES"/>
              </w:rPr>
              <w:t>L</w:t>
            </w:r>
            <w:r w:rsidR="004E0B97" w:rsidRPr="004E0B97">
              <w:rPr>
                <w:rFonts w:ascii="Noto Sans" w:eastAsia="Times New Roman" w:hAnsi="Noto Sans" w:cs="Noto Sans"/>
                <w:sz w:val="20"/>
                <w:szCs w:val="20"/>
                <w:lang w:val="es-ES"/>
              </w:rPr>
              <w:t xml:space="preserve">as metas de los indicadores </w:t>
            </w:r>
            <w:r>
              <w:rPr>
                <w:rFonts w:ascii="Noto Sans" w:eastAsia="Times New Roman" w:hAnsi="Noto Sans" w:cs="Noto Sans"/>
                <w:sz w:val="20"/>
                <w:szCs w:val="20"/>
                <w:lang w:val="es-ES"/>
              </w:rPr>
              <w:t>d</w:t>
            </w:r>
            <w:r w:rsidR="004E0B97" w:rsidRPr="004E0B97">
              <w:rPr>
                <w:rFonts w:ascii="Noto Sans" w:eastAsia="Times New Roman" w:hAnsi="Noto Sans" w:cs="Noto Sans"/>
                <w:sz w:val="20"/>
                <w:szCs w:val="20"/>
                <w:lang w:val="es-ES"/>
              </w:rPr>
              <w:t xml:space="preserve">el Programa Institucional y </w:t>
            </w:r>
            <w:r>
              <w:rPr>
                <w:rFonts w:ascii="Noto Sans" w:eastAsia="Times New Roman" w:hAnsi="Noto Sans" w:cs="Noto Sans"/>
                <w:sz w:val="20"/>
                <w:szCs w:val="20"/>
                <w:lang w:val="es-ES"/>
              </w:rPr>
              <w:t>d</w:t>
            </w:r>
            <w:r w:rsidR="004E0B97" w:rsidRPr="004E0B97">
              <w:rPr>
                <w:rFonts w:ascii="Noto Sans" w:eastAsia="Times New Roman" w:hAnsi="Noto Sans" w:cs="Noto Sans"/>
                <w:sz w:val="20"/>
                <w:szCs w:val="20"/>
                <w:lang w:val="es-ES"/>
              </w:rPr>
              <w:t>el PP E003 fueron programadas bajo una frecuencia de medición anual. Debido a la naturaleza metodológica de ciertos indicadores, particularmente aquellos de tipo proporcional, es común observar variaciones en los informes parciales que sugieren alcances superiores a lo proyectado</w:t>
            </w:r>
            <w:r w:rsidR="00DE3777">
              <w:rPr>
                <w:rFonts w:ascii="Noto Sans" w:eastAsia="Times New Roman" w:hAnsi="Noto Sans" w:cs="Noto Sans"/>
                <w:sz w:val="20"/>
                <w:szCs w:val="20"/>
                <w:lang w:val="es-ES"/>
              </w:rPr>
              <w:t>. S</w:t>
            </w:r>
            <w:r w:rsidR="004E0B97" w:rsidRPr="004E0B97">
              <w:rPr>
                <w:rFonts w:ascii="Noto Sans" w:eastAsia="Times New Roman" w:hAnsi="Noto Sans" w:cs="Noto Sans"/>
                <w:sz w:val="20"/>
                <w:szCs w:val="20"/>
                <w:lang w:val="es-ES"/>
              </w:rPr>
              <w:t>in embargo, estos valores deben interpretarse como avances temporales, ya que el cumplimiento definitivo se consolida al cierre del ejercicio, donde el acumulado anual tiende a estabilizarse conforme a la planeación estratégica. Con estas reservas, se procede a dar las explicaciones correspondientes:</w:t>
            </w:r>
          </w:p>
          <w:p w14:paraId="1CEF193D" w14:textId="2C4793CF" w:rsidR="004E0B97" w:rsidRPr="00DE3777" w:rsidRDefault="00DE3777" w:rsidP="004E0B97">
            <w:pPr>
              <w:jc w:val="both"/>
              <w:rPr>
                <w:rFonts w:ascii="Noto Sans" w:eastAsia="Times New Roman" w:hAnsi="Noto Sans" w:cs="Noto Sans"/>
                <w:b/>
                <w:bCs/>
                <w:sz w:val="20"/>
                <w:szCs w:val="20"/>
                <w:lang w:val="es-ES"/>
              </w:rPr>
            </w:pPr>
            <w:r w:rsidRPr="00DE3777">
              <w:rPr>
                <w:rFonts w:ascii="Noto Sans" w:eastAsia="Times New Roman" w:hAnsi="Noto Sans" w:cs="Noto Sans"/>
                <w:b/>
                <w:bCs/>
                <w:sz w:val="20"/>
                <w:szCs w:val="20"/>
                <w:lang w:val="es-ES"/>
              </w:rPr>
              <w:t>Metas del objetivo prioritario 1</w:t>
            </w:r>
          </w:p>
          <w:p w14:paraId="1BA7F541" w14:textId="77777777" w:rsidR="004E0B97" w:rsidRPr="004E0B97" w:rsidRDefault="004E0B97" w:rsidP="004E0B97">
            <w:pPr>
              <w:jc w:val="both"/>
              <w:rPr>
                <w:rFonts w:ascii="Noto Sans" w:eastAsia="Times New Roman" w:hAnsi="Noto Sans" w:cs="Noto Sans"/>
                <w:sz w:val="20"/>
                <w:szCs w:val="20"/>
                <w:lang w:val="es-ES"/>
              </w:rPr>
            </w:pPr>
            <w:r w:rsidRPr="004E0B97">
              <w:rPr>
                <w:rFonts w:ascii="Noto Sans" w:eastAsia="Times New Roman" w:hAnsi="Noto Sans" w:cs="Noto Sans"/>
                <w:sz w:val="20"/>
                <w:szCs w:val="20"/>
                <w:lang w:val="es-ES"/>
              </w:rPr>
              <w:t xml:space="preserve">Indicador: Proporción de proyectos de investigación multi, inter y transdisciplinarios. Meta 2025: 39%. Alcanzado enero-junio: 60.7%. El avance semestral es reflejo de una transformación acelerada en la cultura científica de ECOSUR. Esta evolución responde a las crecientes demandas de los organismos financiadores, los cuales priorizan la concurrencia de diversas disciplinas para abordar problemas complejos. Al superar la meta de transdisciplina, el Colegio trasciende las soluciones puramente técnicas para ofrecer propuestas integrales que incorporan los saberes y realidades territoriales, la viabilidad económica y la sostenibilidad biológica. Cabe destacar que este </w:t>
            </w:r>
            <w:proofErr w:type="spellStart"/>
            <w:r w:rsidRPr="004E0B97">
              <w:rPr>
                <w:rFonts w:ascii="Noto Sans" w:eastAsia="Times New Roman" w:hAnsi="Noto Sans" w:cs="Noto Sans"/>
                <w:sz w:val="20"/>
                <w:szCs w:val="20"/>
                <w:lang w:val="es-ES"/>
              </w:rPr>
              <w:t>sobredesempeño</w:t>
            </w:r>
            <w:proofErr w:type="spellEnd"/>
            <w:r w:rsidRPr="004E0B97">
              <w:rPr>
                <w:rFonts w:ascii="Noto Sans" w:eastAsia="Times New Roman" w:hAnsi="Noto Sans" w:cs="Noto Sans"/>
                <w:sz w:val="20"/>
                <w:szCs w:val="20"/>
                <w:lang w:val="es-ES"/>
              </w:rPr>
              <w:t xml:space="preserve"> ha generado un efecto positivo en cascada sobre otros indicadores estratégicos que se detallarán en las secciones subsecuentes.</w:t>
            </w:r>
          </w:p>
          <w:p w14:paraId="15788C04" w14:textId="6724A6E0" w:rsidR="004E0B97" w:rsidRPr="00DE3777" w:rsidRDefault="00DE3777" w:rsidP="004E0B97">
            <w:pPr>
              <w:jc w:val="both"/>
              <w:rPr>
                <w:rFonts w:ascii="Noto Sans" w:eastAsia="Times New Roman" w:hAnsi="Noto Sans" w:cs="Noto Sans"/>
                <w:b/>
                <w:bCs/>
                <w:sz w:val="20"/>
                <w:szCs w:val="20"/>
                <w:lang w:val="es-ES"/>
              </w:rPr>
            </w:pPr>
            <w:r w:rsidRPr="00DE3777">
              <w:rPr>
                <w:rFonts w:ascii="Noto Sans" w:eastAsia="Times New Roman" w:hAnsi="Noto Sans" w:cs="Noto Sans"/>
                <w:b/>
                <w:bCs/>
                <w:sz w:val="20"/>
                <w:szCs w:val="20"/>
                <w:lang w:val="es-ES"/>
              </w:rPr>
              <w:t>Metas del objetivo prioritario 2</w:t>
            </w:r>
          </w:p>
          <w:p w14:paraId="4CA04148" w14:textId="77777777" w:rsidR="004E0B97" w:rsidRPr="004E0B97" w:rsidRDefault="004E0B97" w:rsidP="004E0B97">
            <w:pPr>
              <w:jc w:val="both"/>
              <w:rPr>
                <w:rFonts w:ascii="Noto Sans" w:eastAsia="Times New Roman" w:hAnsi="Noto Sans" w:cs="Noto Sans"/>
                <w:sz w:val="20"/>
                <w:szCs w:val="20"/>
                <w:lang w:val="es-ES"/>
              </w:rPr>
            </w:pPr>
            <w:r w:rsidRPr="004E0B97">
              <w:rPr>
                <w:rFonts w:ascii="Noto Sans" w:eastAsia="Times New Roman" w:hAnsi="Noto Sans" w:cs="Noto Sans"/>
                <w:sz w:val="20"/>
                <w:szCs w:val="20"/>
                <w:lang w:val="es-ES"/>
              </w:rPr>
              <w:t xml:space="preserve">Indicador: Proporción de personas egresadas de la región Frontera Sur de México. Meta 2025: 35%. Alcanzado enero-junio: 57.4%. El resultado parcial se basa en el fortalecimiento </w:t>
            </w:r>
            <w:r w:rsidRPr="004E0B97">
              <w:rPr>
                <w:rFonts w:ascii="Noto Sans" w:eastAsia="Times New Roman" w:hAnsi="Noto Sans" w:cs="Noto Sans"/>
                <w:sz w:val="20"/>
                <w:szCs w:val="20"/>
                <w:lang w:val="es-ES"/>
              </w:rPr>
              <w:lastRenderedPageBreak/>
              <w:t>de los procesos que se orientan a la captación de personas candidatas con vinculación y arraigo en la región. El hecho de superar la meta programada de manera anticipada se traduce en una ventaja competitiva para la región porque garantiza que el talento humano especializado permanezca en su entorno de origen, impulsando la profesionalización y el fortalecimiento de las instituciones locales.</w:t>
            </w:r>
          </w:p>
          <w:p w14:paraId="3AF53A1A" w14:textId="73FB5EC7" w:rsidR="004E0B97" w:rsidRPr="00DE3777" w:rsidRDefault="00DE3777" w:rsidP="004E0B97">
            <w:pPr>
              <w:jc w:val="both"/>
              <w:rPr>
                <w:rFonts w:ascii="Noto Sans" w:eastAsia="Times New Roman" w:hAnsi="Noto Sans" w:cs="Noto Sans"/>
                <w:b/>
                <w:bCs/>
                <w:sz w:val="20"/>
                <w:szCs w:val="20"/>
                <w:lang w:val="es-ES"/>
              </w:rPr>
            </w:pPr>
            <w:r w:rsidRPr="00DE3777">
              <w:rPr>
                <w:rFonts w:ascii="Noto Sans" w:eastAsia="Times New Roman" w:hAnsi="Noto Sans" w:cs="Noto Sans"/>
                <w:b/>
                <w:bCs/>
                <w:sz w:val="20"/>
                <w:szCs w:val="20"/>
                <w:lang w:val="es-ES"/>
              </w:rPr>
              <w:t>Metas del objetivo prioritario 4</w:t>
            </w:r>
          </w:p>
          <w:p w14:paraId="6CC2D434" w14:textId="77777777" w:rsidR="004E0B97" w:rsidRPr="004E0B97" w:rsidRDefault="004E0B97" w:rsidP="004E0B97">
            <w:pPr>
              <w:jc w:val="both"/>
              <w:rPr>
                <w:rFonts w:ascii="Noto Sans" w:eastAsia="Times New Roman" w:hAnsi="Noto Sans" w:cs="Noto Sans"/>
                <w:sz w:val="20"/>
                <w:szCs w:val="20"/>
                <w:lang w:val="es-ES"/>
              </w:rPr>
            </w:pPr>
            <w:r w:rsidRPr="004E0B97">
              <w:rPr>
                <w:rFonts w:ascii="Noto Sans" w:eastAsia="Times New Roman" w:hAnsi="Noto Sans" w:cs="Noto Sans"/>
                <w:sz w:val="20"/>
                <w:szCs w:val="20"/>
                <w:lang w:val="es-ES"/>
              </w:rPr>
              <w:t>Indicador: Número de procesos de innovación ambiental. Meta 2025: 18. Alcanzado enero-junio: 27.</w:t>
            </w:r>
          </w:p>
          <w:p w14:paraId="0953CA27" w14:textId="77777777" w:rsidR="004E0B97" w:rsidRPr="004E0B97" w:rsidRDefault="004E0B97" w:rsidP="004E0B97">
            <w:pPr>
              <w:jc w:val="both"/>
              <w:rPr>
                <w:rFonts w:ascii="Noto Sans" w:eastAsia="Times New Roman" w:hAnsi="Noto Sans" w:cs="Noto Sans"/>
                <w:sz w:val="20"/>
                <w:szCs w:val="20"/>
                <w:lang w:val="es-ES"/>
              </w:rPr>
            </w:pPr>
            <w:r w:rsidRPr="004E0B97">
              <w:rPr>
                <w:rFonts w:ascii="Noto Sans" w:eastAsia="Times New Roman" w:hAnsi="Noto Sans" w:cs="Noto Sans"/>
                <w:sz w:val="20"/>
                <w:szCs w:val="20"/>
                <w:lang w:val="es-ES"/>
              </w:rPr>
              <w:t>Indicador: Número de colaboraciones de incidencia en políticas públicas. Meta 2025: 24. Alcanzado enero-junio: 47.</w:t>
            </w:r>
          </w:p>
          <w:p w14:paraId="6E7EE600" w14:textId="77777777" w:rsidR="004E0B97" w:rsidRPr="004E0B97" w:rsidRDefault="004E0B97" w:rsidP="004E0B97">
            <w:pPr>
              <w:jc w:val="both"/>
              <w:rPr>
                <w:rFonts w:ascii="Noto Sans" w:eastAsia="Times New Roman" w:hAnsi="Noto Sans" w:cs="Noto Sans"/>
                <w:sz w:val="20"/>
                <w:szCs w:val="20"/>
                <w:lang w:val="es-ES"/>
              </w:rPr>
            </w:pPr>
            <w:r w:rsidRPr="004E0B97">
              <w:rPr>
                <w:rFonts w:ascii="Noto Sans" w:eastAsia="Times New Roman" w:hAnsi="Noto Sans" w:cs="Noto Sans"/>
                <w:sz w:val="20"/>
                <w:szCs w:val="20"/>
                <w:lang w:val="es-ES"/>
              </w:rPr>
              <w:t>El sobrecumplimiento de ambas metas se origina en la metodología de planeación empleada en julio de 2024. Al ser indicadores de naturaleza acumulada, no fue posible prever con exactitud el cierre del ejercicio 2024, lo que resultó en una programación conservadora para 2025. Actualmente, la metodología se encuentra bajo revisión para alinear las proyecciones con la capacidad real de la institución. No obstante, se informa que, tras un seguimiento estrecho de esta actividad, al cierre del ejercicio 2025 los valores acumulados alcanzados fueron de 37 procesos de innovación socioambiental y 74 colaboraciones de incidencia en políticas públicas. El dinamismo institucional que dio origen a estos resultados se traduce en beneficios tangibles para la región, cada proceso de innovación socioambiental adicional dota a las comunidades de herramientas científicas para una gestión más eficiente y sostenible de sus recursos naturales, mientras que el incremento en la incidencia política aumenta la posibilidad de que un mayor número de leyes, reglamentos y programas gubernamentales cuenten con un sustento científico sólido, elevando la calidad de las políticas públicas en favor de la sociedad.</w:t>
            </w:r>
          </w:p>
          <w:p w14:paraId="154A71CF" w14:textId="77777777" w:rsidR="004E0B97" w:rsidRPr="004E0B97" w:rsidRDefault="004E0B97" w:rsidP="004E0B97">
            <w:pPr>
              <w:jc w:val="both"/>
              <w:rPr>
                <w:rFonts w:ascii="Noto Sans" w:eastAsia="Times New Roman" w:hAnsi="Noto Sans" w:cs="Noto Sans"/>
                <w:sz w:val="20"/>
                <w:szCs w:val="20"/>
                <w:lang w:val="es-ES"/>
              </w:rPr>
            </w:pPr>
            <w:r w:rsidRPr="004E0B97">
              <w:rPr>
                <w:rFonts w:ascii="Noto Sans" w:eastAsia="Times New Roman" w:hAnsi="Noto Sans" w:cs="Noto Sans"/>
                <w:sz w:val="20"/>
                <w:szCs w:val="20"/>
                <w:lang w:val="es-ES"/>
              </w:rPr>
              <w:t>Indicador: Proporción de colaboraciones interinstitucionales con actores de la región. Meta 2025: 25%. Alcanzado enero-junio: 53.8%. Al tener un alto porcentaje de proyectos transdisciplinarios (60.7%), los grupos de investigación requieren interactuar con diversos sectores (productivos, sociales y gubernamentales), lo que naturalmente eleva la tasa de colaboración regional. Un número mayor de colaboraciones con actores locales significa que más de ellos acceden a servicios de alta complejidad y asesoría científica que, de otra forma, estarían fuera de su alcance. Esto se vincula con el alto número de usuarios de servicios institucionales reportado en el objetivo prioritario 5 (312,111 personas).</w:t>
            </w:r>
          </w:p>
          <w:p w14:paraId="63FCC393" w14:textId="51C6B8FE" w:rsidR="004E0B97" w:rsidRPr="00980691" w:rsidRDefault="00980691" w:rsidP="004E0B97">
            <w:pPr>
              <w:jc w:val="both"/>
              <w:rPr>
                <w:rFonts w:ascii="Noto Sans" w:eastAsia="Times New Roman" w:hAnsi="Noto Sans" w:cs="Noto Sans"/>
                <w:b/>
                <w:bCs/>
                <w:sz w:val="20"/>
                <w:szCs w:val="20"/>
                <w:lang w:val="es-ES"/>
              </w:rPr>
            </w:pPr>
            <w:r w:rsidRPr="00980691">
              <w:rPr>
                <w:rFonts w:ascii="Noto Sans" w:eastAsia="Times New Roman" w:hAnsi="Noto Sans" w:cs="Noto Sans"/>
                <w:b/>
                <w:bCs/>
                <w:sz w:val="20"/>
                <w:szCs w:val="20"/>
                <w:lang w:val="es-ES"/>
              </w:rPr>
              <w:t>Metas del objetivo prioritario 5</w:t>
            </w:r>
          </w:p>
          <w:p w14:paraId="72E7D323" w14:textId="77777777" w:rsidR="004E0B97" w:rsidRPr="004E0B97" w:rsidRDefault="004E0B97" w:rsidP="004E0B97">
            <w:pPr>
              <w:jc w:val="both"/>
              <w:rPr>
                <w:rFonts w:ascii="Noto Sans" w:eastAsia="Times New Roman" w:hAnsi="Noto Sans" w:cs="Noto Sans"/>
                <w:sz w:val="20"/>
                <w:szCs w:val="20"/>
                <w:lang w:val="es-ES"/>
              </w:rPr>
            </w:pPr>
            <w:r w:rsidRPr="004E0B97">
              <w:rPr>
                <w:rFonts w:ascii="Noto Sans" w:eastAsia="Times New Roman" w:hAnsi="Noto Sans" w:cs="Noto Sans"/>
                <w:sz w:val="20"/>
                <w:szCs w:val="20"/>
                <w:lang w:val="es-ES"/>
              </w:rPr>
              <w:t>Indicador: Número de asistencias a la Semana de Intercambio Académico, Meta 2025: 3,920. Alcanzado enero-junio: 4,404. Un factor determinante de los resultados obtenidos ha sido la implementación de infraestructura tecnológica que permite la participación tanto presencial como virtual, eliminando barreras geográficas y económicas (costos de traslado y hospedaje) que anteriormente limitaban el aforo. Al recibir a más asistentes, ECOSUR cumple con su función de socializar la ciencia y genera más intercambios que suelen derivar en nuevas colaboraciones, proyectos y alianzas estratégicas.</w:t>
            </w:r>
          </w:p>
          <w:p w14:paraId="429BE5C4" w14:textId="15FEDE5F" w:rsidR="004E0B97" w:rsidRPr="00980691" w:rsidRDefault="00980691" w:rsidP="004E0B97">
            <w:pPr>
              <w:jc w:val="both"/>
              <w:rPr>
                <w:rFonts w:ascii="Noto Sans" w:eastAsia="Times New Roman" w:hAnsi="Noto Sans" w:cs="Noto Sans"/>
                <w:b/>
                <w:bCs/>
                <w:sz w:val="20"/>
                <w:szCs w:val="20"/>
                <w:lang w:val="es-ES"/>
              </w:rPr>
            </w:pPr>
            <w:r w:rsidRPr="00980691">
              <w:rPr>
                <w:rFonts w:ascii="Noto Sans" w:eastAsia="Times New Roman" w:hAnsi="Noto Sans" w:cs="Noto Sans"/>
                <w:b/>
                <w:bCs/>
                <w:sz w:val="20"/>
                <w:szCs w:val="20"/>
                <w:lang w:val="es-ES"/>
              </w:rPr>
              <w:t xml:space="preserve">Indicadores de la matriz </w:t>
            </w:r>
            <w:r>
              <w:rPr>
                <w:rFonts w:ascii="Noto Sans" w:eastAsia="Times New Roman" w:hAnsi="Noto Sans" w:cs="Noto Sans"/>
                <w:b/>
                <w:bCs/>
                <w:sz w:val="20"/>
                <w:szCs w:val="20"/>
                <w:lang w:val="es-ES"/>
              </w:rPr>
              <w:t>MIR</w:t>
            </w:r>
          </w:p>
          <w:p w14:paraId="71CA7A60" w14:textId="77777777" w:rsidR="004E0B97" w:rsidRPr="004E0B97" w:rsidRDefault="004E0B97" w:rsidP="004E0B97">
            <w:pPr>
              <w:jc w:val="both"/>
              <w:rPr>
                <w:rFonts w:ascii="Noto Sans" w:eastAsia="Times New Roman" w:hAnsi="Noto Sans" w:cs="Noto Sans"/>
                <w:sz w:val="20"/>
                <w:szCs w:val="20"/>
                <w:lang w:val="es-ES"/>
              </w:rPr>
            </w:pPr>
            <w:r w:rsidRPr="004E0B97">
              <w:rPr>
                <w:rFonts w:ascii="Noto Sans" w:eastAsia="Times New Roman" w:hAnsi="Noto Sans" w:cs="Noto Sans"/>
                <w:sz w:val="20"/>
                <w:szCs w:val="20"/>
                <w:lang w:val="es-ES"/>
              </w:rPr>
              <w:t>Indicador: Porcentaje de proyectos interinstitucionales generados. Meta 2025: 30.30%. Alcanzado enero-junio: 42.86%. Las explicaciones se dan en las metas del objetivo prioritario 1.</w:t>
            </w:r>
          </w:p>
          <w:p w14:paraId="7FC59D79" w14:textId="77777777" w:rsidR="004E0B97" w:rsidRPr="004E0B97" w:rsidRDefault="004E0B97" w:rsidP="004E0B97">
            <w:pPr>
              <w:jc w:val="both"/>
              <w:rPr>
                <w:rFonts w:ascii="Noto Sans" w:eastAsia="Times New Roman" w:hAnsi="Noto Sans" w:cs="Noto Sans"/>
                <w:sz w:val="20"/>
                <w:szCs w:val="20"/>
                <w:lang w:val="es-ES"/>
              </w:rPr>
            </w:pPr>
            <w:r w:rsidRPr="004E0B97">
              <w:rPr>
                <w:rFonts w:ascii="Noto Sans" w:eastAsia="Times New Roman" w:hAnsi="Noto Sans" w:cs="Noto Sans"/>
                <w:sz w:val="20"/>
                <w:szCs w:val="20"/>
                <w:lang w:val="es-ES"/>
              </w:rPr>
              <w:lastRenderedPageBreak/>
              <w:t>Indicador: Eficiencia terminal de alumnos por cohorte. Meta 2025: 51.72%. Alcanzado enero-junio: 63.44%. El resultado parcial responde a la consolidación de los procesos de acompañamiento académico y a la operación de los mecanismos internos de titulación por encima de la media proyectada para el año. Superar la meta de eficiencia terminal fortalece aún más la presencia de especialistas con grado académico en la región.</w:t>
            </w:r>
          </w:p>
          <w:p w14:paraId="5B371AAC" w14:textId="77777777" w:rsidR="004E0B97" w:rsidRPr="004E0B97" w:rsidRDefault="004E0B97" w:rsidP="004E0B97">
            <w:pPr>
              <w:jc w:val="both"/>
              <w:rPr>
                <w:rFonts w:ascii="Noto Sans" w:eastAsia="Times New Roman" w:hAnsi="Noto Sans" w:cs="Noto Sans"/>
                <w:sz w:val="20"/>
                <w:szCs w:val="20"/>
                <w:lang w:val="es-ES"/>
              </w:rPr>
            </w:pPr>
            <w:r w:rsidRPr="004E0B97">
              <w:rPr>
                <w:rFonts w:ascii="Noto Sans" w:eastAsia="Times New Roman" w:hAnsi="Noto Sans" w:cs="Noto Sans"/>
                <w:sz w:val="20"/>
                <w:szCs w:val="20"/>
                <w:lang w:val="es-ES"/>
              </w:rPr>
              <w:t>Indicador: Tasa de variación de solicitudes de ingreso. Meta 2025: -12.24. Alcanzado enero-junio: -7.76. Interpretado como avance: Meta 2025: 87.76%. Alcanzado enero-junio: 92.24%. El incremento en la demanda esperada es producto de las campañas de difusión y un aumento del interés en nuestros programas. Una mayor demanda de ingreso permite una selección más rigurosa de perfiles académicos, garantizando que quienes ingresen tengan un alto potencial de incidencia y éxito académico.</w:t>
            </w:r>
          </w:p>
          <w:p w14:paraId="7A45B767" w14:textId="4A552AFC" w:rsidR="00833A1A" w:rsidRPr="004E0B97" w:rsidRDefault="004E0B97" w:rsidP="007C1E73">
            <w:pPr>
              <w:ind w:right="-61"/>
              <w:jc w:val="both"/>
              <w:rPr>
                <w:rFonts w:ascii="Noto Sans" w:eastAsia="Times New Roman" w:hAnsi="Noto Sans" w:cs="Noto Sans"/>
                <w:sz w:val="20"/>
                <w:szCs w:val="20"/>
                <w:lang w:val="es-ES"/>
              </w:rPr>
            </w:pPr>
            <w:r w:rsidRPr="004E0B97">
              <w:rPr>
                <w:rFonts w:ascii="Noto Sans" w:eastAsia="Times New Roman" w:hAnsi="Noto Sans" w:cs="Noto Sans"/>
                <w:sz w:val="20"/>
                <w:szCs w:val="20"/>
                <w:lang w:val="es-ES"/>
              </w:rPr>
              <w:t>Respecto al indicador de componente "Tasa de variación de Actividades de divulgación y difusión de la ciencia", se aclara que sí hay una meta establecida y esta es una tasa de variación del 0.00, lo cual no indica una ausencia de actividad, sino un objetivo de mantenimiento o estabilidad. Matemáticamente, según el método de cálculo aplicado, una meta de 0.00 significa que la institución se propone realizar exactamente la misma cantidad de actividades que el año anterior (en este caso, 600 actividades).</w:t>
            </w:r>
          </w:p>
        </w:tc>
      </w:tr>
    </w:tbl>
    <w:p w14:paraId="48ED1592" w14:textId="77777777" w:rsidR="00A522E6" w:rsidRPr="004E0B97" w:rsidRDefault="00A522E6" w:rsidP="00267EB9">
      <w:pPr>
        <w:spacing w:after="0" w:line="240" w:lineRule="auto"/>
        <w:jc w:val="both"/>
        <w:rPr>
          <w:rFonts w:ascii="Noto Sans" w:eastAsia="Times New Roman" w:hAnsi="Noto Sans" w:cs="Noto Sans"/>
          <w:kern w:val="0"/>
          <w:sz w:val="20"/>
          <w:szCs w:val="20"/>
          <w:lang w:val="es-ES"/>
          <w14:ligatures w14:val="none"/>
        </w:rPr>
      </w:pPr>
    </w:p>
    <w:p w14:paraId="63C67327" w14:textId="18DB3730" w:rsidR="009B203C" w:rsidRPr="003D7132" w:rsidRDefault="009B203C" w:rsidP="005E7221">
      <w:pPr>
        <w:spacing w:after="0" w:line="240" w:lineRule="auto"/>
        <w:ind w:left="284" w:hanging="284"/>
        <w:jc w:val="both"/>
        <w:rPr>
          <w:rFonts w:ascii="Noto Sans" w:eastAsia="Times New Roman" w:hAnsi="Noto Sans" w:cs="Noto Sans"/>
          <w:kern w:val="0"/>
          <w:sz w:val="22"/>
          <w:szCs w:val="22"/>
          <w:lang w:val="es-ES"/>
          <w14:ligatures w14:val="none"/>
        </w:rPr>
      </w:pPr>
      <w:r w:rsidRPr="003D7132">
        <w:rPr>
          <w:rFonts w:ascii="Noto Sans" w:eastAsia="Times New Roman" w:hAnsi="Noto Sans" w:cs="Noto Sans"/>
          <w:kern w:val="0"/>
          <w:sz w:val="22"/>
          <w:szCs w:val="22"/>
          <w:lang w:val="es-ES"/>
          <w14:ligatures w14:val="none"/>
        </w:rPr>
        <w:t xml:space="preserve">Las </w:t>
      </w:r>
      <w:r w:rsidR="003D7132" w:rsidRPr="003D7132">
        <w:rPr>
          <w:rFonts w:ascii="Noto Sans" w:eastAsia="Times New Roman" w:hAnsi="Noto Sans" w:cs="Noto Sans"/>
          <w:kern w:val="0"/>
          <w:sz w:val="22"/>
          <w:szCs w:val="22"/>
          <w:lang w:val="es-ES"/>
          <w14:ligatures w14:val="none"/>
        </w:rPr>
        <w:t>3</w:t>
      </w:r>
      <w:r w:rsidRPr="003D7132">
        <w:rPr>
          <w:rFonts w:ascii="Noto Sans" w:eastAsia="Times New Roman" w:hAnsi="Noto Sans" w:cs="Noto Sans"/>
          <w:kern w:val="0"/>
          <w:sz w:val="22"/>
          <w:szCs w:val="22"/>
          <w:lang w:val="es-ES"/>
          <w14:ligatures w14:val="none"/>
        </w:rPr>
        <w:t xml:space="preserve"> Recomendaciones</w:t>
      </w:r>
      <w:r w:rsidR="00F12D48">
        <w:rPr>
          <w:rFonts w:ascii="Noto Sans" w:eastAsia="Times New Roman" w:hAnsi="Noto Sans" w:cs="Noto Sans"/>
          <w:kern w:val="0"/>
          <w:sz w:val="22"/>
          <w:szCs w:val="22"/>
          <w:lang w:val="es-ES"/>
          <w14:ligatures w14:val="none"/>
        </w:rPr>
        <w:t xml:space="preserve"> faltantes </w:t>
      </w:r>
      <w:r w:rsidRPr="003D7132">
        <w:rPr>
          <w:rFonts w:ascii="Noto Sans" w:eastAsia="Times New Roman" w:hAnsi="Noto Sans" w:cs="Noto Sans"/>
          <w:kern w:val="0"/>
          <w:sz w:val="22"/>
          <w:szCs w:val="22"/>
          <w:lang w:val="es-ES"/>
          <w14:ligatures w14:val="none"/>
        </w:rPr>
        <w:t>se relacionan con:</w:t>
      </w:r>
    </w:p>
    <w:p w14:paraId="5DCBD0B4" w14:textId="72FAC866" w:rsidR="00544818" w:rsidRPr="003D7132" w:rsidRDefault="00544818" w:rsidP="00380D7D">
      <w:pPr>
        <w:spacing w:after="0" w:line="240" w:lineRule="auto"/>
        <w:jc w:val="both"/>
        <w:rPr>
          <w:rFonts w:ascii="Noto Sans" w:eastAsia="Times New Roman" w:hAnsi="Noto Sans" w:cs="Noto Sans"/>
          <w:kern w:val="0"/>
          <w:sz w:val="22"/>
          <w:szCs w:val="22"/>
          <w:lang w:val="es-ES"/>
          <w14:ligatures w14:val="none"/>
        </w:rPr>
      </w:pPr>
    </w:p>
    <w:p w14:paraId="69C0A5D1" w14:textId="2CC900E8" w:rsidR="00380D7D" w:rsidRPr="003D7132" w:rsidRDefault="00380D7D" w:rsidP="007702F4">
      <w:pPr>
        <w:spacing w:line="240" w:lineRule="auto"/>
        <w:ind w:left="284" w:hanging="284"/>
        <w:jc w:val="both"/>
        <w:rPr>
          <w:rFonts w:ascii="Noto Sans" w:eastAsia="Times New Roman" w:hAnsi="Noto Sans" w:cs="Noto Sans"/>
          <w:kern w:val="0"/>
          <w:sz w:val="22"/>
          <w:szCs w:val="22"/>
          <w:lang w:val="es-ES"/>
          <w14:ligatures w14:val="none"/>
        </w:rPr>
      </w:pPr>
      <w:r w:rsidRPr="003D7132">
        <w:rPr>
          <w:rFonts w:ascii="Noto Sans" w:eastAsia="Times New Roman" w:hAnsi="Noto Sans" w:cs="Noto Sans"/>
          <w:kern w:val="0"/>
          <w:sz w:val="22"/>
          <w:szCs w:val="22"/>
          <w:lang w:val="es-ES"/>
          <w14:ligatures w14:val="none"/>
        </w:rPr>
        <w:t xml:space="preserve">- </w:t>
      </w:r>
      <w:r w:rsidR="007702F4" w:rsidRPr="003D7132">
        <w:rPr>
          <w:rFonts w:ascii="Noto Sans" w:eastAsia="Times New Roman" w:hAnsi="Noto Sans" w:cs="Noto Sans"/>
          <w:kern w:val="0"/>
          <w:sz w:val="22"/>
          <w:szCs w:val="22"/>
          <w:lang w:val="es-ES"/>
          <w14:ligatures w14:val="none"/>
        </w:rPr>
        <w:tab/>
      </w:r>
      <w:r w:rsidRPr="003D7132">
        <w:rPr>
          <w:rFonts w:ascii="Noto Sans" w:eastAsia="Times New Roman" w:hAnsi="Noto Sans" w:cs="Noto Sans"/>
          <w:kern w:val="0"/>
          <w:sz w:val="22"/>
          <w:szCs w:val="22"/>
          <w:lang w:val="es-ES"/>
          <w14:ligatures w14:val="none"/>
        </w:rPr>
        <w:t>Es</w:t>
      </w:r>
      <w:r w:rsidR="007702F4" w:rsidRPr="003D7132">
        <w:rPr>
          <w:rFonts w:ascii="Noto Sans" w:eastAsia="Times New Roman" w:hAnsi="Noto Sans" w:cs="Noto Sans"/>
          <w:kern w:val="0"/>
          <w:sz w:val="22"/>
          <w:szCs w:val="22"/>
          <w:lang w:val="es-ES"/>
          <w14:ligatures w14:val="none"/>
        </w:rPr>
        <w:t xml:space="preserve">tructura Organizacional, con 95% de avances, actualmente en proceso de validación de la </w:t>
      </w:r>
      <w:proofErr w:type="spellStart"/>
      <w:r w:rsidR="007702F4" w:rsidRPr="003D7132">
        <w:rPr>
          <w:rFonts w:ascii="Noto Sans" w:eastAsia="Times New Roman" w:hAnsi="Noto Sans" w:cs="Noto Sans"/>
          <w:kern w:val="0"/>
          <w:sz w:val="22"/>
          <w:szCs w:val="22"/>
          <w:lang w:val="es-ES"/>
          <w14:ligatures w14:val="none"/>
        </w:rPr>
        <w:t>Secihti</w:t>
      </w:r>
      <w:proofErr w:type="spellEnd"/>
      <w:r w:rsidR="007702F4" w:rsidRPr="003D7132">
        <w:rPr>
          <w:rFonts w:ascii="Noto Sans" w:eastAsia="Times New Roman" w:hAnsi="Noto Sans" w:cs="Noto Sans"/>
          <w:kern w:val="0"/>
          <w:sz w:val="22"/>
          <w:szCs w:val="22"/>
          <w:lang w:val="es-ES"/>
          <w14:ligatures w14:val="none"/>
        </w:rPr>
        <w:t>.</w:t>
      </w:r>
    </w:p>
    <w:p w14:paraId="2560B222" w14:textId="77777777" w:rsidR="00033B20" w:rsidRPr="003D7132" w:rsidRDefault="007702F4" w:rsidP="007702F4">
      <w:pPr>
        <w:spacing w:line="240" w:lineRule="auto"/>
        <w:ind w:left="284" w:hanging="284"/>
        <w:jc w:val="both"/>
        <w:rPr>
          <w:rFonts w:ascii="Noto Sans" w:eastAsia="Times New Roman" w:hAnsi="Noto Sans" w:cs="Noto Sans"/>
          <w:kern w:val="0"/>
          <w:sz w:val="22"/>
          <w:szCs w:val="22"/>
          <w:lang w:val="es-ES"/>
          <w14:ligatures w14:val="none"/>
        </w:rPr>
      </w:pPr>
      <w:r w:rsidRPr="003D7132">
        <w:rPr>
          <w:rFonts w:ascii="Noto Sans" w:eastAsia="Times New Roman" w:hAnsi="Noto Sans" w:cs="Noto Sans"/>
          <w:kern w:val="0"/>
          <w:sz w:val="22"/>
          <w:szCs w:val="22"/>
          <w:lang w:val="es-ES"/>
          <w14:ligatures w14:val="none"/>
        </w:rPr>
        <w:t xml:space="preserve">- </w:t>
      </w:r>
      <w:r w:rsidRPr="003D7132">
        <w:rPr>
          <w:rFonts w:ascii="Noto Sans" w:eastAsia="Times New Roman" w:hAnsi="Noto Sans" w:cs="Noto Sans"/>
          <w:kern w:val="0"/>
          <w:sz w:val="22"/>
          <w:szCs w:val="22"/>
          <w:lang w:val="es-ES"/>
          <w14:ligatures w14:val="none"/>
        </w:rPr>
        <w:tab/>
      </w:r>
      <w:r w:rsidR="001D0198" w:rsidRPr="003D7132">
        <w:rPr>
          <w:rFonts w:ascii="Noto Sans" w:eastAsia="Times New Roman" w:hAnsi="Noto Sans" w:cs="Noto Sans"/>
          <w:kern w:val="0"/>
          <w:sz w:val="22"/>
          <w:szCs w:val="22"/>
          <w:lang w:val="es-ES"/>
          <w14:ligatures w14:val="none"/>
        </w:rPr>
        <w:t xml:space="preserve">La Especialidad Nacional para el Bienestar Comunitario en Manejo Costero Integral, con 50% de avances, que </w:t>
      </w:r>
      <w:r w:rsidR="00955A04" w:rsidRPr="003D7132">
        <w:rPr>
          <w:rFonts w:ascii="Noto Sans" w:eastAsia="Times New Roman" w:hAnsi="Noto Sans" w:cs="Noto Sans"/>
          <w:kern w:val="0"/>
          <w:sz w:val="22"/>
          <w:szCs w:val="22"/>
          <w:lang w:val="es-ES"/>
          <w14:ligatures w14:val="none"/>
        </w:rPr>
        <w:t xml:space="preserve">no ha logrado obtener su registro ante </w:t>
      </w:r>
      <w:r w:rsidR="00742AEF" w:rsidRPr="003D7132">
        <w:rPr>
          <w:rFonts w:ascii="Noto Sans" w:eastAsia="Times New Roman" w:hAnsi="Noto Sans" w:cs="Noto Sans"/>
          <w:kern w:val="0"/>
          <w:sz w:val="22"/>
          <w:szCs w:val="22"/>
          <w:lang w:val="es-ES"/>
          <w14:ligatures w14:val="none"/>
        </w:rPr>
        <w:t>Profesiones por l</w:t>
      </w:r>
      <w:r w:rsidR="00013AFC" w:rsidRPr="003D7132">
        <w:rPr>
          <w:rFonts w:ascii="Noto Sans" w:eastAsia="Times New Roman" w:hAnsi="Noto Sans" w:cs="Noto Sans"/>
          <w:kern w:val="0"/>
          <w:sz w:val="22"/>
          <w:szCs w:val="22"/>
          <w:lang w:val="es-ES"/>
          <w14:ligatures w14:val="none"/>
        </w:rPr>
        <w:t xml:space="preserve">a falta de integración de un Núcleo Académico. Aunque existe una colaboración con el CIBNOR para </w:t>
      </w:r>
      <w:r w:rsidR="00964557" w:rsidRPr="003D7132">
        <w:rPr>
          <w:rFonts w:ascii="Noto Sans" w:eastAsia="Times New Roman" w:hAnsi="Noto Sans" w:cs="Noto Sans"/>
          <w:kern w:val="0"/>
          <w:sz w:val="22"/>
          <w:szCs w:val="22"/>
          <w:lang w:val="es-ES"/>
          <w14:ligatures w14:val="none"/>
        </w:rPr>
        <w:t>el personal académico que participa.</w:t>
      </w:r>
    </w:p>
    <w:p w14:paraId="1A5E0B8D" w14:textId="29267047" w:rsidR="007702F4" w:rsidRPr="003D7132" w:rsidRDefault="00033B20" w:rsidP="007702F4">
      <w:pPr>
        <w:spacing w:line="240" w:lineRule="auto"/>
        <w:ind w:left="284" w:hanging="284"/>
        <w:jc w:val="both"/>
        <w:rPr>
          <w:rFonts w:ascii="Noto Sans" w:eastAsia="Times New Roman" w:hAnsi="Noto Sans" w:cs="Noto Sans"/>
          <w:kern w:val="0"/>
          <w:sz w:val="22"/>
          <w:szCs w:val="22"/>
          <w:lang w:val="es-ES"/>
          <w14:ligatures w14:val="none"/>
        </w:rPr>
      </w:pPr>
      <w:r w:rsidRPr="003D7132">
        <w:rPr>
          <w:rFonts w:ascii="Noto Sans" w:eastAsia="Times New Roman" w:hAnsi="Noto Sans" w:cs="Noto Sans"/>
          <w:kern w:val="0"/>
          <w:sz w:val="22"/>
          <w:szCs w:val="22"/>
          <w:lang w:val="es-ES"/>
          <w14:ligatures w14:val="none"/>
        </w:rPr>
        <w:t xml:space="preserve">- </w:t>
      </w:r>
      <w:r w:rsidRPr="003D7132">
        <w:rPr>
          <w:rFonts w:ascii="Noto Sans" w:eastAsia="Times New Roman" w:hAnsi="Noto Sans" w:cs="Noto Sans"/>
          <w:kern w:val="0"/>
          <w:sz w:val="22"/>
          <w:szCs w:val="22"/>
          <w:lang w:val="es-ES"/>
          <w14:ligatures w14:val="none"/>
        </w:rPr>
        <w:tab/>
        <w:t>Informe sobre los avances de los convenios interinstitucionales registrados en el primer semestre 2026</w:t>
      </w:r>
      <w:r w:rsidR="00F00A1E">
        <w:rPr>
          <w:rFonts w:ascii="Noto Sans" w:eastAsia="Times New Roman" w:hAnsi="Noto Sans" w:cs="Noto Sans"/>
          <w:kern w:val="0"/>
          <w:sz w:val="22"/>
          <w:szCs w:val="22"/>
          <w:lang w:val="es-ES"/>
          <w14:ligatures w14:val="none"/>
        </w:rPr>
        <w:t>, con 30% de avances</w:t>
      </w:r>
      <w:r w:rsidR="00A102DF">
        <w:rPr>
          <w:rFonts w:ascii="Noto Sans" w:eastAsia="Times New Roman" w:hAnsi="Noto Sans" w:cs="Noto Sans"/>
          <w:kern w:val="0"/>
          <w:sz w:val="22"/>
          <w:szCs w:val="22"/>
          <w:lang w:val="es-ES"/>
          <w14:ligatures w14:val="none"/>
        </w:rPr>
        <w:t xml:space="preserve">, faltando terminar de elaborar una plataforma que permita acceder a la información </w:t>
      </w:r>
      <w:r w:rsidR="00251558">
        <w:rPr>
          <w:rFonts w:ascii="Noto Sans" w:eastAsia="Times New Roman" w:hAnsi="Noto Sans" w:cs="Noto Sans"/>
          <w:kern w:val="0"/>
          <w:sz w:val="22"/>
          <w:szCs w:val="22"/>
          <w:lang w:val="es-ES"/>
          <w14:ligatures w14:val="none"/>
        </w:rPr>
        <w:t>real y veraz de cada convenio</w:t>
      </w:r>
      <w:r w:rsidRPr="003D7132">
        <w:rPr>
          <w:rFonts w:ascii="Noto Sans" w:eastAsia="Times New Roman" w:hAnsi="Noto Sans" w:cs="Noto Sans"/>
          <w:kern w:val="0"/>
          <w:sz w:val="22"/>
          <w:szCs w:val="22"/>
          <w:lang w:val="es-ES"/>
          <w14:ligatures w14:val="none"/>
        </w:rPr>
        <w:t xml:space="preserve">. </w:t>
      </w:r>
      <w:r w:rsidR="00955A04" w:rsidRPr="003D7132">
        <w:rPr>
          <w:rFonts w:ascii="Noto Sans" w:eastAsia="Times New Roman" w:hAnsi="Noto Sans" w:cs="Noto Sans"/>
          <w:kern w:val="0"/>
          <w:sz w:val="22"/>
          <w:szCs w:val="22"/>
          <w:lang w:val="es-ES"/>
          <w14:ligatures w14:val="none"/>
        </w:rPr>
        <w:t xml:space="preserve"> </w:t>
      </w:r>
    </w:p>
    <w:p w14:paraId="590040EB" w14:textId="77777777" w:rsidR="007702F4" w:rsidRPr="003D7132" w:rsidRDefault="007702F4" w:rsidP="007702F4">
      <w:pPr>
        <w:spacing w:after="0" w:line="240" w:lineRule="auto"/>
        <w:ind w:left="284" w:hanging="284"/>
        <w:jc w:val="both"/>
        <w:rPr>
          <w:rFonts w:ascii="Noto Sans" w:eastAsia="Times New Roman" w:hAnsi="Noto Sans" w:cs="Noto Sans"/>
          <w:kern w:val="0"/>
          <w:sz w:val="22"/>
          <w:szCs w:val="22"/>
          <w:lang w:val="es-ES"/>
          <w14:ligatures w14:val="none"/>
        </w:rPr>
      </w:pPr>
    </w:p>
    <w:sectPr w:rsidR="007702F4" w:rsidRPr="003D7132">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B68E" w14:textId="77777777" w:rsidR="0064374A" w:rsidRDefault="0064374A" w:rsidP="00C41E26">
      <w:pPr>
        <w:spacing w:after="0" w:line="240" w:lineRule="auto"/>
      </w:pPr>
      <w:r>
        <w:separator/>
      </w:r>
    </w:p>
  </w:endnote>
  <w:endnote w:type="continuationSeparator" w:id="0">
    <w:p w14:paraId="3534F8AF" w14:textId="77777777" w:rsidR="0064374A" w:rsidRDefault="0064374A" w:rsidP="00C4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B5B8" w14:textId="77777777" w:rsidR="00F12D48" w:rsidRDefault="00F12D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763851"/>
      <w:docPartObj>
        <w:docPartGallery w:val="Page Numbers (Bottom of Page)"/>
        <w:docPartUnique/>
      </w:docPartObj>
    </w:sdtPr>
    <w:sdtEndPr>
      <w:rPr>
        <w:rFonts w:ascii="Noto Sans" w:hAnsi="Noto Sans" w:cs="Noto Sans"/>
        <w:sz w:val="20"/>
        <w:szCs w:val="20"/>
      </w:rPr>
    </w:sdtEndPr>
    <w:sdtContent>
      <w:p w14:paraId="6E5BB1FF" w14:textId="4620B1D5" w:rsidR="00294329" w:rsidRPr="00294329" w:rsidRDefault="000F5F90">
        <w:pPr>
          <w:pStyle w:val="Piedepgina"/>
          <w:jc w:val="right"/>
          <w:rPr>
            <w:rFonts w:ascii="Noto Sans" w:hAnsi="Noto Sans" w:cs="Noto Sans"/>
            <w:sz w:val="20"/>
            <w:szCs w:val="20"/>
          </w:rPr>
        </w:pPr>
        <w:r>
          <w:rPr>
            <w:noProof/>
          </w:rPr>
          <w:drawing>
            <wp:anchor distT="0" distB="0" distL="114300" distR="114300" simplePos="0" relativeHeight="251660288" behindDoc="0" locked="0" layoutInCell="1" allowOverlap="1" wp14:anchorId="218CFE09" wp14:editId="7E2AB9C8">
              <wp:simplePos x="0" y="0"/>
              <wp:positionH relativeFrom="column">
                <wp:posOffset>-733425</wp:posOffset>
              </wp:positionH>
              <wp:positionV relativeFrom="paragraph">
                <wp:posOffset>39370</wp:posOffset>
              </wp:positionV>
              <wp:extent cx="1076325" cy="611328"/>
              <wp:effectExtent l="0" t="0" r="0" b="0"/>
              <wp:wrapNone/>
              <wp:docPr id="1392170959" name="Imagen 4"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descr="Interfaz de usuario gráfica, Texto, Aplicación&#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5608" t="86577" r="71765" b="3492"/>
                      <a:stretch>
                        <a:fillRect/>
                      </a:stretch>
                    </pic:blipFill>
                    <pic:spPr bwMode="auto">
                      <a:xfrm>
                        <a:off x="0" y="0"/>
                        <a:ext cx="1076325" cy="611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4329" w:rsidRPr="00294329">
          <w:rPr>
            <w:rFonts w:ascii="Noto Sans" w:hAnsi="Noto Sans" w:cs="Noto Sans"/>
            <w:sz w:val="20"/>
            <w:szCs w:val="20"/>
          </w:rPr>
          <w:fldChar w:fldCharType="begin"/>
        </w:r>
        <w:r w:rsidR="00294329" w:rsidRPr="00294329">
          <w:rPr>
            <w:rFonts w:ascii="Noto Sans" w:hAnsi="Noto Sans" w:cs="Noto Sans"/>
            <w:sz w:val="20"/>
            <w:szCs w:val="20"/>
          </w:rPr>
          <w:instrText>PAGE   \* MERGEFORMAT</w:instrText>
        </w:r>
        <w:r w:rsidR="00294329" w:rsidRPr="00294329">
          <w:rPr>
            <w:rFonts w:ascii="Noto Sans" w:hAnsi="Noto Sans" w:cs="Noto Sans"/>
            <w:sz w:val="20"/>
            <w:szCs w:val="20"/>
          </w:rPr>
          <w:fldChar w:fldCharType="separate"/>
        </w:r>
        <w:r w:rsidR="00294329" w:rsidRPr="00294329">
          <w:rPr>
            <w:rFonts w:ascii="Noto Sans" w:hAnsi="Noto Sans" w:cs="Noto Sans"/>
            <w:sz w:val="20"/>
            <w:szCs w:val="20"/>
            <w:lang w:val="es-ES"/>
          </w:rPr>
          <w:t>2</w:t>
        </w:r>
        <w:r w:rsidR="00294329" w:rsidRPr="00294329">
          <w:rPr>
            <w:rFonts w:ascii="Noto Sans" w:hAnsi="Noto Sans" w:cs="Noto Sans"/>
            <w:sz w:val="20"/>
            <w:szCs w:val="20"/>
          </w:rPr>
          <w:fldChar w:fldCharType="end"/>
        </w:r>
      </w:p>
    </w:sdtContent>
  </w:sdt>
  <w:p w14:paraId="42428659" w14:textId="482E5404" w:rsidR="00294329" w:rsidRDefault="000A558E">
    <w:pPr>
      <w:pStyle w:val="Piedepgina"/>
    </w:pPr>
    <w:r>
      <w:rPr>
        <w:rFonts w:ascii="Noto Sans" w:hAnsi="Noto Sans" w:cs="Noto Sans"/>
      </w:rPr>
      <w:tab/>
    </w:r>
    <w:r w:rsidRPr="004376FE">
      <w:rPr>
        <w:rFonts w:ascii="Noto Sans" w:hAnsi="Noto Sans" w:cs="Noto Sans"/>
      </w:rPr>
      <w:t>Primera Sesión Ordinaria 2026 de Órgano de Gobierno de ECOSUR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A159" w14:textId="77777777" w:rsidR="00F12D48" w:rsidRDefault="00F12D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3EA9" w14:textId="77777777" w:rsidR="0064374A" w:rsidRDefault="0064374A" w:rsidP="00C41E26">
      <w:pPr>
        <w:spacing w:after="0" w:line="240" w:lineRule="auto"/>
      </w:pPr>
      <w:r>
        <w:separator/>
      </w:r>
    </w:p>
  </w:footnote>
  <w:footnote w:type="continuationSeparator" w:id="0">
    <w:p w14:paraId="17965B2F" w14:textId="77777777" w:rsidR="0064374A" w:rsidRDefault="0064374A" w:rsidP="00C4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5EF4" w14:textId="77777777" w:rsidR="00F12D48" w:rsidRDefault="00F12D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D7C3" w14:textId="01779794" w:rsidR="00677A14" w:rsidRDefault="00677A14">
    <w:pPr>
      <w:pStyle w:val="Encabezado"/>
    </w:pPr>
    <w:r w:rsidRPr="00677A14">
      <w:rPr>
        <w:rFonts w:ascii="Calibri" w:eastAsia="DengXian" w:hAnsi="Calibri" w:cs="Arial"/>
        <w:noProof/>
        <w:kern w:val="0"/>
        <w:lang w:val="es-ES"/>
        <w14:ligatures w14:val="none"/>
      </w:rPr>
      <w:drawing>
        <wp:anchor distT="0" distB="0" distL="114300" distR="114300" simplePos="0" relativeHeight="251658240" behindDoc="1" locked="0" layoutInCell="1" allowOverlap="1" wp14:anchorId="78804B0F" wp14:editId="3D92B6CE">
          <wp:simplePos x="0" y="0"/>
          <wp:positionH relativeFrom="margin">
            <wp:posOffset>-600456</wp:posOffset>
          </wp:positionH>
          <wp:positionV relativeFrom="paragraph">
            <wp:posOffset>-347167</wp:posOffset>
          </wp:positionV>
          <wp:extent cx="7103059" cy="994124"/>
          <wp:effectExtent l="0" t="0" r="3175" b="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rotWithShape="1">
                  <a:blip r:embed="rId1">
                    <a:extLst>
                      <a:ext uri="{28A0092B-C50C-407E-A947-70E740481C1C}">
                        <a14:useLocalDpi xmlns:a14="http://schemas.microsoft.com/office/drawing/2010/main" val="0"/>
                      </a:ext>
                    </a:extLst>
                  </a:blip>
                  <a:srcRect l="2252" t="3336" r="2589" b="86373"/>
                  <a:stretch>
                    <a:fillRect/>
                  </a:stretch>
                </pic:blipFill>
                <pic:spPr bwMode="auto">
                  <a:xfrm>
                    <a:off x="0" y="0"/>
                    <a:ext cx="7103059" cy="9941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CF8DA9" w14:textId="77777777" w:rsidR="00677A14" w:rsidRDefault="00677A14">
    <w:pPr>
      <w:pStyle w:val="Encabezado"/>
    </w:pPr>
  </w:p>
  <w:p w14:paraId="727E3634" w14:textId="2ED3768C" w:rsidR="00180066" w:rsidRDefault="00180066">
    <w:pPr>
      <w:pStyle w:val="Encabezado"/>
    </w:pPr>
  </w:p>
  <w:p w14:paraId="66F7BCF1" w14:textId="77777777" w:rsidR="00DE339E" w:rsidRDefault="00DE33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AFC5" w14:textId="77777777" w:rsidR="00F12D48" w:rsidRDefault="00F12D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0994"/>
    <w:multiLevelType w:val="hybridMultilevel"/>
    <w:tmpl w:val="623C2962"/>
    <w:lvl w:ilvl="0" w:tplc="4886C23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2211B6"/>
    <w:multiLevelType w:val="hybridMultilevel"/>
    <w:tmpl w:val="5A2264AA"/>
    <w:lvl w:ilvl="0" w:tplc="8A9E3194">
      <w:start w:val="23"/>
      <w:numFmt w:val="bullet"/>
      <w:lvlText w:val="-"/>
      <w:lvlJc w:val="left"/>
      <w:pPr>
        <w:ind w:left="720" w:hanging="360"/>
      </w:pPr>
      <w:rPr>
        <w:rFonts w:ascii="Noto Sans" w:eastAsiaTheme="minorHAnsi"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6F7447"/>
    <w:multiLevelType w:val="hybridMultilevel"/>
    <w:tmpl w:val="56EE76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3B5650"/>
    <w:multiLevelType w:val="hybridMultilevel"/>
    <w:tmpl w:val="9C3EA0EA"/>
    <w:lvl w:ilvl="0" w:tplc="B08423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B541D5"/>
    <w:multiLevelType w:val="hybridMultilevel"/>
    <w:tmpl w:val="02B66A08"/>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8B1E08"/>
    <w:multiLevelType w:val="hybridMultilevel"/>
    <w:tmpl w:val="7CD0D9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6711ABC"/>
    <w:multiLevelType w:val="hybridMultilevel"/>
    <w:tmpl w:val="B0E85E84"/>
    <w:lvl w:ilvl="0" w:tplc="423EB52E">
      <w:start w:val="4"/>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C02DEF"/>
    <w:multiLevelType w:val="hybridMultilevel"/>
    <w:tmpl w:val="C734CD38"/>
    <w:lvl w:ilvl="0" w:tplc="A6CC6506">
      <w:start w:val="1"/>
      <w:numFmt w:val="lowerLetter"/>
      <w:lvlText w:val="%1."/>
      <w:lvlJc w:val="left"/>
      <w:pPr>
        <w:ind w:left="502" w:hanging="360"/>
      </w:pPr>
      <w:rPr>
        <w:rFonts w:hint="default"/>
      </w:rPr>
    </w:lvl>
    <w:lvl w:ilvl="1" w:tplc="5E74F6C6">
      <w:start w:val="1"/>
      <w:numFmt w:val="upperRoman"/>
      <w:lvlText w:val="%2."/>
      <w:lvlJc w:val="left"/>
      <w:pPr>
        <w:ind w:left="1582" w:hanging="720"/>
      </w:pPr>
      <w:rPr>
        <w:rFonts w:hint="default"/>
        <w:b/>
      </w:r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5B3F40E0"/>
    <w:multiLevelType w:val="hybridMultilevel"/>
    <w:tmpl w:val="85604F7E"/>
    <w:lvl w:ilvl="0" w:tplc="B3DED082">
      <w:start w:val="26"/>
      <w:numFmt w:val="bullet"/>
      <w:lvlText w:val="-"/>
      <w:lvlJc w:val="left"/>
      <w:pPr>
        <w:ind w:left="1068" w:hanging="360"/>
      </w:pPr>
      <w:rPr>
        <w:rFonts w:ascii="Noto Sans" w:eastAsia="Times New Roman" w:hAnsi="Noto Sans" w:cs="Noto San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5D63572A"/>
    <w:multiLevelType w:val="hybridMultilevel"/>
    <w:tmpl w:val="EC309D58"/>
    <w:lvl w:ilvl="0" w:tplc="D47E6EE0">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005AE4"/>
    <w:multiLevelType w:val="hybridMultilevel"/>
    <w:tmpl w:val="C6903132"/>
    <w:lvl w:ilvl="0" w:tplc="B1964F90">
      <w:start w:val="4"/>
      <w:numFmt w:val="decimal"/>
      <w:lvlText w:val="%1."/>
      <w:lvlJc w:val="left"/>
      <w:pPr>
        <w:ind w:left="1506" w:hanging="360"/>
      </w:pPr>
    </w:lvl>
    <w:lvl w:ilvl="1" w:tplc="080A0019">
      <w:start w:val="1"/>
      <w:numFmt w:val="lowerLetter"/>
      <w:lvlText w:val="%2."/>
      <w:lvlJc w:val="left"/>
      <w:pPr>
        <w:ind w:left="2226" w:hanging="360"/>
      </w:pPr>
    </w:lvl>
    <w:lvl w:ilvl="2" w:tplc="080A001B">
      <w:start w:val="1"/>
      <w:numFmt w:val="lowerRoman"/>
      <w:lvlText w:val="%3."/>
      <w:lvlJc w:val="right"/>
      <w:pPr>
        <w:ind w:left="2946" w:hanging="180"/>
      </w:pPr>
    </w:lvl>
    <w:lvl w:ilvl="3" w:tplc="080A000F">
      <w:start w:val="1"/>
      <w:numFmt w:val="decimal"/>
      <w:lvlText w:val="%4."/>
      <w:lvlJc w:val="left"/>
      <w:pPr>
        <w:ind w:left="3666" w:hanging="360"/>
      </w:pPr>
    </w:lvl>
    <w:lvl w:ilvl="4" w:tplc="080A0019">
      <w:start w:val="1"/>
      <w:numFmt w:val="lowerLetter"/>
      <w:lvlText w:val="%5."/>
      <w:lvlJc w:val="left"/>
      <w:pPr>
        <w:ind w:left="4386" w:hanging="360"/>
      </w:pPr>
    </w:lvl>
    <w:lvl w:ilvl="5" w:tplc="080A001B">
      <w:start w:val="1"/>
      <w:numFmt w:val="lowerRoman"/>
      <w:lvlText w:val="%6."/>
      <w:lvlJc w:val="right"/>
      <w:pPr>
        <w:ind w:left="5106" w:hanging="180"/>
      </w:pPr>
    </w:lvl>
    <w:lvl w:ilvl="6" w:tplc="080A000F">
      <w:start w:val="1"/>
      <w:numFmt w:val="decimal"/>
      <w:lvlText w:val="%7."/>
      <w:lvlJc w:val="left"/>
      <w:pPr>
        <w:ind w:left="5826" w:hanging="360"/>
      </w:pPr>
    </w:lvl>
    <w:lvl w:ilvl="7" w:tplc="080A0019">
      <w:start w:val="1"/>
      <w:numFmt w:val="lowerLetter"/>
      <w:lvlText w:val="%8."/>
      <w:lvlJc w:val="left"/>
      <w:pPr>
        <w:ind w:left="6546" w:hanging="360"/>
      </w:pPr>
    </w:lvl>
    <w:lvl w:ilvl="8" w:tplc="080A001B">
      <w:start w:val="1"/>
      <w:numFmt w:val="lowerRoman"/>
      <w:lvlText w:val="%9."/>
      <w:lvlJc w:val="right"/>
      <w:pPr>
        <w:ind w:left="7266" w:hanging="180"/>
      </w:pPr>
    </w:lvl>
  </w:abstractNum>
  <w:abstractNum w:abstractNumId="11" w15:restartNumberingAfterBreak="0">
    <w:nsid w:val="6E1A2A3A"/>
    <w:multiLevelType w:val="hybridMultilevel"/>
    <w:tmpl w:val="0C24020A"/>
    <w:lvl w:ilvl="0" w:tplc="B19EB02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100256"/>
    <w:multiLevelType w:val="hybridMultilevel"/>
    <w:tmpl w:val="0DA0196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775444112">
    <w:abstractNumId w:val="2"/>
  </w:num>
  <w:num w:numId="2" w16cid:durableId="819465908">
    <w:abstractNumId w:val="1"/>
  </w:num>
  <w:num w:numId="3" w16cid:durableId="115101693">
    <w:abstractNumId w:val="7"/>
  </w:num>
  <w:num w:numId="4" w16cid:durableId="1243761094">
    <w:abstractNumId w:val="9"/>
  </w:num>
  <w:num w:numId="5" w16cid:durableId="1409645705">
    <w:abstractNumId w:val="11"/>
  </w:num>
  <w:num w:numId="6" w16cid:durableId="1420981990">
    <w:abstractNumId w:val="0"/>
  </w:num>
  <w:num w:numId="7" w16cid:durableId="1457329715">
    <w:abstractNumId w:val="3"/>
  </w:num>
  <w:num w:numId="8" w16cid:durableId="1901669187">
    <w:abstractNumId w:val="6"/>
  </w:num>
  <w:num w:numId="9" w16cid:durableId="489299370">
    <w:abstractNumId w:val="4"/>
  </w:num>
  <w:num w:numId="10" w16cid:durableId="1534683274">
    <w:abstractNumId w:val="5"/>
  </w:num>
  <w:num w:numId="11" w16cid:durableId="106872650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5451109">
    <w:abstractNumId w:val="12"/>
  </w:num>
  <w:num w:numId="13" w16cid:durableId="1529563216">
    <w:abstractNumId w:val="8"/>
  </w:num>
  <w:num w:numId="14" w16cid:durableId="1149445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3C"/>
    <w:rsid w:val="00001845"/>
    <w:rsid w:val="00002F62"/>
    <w:rsid w:val="000032D0"/>
    <w:rsid w:val="00006EFA"/>
    <w:rsid w:val="00010120"/>
    <w:rsid w:val="00010881"/>
    <w:rsid w:val="00012295"/>
    <w:rsid w:val="00013AFC"/>
    <w:rsid w:val="00016918"/>
    <w:rsid w:val="000206F0"/>
    <w:rsid w:val="00022637"/>
    <w:rsid w:val="00022982"/>
    <w:rsid w:val="00022B0B"/>
    <w:rsid w:val="0002531C"/>
    <w:rsid w:val="0002622C"/>
    <w:rsid w:val="0003083C"/>
    <w:rsid w:val="00033B20"/>
    <w:rsid w:val="00035073"/>
    <w:rsid w:val="00035572"/>
    <w:rsid w:val="00035AB5"/>
    <w:rsid w:val="00040E1D"/>
    <w:rsid w:val="00044148"/>
    <w:rsid w:val="00044ACA"/>
    <w:rsid w:val="00046BA1"/>
    <w:rsid w:val="00055145"/>
    <w:rsid w:val="00060318"/>
    <w:rsid w:val="000628C3"/>
    <w:rsid w:val="00071787"/>
    <w:rsid w:val="00072304"/>
    <w:rsid w:val="000729F1"/>
    <w:rsid w:val="00073C3F"/>
    <w:rsid w:val="000909F9"/>
    <w:rsid w:val="00094A7E"/>
    <w:rsid w:val="000A224C"/>
    <w:rsid w:val="000A397D"/>
    <w:rsid w:val="000A558E"/>
    <w:rsid w:val="000A59D2"/>
    <w:rsid w:val="000B209C"/>
    <w:rsid w:val="000B2116"/>
    <w:rsid w:val="000B4E94"/>
    <w:rsid w:val="000B6DC8"/>
    <w:rsid w:val="000C24FD"/>
    <w:rsid w:val="000C4491"/>
    <w:rsid w:val="000C5B2A"/>
    <w:rsid w:val="000C7A19"/>
    <w:rsid w:val="000D1E94"/>
    <w:rsid w:val="000D2D4B"/>
    <w:rsid w:val="000D591B"/>
    <w:rsid w:val="000D59EB"/>
    <w:rsid w:val="000D7DB9"/>
    <w:rsid w:val="000E1630"/>
    <w:rsid w:val="000E51C7"/>
    <w:rsid w:val="000E796A"/>
    <w:rsid w:val="000F54CA"/>
    <w:rsid w:val="000F5F90"/>
    <w:rsid w:val="00101B58"/>
    <w:rsid w:val="00102239"/>
    <w:rsid w:val="00104513"/>
    <w:rsid w:val="001045CE"/>
    <w:rsid w:val="00105CDB"/>
    <w:rsid w:val="0010653C"/>
    <w:rsid w:val="00123478"/>
    <w:rsid w:val="001259EC"/>
    <w:rsid w:val="001264D6"/>
    <w:rsid w:val="0012693F"/>
    <w:rsid w:val="00130A93"/>
    <w:rsid w:val="00132CFB"/>
    <w:rsid w:val="001519FE"/>
    <w:rsid w:val="00154822"/>
    <w:rsid w:val="00155D6D"/>
    <w:rsid w:val="001657E5"/>
    <w:rsid w:val="001657FF"/>
    <w:rsid w:val="001714B8"/>
    <w:rsid w:val="0017191F"/>
    <w:rsid w:val="00172BB0"/>
    <w:rsid w:val="00176BE1"/>
    <w:rsid w:val="00180066"/>
    <w:rsid w:val="0018437D"/>
    <w:rsid w:val="0018496E"/>
    <w:rsid w:val="0018686A"/>
    <w:rsid w:val="00186DEF"/>
    <w:rsid w:val="00187933"/>
    <w:rsid w:val="00191D14"/>
    <w:rsid w:val="00192479"/>
    <w:rsid w:val="001969AD"/>
    <w:rsid w:val="001A18F3"/>
    <w:rsid w:val="001C4F4E"/>
    <w:rsid w:val="001C64EE"/>
    <w:rsid w:val="001C725A"/>
    <w:rsid w:val="001D0198"/>
    <w:rsid w:val="001D5951"/>
    <w:rsid w:val="001E68C4"/>
    <w:rsid w:val="001F1FCD"/>
    <w:rsid w:val="001F4BD9"/>
    <w:rsid w:val="00200263"/>
    <w:rsid w:val="00203CA6"/>
    <w:rsid w:val="0022157C"/>
    <w:rsid w:val="00221BD7"/>
    <w:rsid w:val="00233648"/>
    <w:rsid w:val="00236CC5"/>
    <w:rsid w:val="0024414F"/>
    <w:rsid w:val="0025093B"/>
    <w:rsid w:val="00251558"/>
    <w:rsid w:val="00252F5E"/>
    <w:rsid w:val="002576FD"/>
    <w:rsid w:val="00261065"/>
    <w:rsid w:val="00261F77"/>
    <w:rsid w:val="002639B9"/>
    <w:rsid w:val="0026646B"/>
    <w:rsid w:val="00266BF4"/>
    <w:rsid w:val="00267EB9"/>
    <w:rsid w:val="0027303F"/>
    <w:rsid w:val="002738F5"/>
    <w:rsid w:val="00274B2E"/>
    <w:rsid w:val="00274D37"/>
    <w:rsid w:val="00276209"/>
    <w:rsid w:val="002854BB"/>
    <w:rsid w:val="002874A4"/>
    <w:rsid w:val="00294329"/>
    <w:rsid w:val="002954D6"/>
    <w:rsid w:val="0029733A"/>
    <w:rsid w:val="002975D9"/>
    <w:rsid w:val="002A1961"/>
    <w:rsid w:val="002A40C5"/>
    <w:rsid w:val="002A76BB"/>
    <w:rsid w:val="002B04FE"/>
    <w:rsid w:val="002B0B03"/>
    <w:rsid w:val="002B0C49"/>
    <w:rsid w:val="002B13B2"/>
    <w:rsid w:val="002C0DC3"/>
    <w:rsid w:val="002E1ACC"/>
    <w:rsid w:val="002E28A8"/>
    <w:rsid w:val="002E58B5"/>
    <w:rsid w:val="002E615D"/>
    <w:rsid w:val="002F0D25"/>
    <w:rsid w:val="002F3057"/>
    <w:rsid w:val="002F3F56"/>
    <w:rsid w:val="002F4CA1"/>
    <w:rsid w:val="002F687B"/>
    <w:rsid w:val="002F7303"/>
    <w:rsid w:val="003000FB"/>
    <w:rsid w:val="003013F9"/>
    <w:rsid w:val="003045AA"/>
    <w:rsid w:val="00313B80"/>
    <w:rsid w:val="003156ED"/>
    <w:rsid w:val="0031653F"/>
    <w:rsid w:val="00320A8C"/>
    <w:rsid w:val="003223D5"/>
    <w:rsid w:val="0032785D"/>
    <w:rsid w:val="00330AE1"/>
    <w:rsid w:val="00332F7B"/>
    <w:rsid w:val="00340EB4"/>
    <w:rsid w:val="0034475C"/>
    <w:rsid w:val="0034667C"/>
    <w:rsid w:val="00352F53"/>
    <w:rsid w:val="00354F61"/>
    <w:rsid w:val="003554E5"/>
    <w:rsid w:val="003573AC"/>
    <w:rsid w:val="00357A88"/>
    <w:rsid w:val="00375700"/>
    <w:rsid w:val="00376D33"/>
    <w:rsid w:val="00376DDC"/>
    <w:rsid w:val="00380D7D"/>
    <w:rsid w:val="00382135"/>
    <w:rsid w:val="003838FE"/>
    <w:rsid w:val="00386677"/>
    <w:rsid w:val="0039008C"/>
    <w:rsid w:val="00396368"/>
    <w:rsid w:val="00396AE5"/>
    <w:rsid w:val="003A2B7B"/>
    <w:rsid w:val="003B3042"/>
    <w:rsid w:val="003B7105"/>
    <w:rsid w:val="003C3019"/>
    <w:rsid w:val="003C3C10"/>
    <w:rsid w:val="003C6244"/>
    <w:rsid w:val="003D7132"/>
    <w:rsid w:val="003F680E"/>
    <w:rsid w:val="00401B7F"/>
    <w:rsid w:val="00403817"/>
    <w:rsid w:val="004063F5"/>
    <w:rsid w:val="00407D46"/>
    <w:rsid w:val="00410F13"/>
    <w:rsid w:val="00412743"/>
    <w:rsid w:val="00416ED0"/>
    <w:rsid w:val="0042061E"/>
    <w:rsid w:val="00425958"/>
    <w:rsid w:val="00427AE2"/>
    <w:rsid w:val="00433287"/>
    <w:rsid w:val="0043387B"/>
    <w:rsid w:val="00434D27"/>
    <w:rsid w:val="00444184"/>
    <w:rsid w:val="004548C6"/>
    <w:rsid w:val="004623E5"/>
    <w:rsid w:val="004635C4"/>
    <w:rsid w:val="00482ACC"/>
    <w:rsid w:val="00484403"/>
    <w:rsid w:val="00492F7C"/>
    <w:rsid w:val="004A02C1"/>
    <w:rsid w:val="004A4152"/>
    <w:rsid w:val="004B5370"/>
    <w:rsid w:val="004B60C8"/>
    <w:rsid w:val="004C0594"/>
    <w:rsid w:val="004C1888"/>
    <w:rsid w:val="004C3B4B"/>
    <w:rsid w:val="004C591F"/>
    <w:rsid w:val="004C71D6"/>
    <w:rsid w:val="004C75CF"/>
    <w:rsid w:val="004D3809"/>
    <w:rsid w:val="004E0B97"/>
    <w:rsid w:val="004F38C7"/>
    <w:rsid w:val="004F4DF9"/>
    <w:rsid w:val="004F4ECE"/>
    <w:rsid w:val="004F73E8"/>
    <w:rsid w:val="00501C9D"/>
    <w:rsid w:val="0050287A"/>
    <w:rsid w:val="00504728"/>
    <w:rsid w:val="00505EE5"/>
    <w:rsid w:val="00512FDB"/>
    <w:rsid w:val="00532916"/>
    <w:rsid w:val="00532D03"/>
    <w:rsid w:val="00536450"/>
    <w:rsid w:val="00544192"/>
    <w:rsid w:val="00544818"/>
    <w:rsid w:val="005516B9"/>
    <w:rsid w:val="00560338"/>
    <w:rsid w:val="005665FE"/>
    <w:rsid w:val="005749E3"/>
    <w:rsid w:val="005768CF"/>
    <w:rsid w:val="005814D0"/>
    <w:rsid w:val="00584C19"/>
    <w:rsid w:val="00585100"/>
    <w:rsid w:val="00585880"/>
    <w:rsid w:val="00587212"/>
    <w:rsid w:val="00591D52"/>
    <w:rsid w:val="00594213"/>
    <w:rsid w:val="00596A7D"/>
    <w:rsid w:val="005B2E58"/>
    <w:rsid w:val="005B7015"/>
    <w:rsid w:val="005C59B6"/>
    <w:rsid w:val="005C5B73"/>
    <w:rsid w:val="005D2ED0"/>
    <w:rsid w:val="005D5079"/>
    <w:rsid w:val="005D54D1"/>
    <w:rsid w:val="005D7A82"/>
    <w:rsid w:val="005E2DC2"/>
    <w:rsid w:val="005E363E"/>
    <w:rsid w:val="005E6527"/>
    <w:rsid w:val="005E7221"/>
    <w:rsid w:val="005F14DA"/>
    <w:rsid w:val="005F4ABF"/>
    <w:rsid w:val="005F4D12"/>
    <w:rsid w:val="005F5947"/>
    <w:rsid w:val="006004F5"/>
    <w:rsid w:val="00620E13"/>
    <w:rsid w:val="00622D97"/>
    <w:rsid w:val="00623A06"/>
    <w:rsid w:val="0062695A"/>
    <w:rsid w:val="006367AB"/>
    <w:rsid w:val="006405A3"/>
    <w:rsid w:val="0064374A"/>
    <w:rsid w:val="00644E3E"/>
    <w:rsid w:val="00645959"/>
    <w:rsid w:val="00650F7D"/>
    <w:rsid w:val="00654C43"/>
    <w:rsid w:val="006577A3"/>
    <w:rsid w:val="006768A6"/>
    <w:rsid w:val="00677A14"/>
    <w:rsid w:val="00680EE6"/>
    <w:rsid w:val="0068E087"/>
    <w:rsid w:val="0069137F"/>
    <w:rsid w:val="00692583"/>
    <w:rsid w:val="00692AE1"/>
    <w:rsid w:val="00697693"/>
    <w:rsid w:val="006A39A8"/>
    <w:rsid w:val="006A7257"/>
    <w:rsid w:val="006B3954"/>
    <w:rsid w:val="006C1513"/>
    <w:rsid w:val="006C2787"/>
    <w:rsid w:val="006C4AF3"/>
    <w:rsid w:val="006C64C1"/>
    <w:rsid w:val="006E3CDE"/>
    <w:rsid w:val="006E5CF4"/>
    <w:rsid w:val="006F0D4B"/>
    <w:rsid w:val="006F29B0"/>
    <w:rsid w:val="006F64F6"/>
    <w:rsid w:val="006F75CE"/>
    <w:rsid w:val="00701B53"/>
    <w:rsid w:val="0070267F"/>
    <w:rsid w:val="00715674"/>
    <w:rsid w:val="00717F2B"/>
    <w:rsid w:val="00721109"/>
    <w:rsid w:val="00726D95"/>
    <w:rsid w:val="00730446"/>
    <w:rsid w:val="00734150"/>
    <w:rsid w:val="00734292"/>
    <w:rsid w:val="0074209B"/>
    <w:rsid w:val="00742AEF"/>
    <w:rsid w:val="0075345B"/>
    <w:rsid w:val="007543AE"/>
    <w:rsid w:val="007702F4"/>
    <w:rsid w:val="00776E8B"/>
    <w:rsid w:val="00776FB4"/>
    <w:rsid w:val="007837F6"/>
    <w:rsid w:val="007861DA"/>
    <w:rsid w:val="00787048"/>
    <w:rsid w:val="007916A3"/>
    <w:rsid w:val="00793C56"/>
    <w:rsid w:val="00793EDB"/>
    <w:rsid w:val="007A3148"/>
    <w:rsid w:val="007A6847"/>
    <w:rsid w:val="007A7077"/>
    <w:rsid w:val="007A729C"/>
    <w:rsid w:val="007A7A68"/>
    <w:rsid w:val="007B0728"/>
    <w:rsid w:val="007C1E73"/>
    <w:rsid w:val="007C3A8D"/>
    <w:rsid w:val="007C55B1"/>
    <w:rsid w:val="007C653F"/>
    <w:rsid w:val="007D4C6C"/>
    <w:rsid w:val="007D6F54"/>
    <w:rsid w:val="007E3EC4"/>
    <w:rsid w:val="007E445C"/>
    <w:rsid w:val="007F5E4E"/>
    <w:rsid w:val="0080168A"/>
    <w:rsid w:val="00803674"/>
    <w:rsid w:val="00813AA9"/>
    <w:rsid w:val="00814E0B"/>
    <w:rsid w:val="008166DE"/>
    <w:rsid w:val="008167A2"/>
    <w:rsid w:val="00822064"/>
    <w:rsid w:val="00823C97"/>
    <w:rsid w:val="008331C5"/>
    <w:rsid w:val="00833A1A"/>
    <w:rsid w:val="00840093"/>
    <w:rsid w:val="00844FF3"/>
    <w:rsid w:val="00846705"/>
    <w:rsid w:val="00855ECB"/>
    <w:rsid w:val="00857096"/>
    <w:rsid w:val="008715C4"/>
    <w:rsid w:val="00872F2E"/>
    <w:rsid w:val="00873A21"/>
    <w:rsid w:val="00880F9B"/>
    <w:rsid w:val="00881DD3"/>
    <w:rsid w:val="00887D2C"/>
    <w:rsid w:val="008905C5"/>
    <w:rsid w:val="00891853"/>
    <w:rsid w:val="008A485E"/>
    <w:rsid w:val="008A505E"/>
    <w:rsid w:val="008C0793"/>
    <w:rsid w:val="008C080C"/>
    <w:rsid w:val="008C0D8C"/>
    <w:rsid w:val="008C204B"/>
    <w:rsid w:val="008C515A"/>
    <w:rsid w:val="008C704A"/>
    <w:rsid w:val="008C75FC"/>
    <w:rsid w:val="008D0145"/>
    <w:rsid w:val="008D19F9"/>
    <w:rsid w:val="008D1D57"/>
    <w:rsid w:val="008D2C0B"/>
    <w:rsid w:val="008D67CA"/>
    <w:rsid w:val="008D7166"/>
    <w:rsid w:val="008E642A"/>
    <w:rsid w:val="008F0ED6"/>
    <w:rsid w:val="008F1027"/>
    <w:rsid w:val="008F2373"/>
    <w:rsid w:val="008F52DF"/>
    <w:rsid w:val="00900E46"/>
    <w:rsid w:val="00905476"/>
    <w:rsid w:val="00913E2F"/>
    <w:rsid w:val="00915CCB"/>
    <w:rsid w:val="00915D6E"/>
    <w:rsid w:val="009211E7"/>
    <w:rsid w:val="00924C27"/>
    <w:rsid w:val="00925F62"/>
    <w:rsid w:val="00931FEF"/>
    <w:rsid w:val="009330EA"/>
    <w:rsid w:val="00933133"/>
    <w:rsid w:val="00936F1D"/>
    <w:rsid w:val="00942C25"/>
    <w:rsid w:val="00951850"/>
    <w:rsid w:val="00955A04"/>
    <w:rsid w:val="009600A7"/>
    <w:rsid w:val="00962B25"/>
    <w:rsid w:val="00962CEA"/>
    <w:rsid w:val="00964557"/>
    <w:rsid w:val="00964940"/>
    <w:rsid w:val="0096562A"/>
    <w:rsid w:val="00966096"/>
    <w:rsid w:val="00966714"/>
    <w:rsid w:val="009742BB"/>
    <w:rsid w:val="009747EB"/>
    <w:rsid w:val="00975066"/>
    <w:rsid w:val="009761F4"/>
    <w:rsid w:val="00980691"/>
    <w:rsid w:val="009823E0"/>
    <w:rsid w:val="00985FBB"/>
    <w:rsid w:val="00987C8B"/>
    <w:rsid w:val="00997BDC"/>
    <w:rsid w:val="009A1ADA"/>
    <w:rsid w:val="009B12A8"/>
    <w:rsid w:val="009B15C5"/>
    <w:rsid w:val="009B203C"/>
    <w:rsid w:val="009B6EF1"/>
    <w:rsid w:val="009B7809"/>
    <w:rsid w:val="009C6EA4"/>
    <w:rsid w:val="009C761E"/>
    <w:rsid w:val="009E131E"/>
    <w:rsid w:val="009E5637"/>
    <w:rsid w:val="009E67B6"/>
    <w:rsid w:val="009F0718"/>
    <w:rsid w:val="009F4976"/>
    <w:rsid w:val="009F4A2F"/>
    <w:rsid w:val="009F757A"/>
    <w:rsid w:val="00A0024F"/>
    <w:rsid w:val="00A00457"/>
    <w:rsid w:val="00A05927"/>
    <w:rsid w:val="00A0624B"/>
    <w:rsid w:val="00A07E1C"/>
    <w:rsid w:val="00A102DF"/>
    <w:rsid w:val="00A2462A"/>
    <w:rsid w:val="00A269AA"/>
    <w:rsid w:val="00A27AE3"/>
    <w:rsid w:val="00A34983"/>
    <w:rsid w:val="00A35A27"/>
    <w:rsid w:val="00A361F5"/>
    <w:rsid w:val="00A414A1"/>
    <w:rsid w:val="00A4746E"/>
    <w:rsid w:val="00A51187"/>
    <w:rsid w:val="00A522E6"/>
    <w:rsid w:val="00A63163"/>
    <w:rsid w:val="00A67038"/>
    <w:rsid w:val="00A67C53"/>
    <w:rsid w:val="00A70AA2"/>
    <w:rsid w:val="00A72AC8"/>
    <w:rsid w:val="00A73867"/>
    <w:rsid w:val="00A742E9"/>
    <w:rsid w:val="00A93502"/>
    <w:rsid w:val="00A96FE8"/>
    <w:rsid w:val="00AA45CD"/>
    <w:rsid w:val="00AB3A8E"/>
    <w:rsid w:val="00AC318A"/>
    <w:rsid w:val="00AD36BC"/>
    <w:rsid w:val="00AE0AD2"/>
    <w:rsid w:val="00AE16E1"/>
    <w:rsid w:val="00AE5036"/>
    <w:rsid w:val="00AF0547"/>
    <w:rsid w:val="00AF11F8"/>
    <w:rsid w:val="00AF6DE7"/>
    <w:rsid w:val="00B002A5"/>
    <w:rsid w:val="00B02994"/>
    <w:rsid w:val="00B0780C"/>
    <w:rsid w:val="00B111DD"/>
    <w:rsid w:val="00B13E97"/>
    <w:rsid w:val="00B20C74"/>
    <w:rsid w:val="00B2127B"/>
    <w:rsid w:val="00B23EE3"/>
    <w:rsid w:val="00B31AD4"/>
    <w:rsid w:val="00B329ED"/>
    <w:rsid w:val="00B34AA1"/>
    <w:rsid w:val="00B503E2"/>
    <w:rsid w:val="00B532BE"/>
    <w:rsid w:val="00B55875"/>
    <w:rsid w:val="00B55F25"/>
    <w:rsid w:val="00B57F82"/>
    <w:rsid w:val="00B6436B"/>
    <w:rsid w:val="00B77CB9"/>
    <w:rsid w:val="00B866D1"/>
    <w:rsid w:val="00B96CE6"/>
    <w:rsid w:val="00BC1263"/>
    <w:rsid w:val="00BC72A2"/>
    <w:rsid w:val="00BD0A9C"/>
    <w:rsid w:val="00BD15C3"/>
    <w:rsid w:val="00BD1FDC"/>
    <w:rsid w:val="00BD355F"/>
    <w:rsid w:val="00BD645C"/>
    <w:rsid w:val="00BD6F6A"/>
    <w:rsid w:val="00BE67B7"/>
    <w:rsid w:val="00BE73C3"/>
    <w:rsid w:val="00BF02EA"/>
    <w:rsid w:val="00C03F35"/>
    <w:rsid w:val="00C05E23"/>
    <w:rsid w:val="00C14FB6"/>
    <w:rsid w:val="00C16A45"/>
    <w:rsid w:val="00C2767B"/>
    <w:rsid w:val="00C32D24"/>
    <w:rsid w:val="00C34400"/>
    <w:rsid w:val="00C36A5E"/>
    <w:rsid w:val="00C374AB"/>
    <w:rsid w:val="00C41E26"/>
    <w:rsid w:val="00C4365E"/>
    <w:rsid w:val="00C51BB4"/>
    <w:rsid w:val="00C521A0"/>
    <w:rsid w:val="00C67E4B"/>
    <w:rsid w:val="00C72624"/>
    <w:rsid w:val="00C74070"/>
    <w:rsid w:val="00C83DD8"/>
    <w:rsid w:val="00C85505"/>
    <w:rsid w:val="00C97367"/>
    <w:rsid w:val="00CB20DB"/>
    <w:rsid w:val="00CB7695"/>
    <w:rsid w:val="00CC2105"/>
    <w:rsid w:val="00CD4E88"/>
    <w:rsid w:val="00CF1AF5"/>
    <w:rsid w:val="00D02EEC"/>
    <w:rsid w:val="00D04C03"/>
    <w:rsid w:val="00D15C76"/>
    <w:rsid w:val="00D1752A"/>
    <w:rsid w:val="00D2199C"/>
    <w:rsid w:val="00D21D32"/>
    <w:rsid w:val="00D2433C"/>
    <w:rsid w:val="00D24410"/>
    <w:rsid w:val="00D245FC"/>
    <w:rsid w:val="00D26231"/>
    <w:rsid w:val="00D358EE"/>
    <w:rsid w:val="00D370E3"/>
    <w:rsid w:val="00D37D1E"/>
    <w:rsid w:val="00D42CE4"/>
    <w:rsid w:val="00D47508"/>
    <w:rsid w:val="00D50B74"/>
    <w:rsid w:val="00D5503C"/>
    <w:rsid w:val="00D56F76"/>
    <w:rsid w:val="00D61BC4"/>
    <w:rsid w:val="00D704DD"/>
    <w:rsid w:val="00D84A65"/>
    <w:rsid w:val="00D8638F"/>
    <w:rsid w:val="00D92927"/>
    <w:rsid w:val="00D94CCD"/>
    <w:rsid w:val="00D9543B"/>
    <w:rsid w:val="00D97D57"/>
    <w:rsid w:val="00DA0178"/>
    <w:rsid w:val="00DA0B10"/>
    <w:rsid w:val="00DA5237"/>
    <w:rsid w:val="00DB5A96"/>
    <w:rsid w:val="00DB7B24"/>
    <w:rsid w:val="00DD1112"/>
    <w:rsid w:val="00DD1970"/>
    <w:rsid w:val="00DE241A"/>
    <w:rsid w:val="00DE339E"/>
    <w:rsid w:val="00DE3777"/>
    <w:rsid w:val="00DE3C81"/>
    <w:rsid w:val="00DE3C87"/>
    <w:rsid w:val="00DF01BE"/>
    <w:rsid w:val="00DF41C5"/>
    <w:rsid w:val="00DF623A"/>
    <w:rsid w:val="00E01A5B"/>
    <w:rsid w:val="00E01FCB"/>
    <w:rsid w:val="00E02D93"/>
    <w:rsid w:val="00E032C4"/>
    <w:rsid w:val="00E11093"/>
    <w:rsid w:val="00E11B1B"/>
    <w:rsid w:val="00E25226"/>
    <w:rsid w:val="00E269ED"/>
    <w:rsid w:val="00E3F08B"/>
    <w:rsid w:val="00E41369"/>
    <w:rsid w:val="00E41694"/>
    <w:rsid w:val="00E41FC0"/>
    <w:rsid w:val="00E50545"/>
    <w:rsid w:val="00E50F70"/>
    <w:rsid w:val="00E52465"/>
    <w:rsid w:val="00E52C9D"/>
    <w:rsid w:val="00E62C1E"/>
    <w:rsid w:val="00E650F6"/>
    <w:rsid w:val="00E66539"/>
    <w:rsid w:val="00E66F84"/>
    <w:rsid w:val="00E67EA7"/>
    <w:rsid w:val="00E741B0"/>
    <w:rsid w:val="00E75DAF"/>
    <w:rsid w:val="00E76CD6"/>
    <w:rsid w:val="00E87662"/>
    <w:rsid w:val="00EA10B8"/>
    <w:rsid w:val="00EA1CED"/>
    <w:rsid w:val="00EA7B7E"/>
    <w:rsid w:val="00EB2B85"/>
    <w:rsid w:val="00EB5D34"/>
    <w:rsid w:val="00EC2858"/>
    <w:rsid w:val="00EC5282"/>
    <w:rsid w:val="00ED79E7"/>
    <w:rsid w:val="00EF0F06"/>
    <w:rsid w:val="00EF1503"/>
    <w:rsid w:val="00F00A1E"/>
    <w:rsid w:val="00F0494B"/>
    <w:rsid w:val="00F12835"/>
    <w:rsid w:val="00F12C9F"/>
    <w:rsid w:val="00F12D48"/>
    <w:rsid w:val="00F27AF5"/>
    <w:rsid w:val="00F315EA"/>
    <w:rsid w:val="00F40D82"/>
    <w:rsid w:val="00F43E82"/>
    <w:rsid w:val="00F46476"/>
    <w:rsid w:val="00F47DFD"/>
    <w:rsid w:val="00F678E3"/>
    <w:rsid w:val="00F742ED"/>
    <w:rsid w:val="00F76726"/>
    <w:rsid w:val="00F82030"/>
    <w:rsid w:val="00F852AA"/>
    <w:rsid w:val="00F871F6"/>
    <w:rsid w:val="00F904C0"/>
    <w:rsid w:val="00F934FD"/>
    <w:rsid w:val="00F93BD2"/>
    <w:rsid w:val="00F95DD3"/>
    <w:rsid w:val="00FA106E"/>
    <w:rsid w:val="00FA40A0"/>
    <w:rsid w:val="00FA5091"/>
    <w:rsid w:val="00FA5B49"/>
    <w:rsid w:val="00FA66B6"/>
    <w:rsid w:val="00FB11B6"/>
    <w:rsid w:val="00FC4E70"/>
    <w:rsid w:val="00FC5309"/>
    <w:rsid w:val="00FD1A04"/>
    <w:rsid w:val="00FD5B3B"/>
    <w:rsid w:val="00FD5CBC"/>
    <w:rsid w:val="00FD5EA3"/>
    <w:rsid w:val="00FE08C1"/>
    <w:rsid w:val="00FE1114"/>
    <w:rsid w:val="00FE3A04"/>
    <w:rsid w:val="00FF274F"/>
    <w:rsid w:val="00FF3CF6"/>
    <w:rsid w:val="00FF6A22"/>
    <w:rsid w:val="01435A65"/>
    <w:rsid w:val="01638798"/>
    <w:rsid w:val="0190A732"/>
    <w:rsid w:val="02B56C41"/>
    <w:rsid w:val="02F3280E"/>
    <w:rsid w:val="0304B88E"/>
    <w:rsid w:val="03A95C5D"/>
    <w:rsid w:val="040EC11C"/>
    <w:rsid w:val="042BB0D1"/>
    <w:rsid w:val="04581FFE"/>
    <w:rsid w:val="0463AB59"/>
    <w:rsid w:val="047C5893"/>
    <w:rsid w:val="059B2020"/>
    <w:rsid w:val="05E0B0E0"/>
    <w:rsid w:val="077695DB"/>
    <w:rsid w:val="078F34E6"/>
    <w:rsid w:val="07B2A02D"/>
    <w:rsid w:val="0834D05E"/>
    <w:rsid w:val="0851B07E"/>
    <w:rsid w:val="08A29940"/>
    <w:rsid w:val="091FFFEE"/>
    <w:rsid w:val="09382FB5"/>
    <w:rsid w:val="095B8E0F"/>
    <w:rsid w:val="09781268"/>
    <w:rsid w:val="09A02F5B"/>
    <w:rsid w:val="09B32192"/>
    <w:rsid w:val="0A5AA25B"/>
    <w:rsid w:val="0A5B389D"/>
    <w:rsid w:val="0A7E29AA"/>
    <w:rsid w:val="0A8271F9"/>
    <w:rsid w:val="0A8417DE"/>
    <w:rsid w:val="0AD96362"/>
    <w:rsid w:val="0B1344CA"/>
    <w:rsid w:val="0B1C86D4"/>
    <w:rsid w:val="0B36506A"/>
    <w:rsid w:val="0B8C0EFE"/>
    <w:rsid w:val="0BC85D75"/>
    <w:rsid w:val="0BCA20E5"/>
    <w:rsid w:val="0C2D51A9"/>
    <w:rsid w:val="0CA50E1A"/>
    <w:rsid w:val="0CF5D287"/>
    <w:rsid w:val="0CFEE011"/>
    <w:rsid w:val="0D8B2AD6"/>
    <w:rsid w:val="0DC043ED"/>
    <w:rsid w:val="0DDA396A"/>
    <w:rsid w:val="0DEAEC9C"/>
    <w:rsid w:val="0E62429E"/>
    <w:rsid w:val="0E97EF16"/>
    <w:rsid w:val="0F9D67E6"/>
    <w:rsid w:val="0FB95291"/>
    <w:rsid w:val="0FFC8B26"/>
    <w:rsid w:val="10195708"/>
    <w:rsid w:val="10855483"/>
    <w:rsid w:val="10A8903D"/>
    <w:rsid w:val="11021E73"/>
    <w:rsid w:val="1144C74F"/>
    <w:rsid w:val="117FD0C4"/>
    <w:rsid w:val="11D4E095"/>
    <w:rsid w:val="1267A6C5"/>
    <w:rsid w:val="12746C4E"/>
    <w:rsid w:val="12A54805"/>
    <w:rsid w:val="12A9DB73"/>
    <w:rsid w:val="131493B7"/>
    <w:rsid w:val="131D5309"/>
    <w:rsid w:val="1344A2B0"/>
    <w:rsid w:val="1350166E"/>
    <w:rsid w:val="1361F257"/>
    <w:rsid w:val="137303F4"/>
    <w:rsid w:val="1408B043"/>
    <w:rsid w:val="140D3772"/>
    <w:rsid w:val="143A634E"/>
    <w:rsid w:val="14923969"/>
    <w:rsid w:val="1503CA20"/>
    <w:rsid w:val="153B4055"/>
    <w:rsid w:val="15C3805A"/>
    <w:rsid w:val="15FD2532"/>
    <w:rsid w:val="16010D3A"/>
    <w:rsid w:val="17208B04"/>
    <w:rsid w:val="177407CB"/>
    <w:rsid w:val="17D5F04E"/>
    <w:rsid w:val="188969ED"/>
    <w:rsid w:val="19468299"/>
    <w:rsid w:val="19572253"/>
    <w:rsid w:val="19A3C8EA"/>
    <w:rsid w:val="1A383EF1"/>
    <w:rsid w:val="1A72E619"/>
    <w:rsid w:val="1AA8C46C"/>
    <w:rsid w:val="1B15BBEF"/>
    <w:rsid w:val="1B4B9BFC"/>
    <w:rsid w:val="1B6F71FA"/>
    <w:rsid w:val="1B8C3678"/>
    <w:rsid w:val="1BFC7E23"/>
    <w:rsid w:val="1C11499C"/>
    <w:rsid w:val="1C5C0E41"/>
    <w:rsid w:val="1C91F02A"/>
    <w:rsid w:val="1E27A94B"/>
    <w:rsid w:val="1E3F61C8"/>
    <w:rsid w:val="1E622614"/>
    <w:rsid w:val="1E90160F"/>
    <w:rsid w:val="1EC55116"/>
    <w:rsid w:val="209700DC"/>
    <w:rsid w:val="2122EF93"/>
    <w:rsid w:val="220262D6"/>
    <w:rsid w:val="2251CFDD"/>
    <w:rsid w:val="229CCFD6"/>
    <w:rsid w:val="22B832BD"/>
    <w:rsid w:val="22CF01D6"/>
    <w:rsid w:val="2372DB0B"/>
    <w:rsid w:val="237424B2"/>
    <w:rsid w:val="23BA3893"/>
    <w:rsid w:val="24656695"/>
    <w:rsid w:val="249DC501"/>
    <w:rsid w:val="24A2B18E"/>
    <w:rsid w:val="24ED0AF8"/>
    <w:rsid w:val="250D42BA"/>
    <w:rsid w:val="253D9386"/>
    <w:rsid w:val="2545438B"/>
    <w:rsid w:val="259A60F0"/>
    <w:rsid w:val="2601CEA8"/>
    <w:rsid w:val="266E105B"/>
    <w:rsid w:val="2670B3C6"/>
    <w:rsid w:val="26BAE798"/>
    <w:rsid w:val="26EB1363"/>
    <w:rsid w:val="275AE447"/>
    <w:rsid w:val="27B77B79"/>
    <w:rsid w:val="27E5EC3A"/>
    <w:rsid w:val="281A0A8A"/>
    <w:rsid w:val="2876ADEB"/>
    <w:rsid w:val="28F8F313"/>
    <w:rsid w:val="293B530A"/>
    <w:rsid w:val="293E85D7"/>
    <w:rsid w:val="2942DC74"/>
    <w:rsid w:val="2A0AD4A4"/>
    <w:rsid w:val="2AF494D0"/>
    <w:rsid w:val="2AFA0840"/>
    <w:rsid w:val="2B18CEEC"/>
    <w:rsid w:val="2BE03320"/>
    <w:rsid w:val="2BE3221C"/>
    <w:rsid w:val="2C4D70CE"/>
    <w:rsid w:val="2C6F4C08"/>
    <w:rsid w:val="2C89A93A"/>
    <w:rsid w:val="2CAEAE3F"/>
    <w:rsid w:val="2D715A2B"/>
    <w:rsid w:val="2D892D0C"/>
    <w:rsid w:val="2DC90643"/>
    <w:rsid w:val="2EA3A9F4"/>
    <w:rsid w:val="2ED7AB5A"/>
    <w:rsid w:val="2EEEB5F6"/>
    <w:rsid w:val="2EF741B7"/>
    <w:rsid w:val="2FE72BFD"/>
    <w:rsid w:val="3033BDE4"/>
    <w:rsid w:val="30465E9A"/>
    <w:rsid w:val="3085B2FC"/>
    <w:rsid w:val="30E49CB0"/>
    <w:rsid w:val="3129AC01"/>
    <w:rsid w:val="31D05AD0"/>
    <w:rsid w:val="31F0FB1A"/>
    <w:rsid w:val="3248FD77"/>
    <w:rsid w:val="328E6866"/>
    <w:rsid w:val="32D6B39F"/>
    <w:rsid w:val="32F666A2"/>
    <w:rsid w:val="3307A89C"/>
    <w:rsid w:val="33FAA6CD"/>
    <w:rsid w:val="33FAC3A2"/>
    <w:rsid w:val="3410B5CC"/>
    <w:rsid w:val="3475AFE2"/>
    <w:rsid w:val="34CE5073"/>
    <w:rsid w:val="355A4E48"/>
    <w:rsid w:val="355B300B"/>
    <w:rsid w:val="3589D4F6"/>
    <w:rsid w:val="35ECF0CB"/>
    <w:rsid w:val="362476B4"/>
    <w:rsid w:val="369E2E43"/>
    <w:rsid w:val="371EB145"/>
    <w:rsid w:val="37575083"/>
    <w:rsid w:val="379EE086"/>
    <w:rsid w:val="37FF8C56"/>
    <w:rsid w:val="383CD4DB"/>
    <w:rsid w:val="3900879E"/>
    <w:rsid w:val="39A963B7"/>
    <w:rsid w:val="3A502D83"/>
    <w:rsid w:val="3AC32200"/>
    <w:rsid w:val="3D22ECEF"/>
    <w:rsid w:val="3DF4249D"/>
    <w:rsid w:val="3E6E9929"/>
    <w:rsid w:val="3EBA35FC"/>
    <w:rsid w:val="3EC651A3"/>
    <w:rsid w:val="3F6F6998"/>
    <w:rsid w:val="400CE3BC"/>
    <w:rsid w:val="405485A0"/>
    <w:rsid w:val="40671799"/>
    <w:rsid w:val="407432AA"/>
    <w:rsid w:val="40B285E3"/>
    <w:rsid w:val="415307E3"/>
    <w:rsid w:val="41738EA2"/>
    <w:rsid w:val="41C9C6A5"/>
    <w:rsid w:val="42388086"/>
    <w:rsid w:val="427B7E1B"/>
    <w:rsid w:val="42848C42"/>
    <w:rsid w:val="4285FD6B"/>
    <w:rsid w:val="43136B0B"/>
    <w:rsid w:val="4371F439"/>
    <w:rsid w:val="442F2B5C"/>
    <w:rsid w:val="44B2EDC4"/>
    <w:rsid w:val="44CBAA06"/>
    <w:rsid w:val="4511FFA2"/>
    <w:rsid w:val="457E9E45"/>
    <w:rsid w:val="45B3AC3B"/>
    <w:rsid w:val="45B826C3"/>
    <w:rsid w:val="45C7DD7C"/>
    <w:rsid w:val="463A3D27"/>
    <w:rsid w:val="4654690E"/>
    <w:rsid w:val="490A4C5B"/>
    <w:rsid w:val="493B51F2"/>
    <w:rsid w:val="49EC8FA1"/>
    <w:rsid w:val="4A60C3C6"/>
    <w:rsid w:val="4A6431ED"/>
    <w:rsid w:val="4BC1D998"/>
    <w:rsid w:val="4C59B5BA"/>
    <w:rsid w:val="4C997D83"/>
    <w:rsid w:val="4DAC484C"/>
    <w:rsid w:val="4DC629B3"/>
    <w:rsid w:val="4E30C967"/>
    <w:rsid w:val="4E8DBA99"/>
    <w:rsid w:val="4EABF52D"/>
    <w:rsid w:val="4EC185E5"/>
    <w:rsid w:val="4F18E094"/>
    <w:rsid w:val="4FD99988"/>
    <w:rsid w:val="502363E9"/>
    <w:rsid w:val="5156BE8B"/>
    <w:rsid w:val="516B87D3"/>
    <w:rsid w:val="521EED1A"/>
    <w:rsid w:val="523E70B6"/>
    <w:rsid w:val="52C45C01"/>
    <w:rsid w:val="538DE2F3"/>
    <w:rsid w:val="5393F547"/>
    <w:rsid w:val="53A904AA"/>
    <w:rsid w:val="53F67B6A"/>
    <w:rsid w:val="54A7080E"/>
    <w:rsid w:val="54C73876"/>
    <w:rsid w:val="54E0A007"/>
    <w:rsid w:val="54E22026"/>
    <w:rsid w:val="55122C99"/>
    <w:rsid w:val="562E78D7"/>
    <w:rsid w:val="5645232E"/>
    <w:rsid w:val="5658FD0B"/>
    <w:rsid w:val="57842F48"/>
    <w:rsid w:val="57B092D9"/>
    <w:rsid w:val="58039300"/>
    <w:rsid w:val="582F45E1"/>
    <w:rsid w:val="5853B6BF"/>
    <w:rsid w:val="58753CED"/>
    <w:rsid w:val="589D45C2"/>
    <w:rsid w:val="58E9BEA1"/>
    <w:rsid w:val="58F920C0"/>
    <w:rsid w:val="59BB7F3B"/>
    <w:rsid w:val="59D6C4D7"/>
    <w:rsid w:val="59E9D4D5"/>
    <w:rsid w:val="5B6C6FD6"/>
    <w:rsid w:val="5B82D666"/>
    <w:rsid w:val="5B8D9D03"/>
    <w:rsid w:val="5B8E03E4"/>
    <w:rsid w:val="5CA66D90"/>
    <w:rsid w:val="5CE37E2C"/>
    <w:rsid w:val="5EAF15A0"/>
    <w:rsid w:val="5FBCC1A0"/>
    <w:rsid w:val="606C1BC8"/>
    <w:rsid w:val="60B35206"/>
    <w:rsid w:val="60C3BD8E"/>
    <w:rsid w:val="60F8B076"/>
    <w:rsid w:val="61037DDD"/>
    <w:rsid w:val="61B9AFAA"/>
    <w:rsid w:val="621DE311"/>
    <w:rsid w:val="625E2952"/>
    <w:rsid w:val="6294254E"/>
    <w:rsid w:val="62978DD3"/>
    <w:rsid w:val="629C300D"/>
    <w:rsid w:val="632610B6"/>
    <w:rsid w:val="63345A53"/>
    <w:rsid w:val="6335200B"/>
    <w:rsid w:val="6363346D"/>
    <w:rsid w:val="63A232DD"/>
    <w:rsid w:val="640C5C98"/>
    <w:rsid w:val="650A38F2"/>
    <w:rsid w:val="6571A24A"/>
    <w:rsid w:val="658DB1BE"/>
    <w:rsid w:val="65D43C41"/>
    <w:rsid w:val="6610AC11"/>
    <w:rsid w:val="66B536DC"/>
    <w:rsid w:val="6714DFEF"/>
    <w:rsid w:val="67D2CCF0"/>
    <w:rsid w:val="680CA7A0"/>
    <w:rsid w:val="683BA1B9"/>
    <w:rsid w:val="6884E82C"/>
    <w:rsid w:val="68BD26A3"/>
    <w:rsid w:val="68FE286F"/>
    <w:rsid w:val="6901B7F6"/>
    <w:rsid w:val="6904EB2A"/>
    <w:rsid w:val="692BB527"/>
    <w:rsid w:val="69976A53"/>
    <w:rsid w:val="69D882F5"/>
    <w:rsid w:val="69E85E52"/>
    <w:rsid w:val="6A6DF9A7"/>
    <w:rsid w:val="6ACABD27"/>
    <w:rsid w:val="6B66DAD7"/>
    <w:rsid w:val="6C36460E"/>
    <w:rsid w:val="6C71DDEB"/>
    <w:rsid w:val="6CE343EF"/>
    <w:rsid w:val="6D2D1D15"/>
    <w:rsid w:val="6D49AC20"/>
    <w:rsid w:val="6D4AB379"/>
    <w:rsid w:val="6D93ED81"/>
    <w:rsid w:val="6DBF79AE"/>
    <w:rsid w:val="6E1A166D"/>
    <w:rsid w:val="6E435270"/>
    <w:rsid w:val="6ED291E2"/>
    <w:rsid w:val="6FB66014"/>
    <w:rsid w:val="6FCEA254"/>
    <w:rsid w:val="709F65D1"/>
    <w:rsid w:val="723D5D17"/>
    <w:rsid w:val="727D6617"/>
    <w:rsid w:val="72F71FCC"/>
    <w:rsid w:val="7313762C"/>
    <w:rsid w:val="7327CD71"/>
    <w:rsid w:val="7335BEC1"/>
    <w:rsid w:val="737926E4"/>
    <w:rsid w:val="7485FDBB"/>
    <w:rsid w:val="74C3ED9E"/>
    <w:rsid w:val="74E00C32"/>
    <w:rsid w:val="750744B3"/>
    <w:rsid w:val="75B45C61"/>
    <w:rsid w:val="7602D968"/>
    <w:rsid w:val="761BBA86"/>
    <w:rsid w:val="762BE590"/>
    <w:rsid w:val="764C7A19"/>
    <w:rsid w:val="77361115"/>
    <w:rsid w:val="7774B495"/>
    <w:rsid w:val="7774BC5B"/>
    <w:rsid w:val="77BD45CD"/>
    <w:rsid w:val="7801F56D"/>
    <w:rsid w:val="78A83E69"/>
    <w:rsid w:val="791FB106"/>
    <w:rsid w:val="79F19AD0"/>
    <w:rsid w:val="7A0E5919"/>
    <w:rsid w:val="7A8DAB97"/>
    <w:rsid w:val="7B23390B"/>
    <w:rsid w:val="7B4A40C4"/>
    <w:rsid w:val="7B7A70C7"/>
    <w:rsid w:val="7B893EF6"/>
    <w:rsid w:val="7BE0346E"/>
    <w:rsid w:val="7BE9110B"/>
    <w:rsid w:val="7C220E42"/>
    <w:rsid w:val="7C956DA1"/>
    <w:rsid w:val="7CA12EE6"/>
    <w:rsid w:val="7CA2D3A5"/>
    <w:rsid w:val="7CAE505A"/>
    <w:rsid w:val="7CDF48EB"/>
    <w:rsid w:val="7D11F68C"/>
    <w:rsid w:val="7D751190"/>
    <w:rsid w:val="7D8A5117"/>
    <w:rsid w:val="7DB78B72"/>
    <w:rsid w:val="7E68B212"/>
    <w:rsid w:val="7F8E1EDF"/>
    <w:rsid w:val="7FB0713F"/>
    <w:rsid w:val="7FE0DC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B2F0"/>
  <w15:chartTrackingRefBased/>
  <w15:docId w15:val="{797853A8-0C78-4882-9F02-63B468D6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0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0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08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08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08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08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08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08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08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08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08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08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08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08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08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08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08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083C"/>
    <w:rPr>
      <w:rFonts w:eastAsiaTheme="majorEastAsia" w:cstheme="majorBidi"/>
      <w:color w:val="272727" w:themeColor="text1" w:themeTint="D8"/>
    </w:rPr>
  </w:style>
  <w:style w:type="paragraph" w:styleId="Ttulo">
    <w:name w:val="Title"/>
    <w:basedOn w:val="Normal"/>
    <w:next w:val="Normal"/>
    <w:link w:val="TtuloCar"/>
    <w:uiPriority w:val="10"/>
    <w:qFormat/>
    <w:rsid w:val="00030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08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08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08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083C"/>
    <w:pPr>
      <w:spacing w:before="160"/>
      <w:jc w:val="center"/>
    </w:pPr>
    <w:rPr>
      <w:i/>
      <w:iCs/>
      <w:color w:val="404040" w:themeColor="text1" w:themeTint="BF"/>
    </w:rPr>
  </w:style>
  <w:style w:type="character" w:customStyle="1" w:styleId="CitaCar">
    <w:name w:val="Cita Car"/>
    <w:basedOn w:val="Fuentedeprrafopredeter"/>
    <w:link w:val="Cita"/>
    <w:uiPriority w:val="29"/>
    <w:rsid w:val="0003083C"/>
    <w:rPr>
      <w:i/>
      <w:iCs/>
      <w:color w:val="404040" w:themeColor="text1" w:themeTint="BF"/>
    </w:rPr>
  </w:style>
  <w:style w:type="paragraph" w:styleId="Prrafodelista">
    <w:name w:val="List Paragraph"/>
    <w:basedOn w:val="Normal"/>
    <w:uiPriority w:val="34"/>
    <w:qFormat/>
    <w:rsid w:val="0003083C"/>
    <w:pPr>
      <w:ind w:left="720"/>
      <w:contextualSpacing/>
    </w:pPr>
  </w:style>
  <w:style w:type="character" w:styleId="nfasisintenso">
    <w:name w:val="Intense Emphasis"/>
    <w:basedOn w:val="Fuentedeprrafopredeter"/>
    <w:uiPriority w:val="21"/>
    <w:qFormat/>
    <w:rsid w:val="0003083C"/>
    <w:rPr>
      <w:i/>
      <w:iCs/>
      <w:color w:val="0F4761" w:themeColor="accent1" w:themeShade="BF"/>
    </w:rPr>
  </w:style>
  <w:style w:type="paragraph" w:styleId="Citadestacada">
    <w:name w:val="Intense Quote"/>
    <w:basedOn w:val="Normal"/>
    <w:next w:val="Normal"/>
    <w:link w:val="CitadestacadaCar"/>
    <w:uiPriority w:val="30"/>
    <w:qFormat/>
    <w:rsid w:val="00030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083C"/>
    <w:rPr>
      <w:i/>
      <w:iCs/>
      <w:color w:val="0F4761" w:themeColor="accent1" w:themeShade="BF"/>
    </w:rPr>
  </w:style>
  <w:style w:type="character" w:styleId="Referenciaintensa">
    <w:name w:val="Intense Reference"/>
    <w:basedOn w:val="Fuentedeprrafopredeter"/>
    <w:uiPriority w:val="32"/>
    <w:qFormat/>
    <w:rsid w:val="0003083C"/>
    <w:rPr>
      <w:b/>
      <w:bCs/>
      <w:smallCaps/>
      <w:color w:val="0F4761" w:themeColor="accent1" w:themeShade="BF"/>
      <w:spacing w:val="5"/>
    </w:rPr>
  </w:style>
  <w:style w:type="paragraph" w:styleId="NormalWeb">
    <w:name w:val="Normal (Web)"/>
    <w:basedOn w:val="Normal"/>
    <w:uiPriority w:val="99"/>
    <w:semiHidden/>
    <w:unhideWhenUsed/>
    <w:rsid w:val="008D19F9"/>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styleId="Textonotapie">
    <w:name w:val="footnote text"/>
    <w:basedOn w:val="Normal"/>
    <w:link w:val="TextonotapieCar"/>
    <w:uiPriority w:val="99"/>
    <w:semiHidden/>
    <w:unhideWhenUsed/>
    <w:rsid w:val="00C41E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1E26"/>
    <w:rPr>
      <w:sz w:val="20"/>
      <w:szCs w:val="20"/>
    </w:rPr>
  </w:style>
  <w:style w:type="character" w:styleId="Refdenotaalpie">
    <w:name w:val="footnote reference"/>
    <w:basedOn w:val="Fuentedeprrafopredeter"/>
    <w:uiPriority w:val="99"/>
    <w:semiHidden/>
    <w:unhideWhenUsed/>
    <w:rsid w:val="00C41E26"/>
    <w:rPr>
      <w:vertAlign w:val="superscript"/>
    </w:rPr>
  </w:style>
  <w:style w:type="character" w:styleId="Hipervnculo">
    <w:name w:val="Hyperlink"/>
    <w:basedOn w:val="Fuentedeprrafopredeter"/>
    <w:uiPriority w:val="99"/>
    <w:unhideWhenUsed/>
    <w:rsid w:val="00D92927"/>
    <w:rPr>
      <w:color w:val="467886" w:themeColor="hyperlink"/>
      <w:u w:val="single"/>
    </w:rPr>
  </w:style>
  <w:style w:type="character" w:styleId="Mencinsinresolver">
    <w:name w:val="Unresolved Mention"/>
    <w:basedOn w:val="Fuentedeprrafopredeter"/>
    <w:uiPriority w:val="99"/>
    <w:semiHidden/>
    <w:unhideWhenUsed/>
    <w:rsid w:val="00D92927"/>
    <w:rPr>
      <w:color w:val="605E5C"/>
      <w:shd w:val="clear" w:color="auto" w:fill="E1DFDD"/>
    </w:rPr>
  </w:style>
  <w:style w:type="paragraph" w:styleId="Encabezado">
    <w:name w:val="header"/>
    <w:basedOn w:val="Normal"/>
    <w:link w:val="EncabezadoCar"/>
    <w:uiPriority w:val="99"/>
    <w:unhideWhenUsed/>
    <w:rsid w:val="001800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0066"/>
  </w:style>
  <w:style w:type="paragraph" w:styleId="Piedepgina">
    <w:name w:val="footer"/>
    <w:basedOn w:val="Normal"/>
    <w:link w:val="PiedepginaCar"/>
    <w:uiPriority w:val="99"/>
    <w:unhideWhenUsed/>
    <w:rsid w:val="001800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0066"/>
  </w:style>
  <w:style w:type="paragraph" w:customStyle="1" w:styleId="Default">
    <w:name w:val="Default"/>
    <w:rsid w:val="006A7257"/>
    <w:pPr>
      <w:autoSpaceDE w:val="0"/>
      <w:autoSpaceDN w:val="0"/>
      <w:adjustRightInd w:val="0"/>
      <w:spacing w:after="0" w:line="240" w:lineRule="auto"/>
    </w:pPr>
    <w:rPr>
      <w:rFonts w:ascii="Arial" w:hAnsi="Arial" w:cs="Arial"/>
      <w:color w:val="000000"/>
      <w:kern w:val="0"/>
    </w:rPr>
  </w:style>
  <w:style w:type="paragraph" w:styleId="Revisin">
    <w:name w:val="Revision"/>
    <w:hidden/>
    <w:uiPriority w:val="99"/>
    <w:semiHidden/>
    <w:rsid w:val="009F4976"/>
    <w:pPr>
      <w:spacing w:after="0" w:line="240" w:lineRule="auto"/>
    </w:pPr>
  </w:style>
  <w:style w:type="character" w:styleId="Refdecomentario">
    <w:name w:val="annotation reference"/>
    <w:basedOn w:val="Fuentedeprrafopredeter"/>
    <w:uiPriority w:val="99"/>
    <w:semiHidden/>
    <w:unhideWhenUsed/>
    <w:rsid w:val="00187933"/>
    <w:rPr>
      <w:sz w:val="16"/>
      <w:szCs w:val="16"/>
    </w:rPr>
  </w:style>
  <w:style w:type="paragraph" w:styleId="Textocomentario">
    <w:name w:val="annotation text"/>
    <w:basedOn w:val="Normal"/>
    <w:link w:val="TextocomentarioCar"/>
    <w:uiPriority w:val="99"/>
    <w:unhideWhenUsed/>
    <w:rsid w:val="00187933"/>
    <w:pPr>
      <w:spacing w:line="240" w:lineRule="auto"/>
    </w:pPr>
    <w:rPr>
      <w:sz w:val="20"/>
      <w:szCs w:val="20"/>
    </w:rPr>
  </w:style>
  <w:style w:type="character" w:customStyle="1" w:styleId="TextocomentarioCar">
    <w:name w:val="Texto comentario Car"/>
    <w:basedOn w:val="Fuentedeprrafopredeter"/>
    <w:link w:val="Textocomentario"/>
    <w:uiPriority w:val="99"/>
    <w:rsid w:val="00187933"/>
    <w:rPr>
      <w:sz w:val="20"/>
      <w:szCs w:val="20"/>
    </w:rPr>
  </w:style>
  <w:style w:type="paragraph" w:styleId="Asuntodelcomentario">
    <w:name w:val="annotation subject"/>
    <w:basedOn w:val="Textocomentario"/>
    <w:next w:val="Textocomentario"/>
    <w:link w:val="AsuntodelcomentarioCar"/>
    <w:uiPriority w:val="99"/>
    <w:semiHidden/>
    <w:unhideWhenUsed/>
    <w:rsid w:val="00187933"/>
    <w:rPr>
      <w:b/>
      <w:bCs/>
    </w:rPr>
  </w:style>
  <w:style w:type="character" w:customStyle="1" w:styleId="AsuntodelcomentarioCar">
    <w:name w:val="Asunto del comentario Car"/>
    <w:basedOn w:val="TextocomentarioCar"/>
    <w:link w:val="Asuntodelcomentario"/>
    <w:uiPriority w:val="99"/>
    <w:semiHidden/>
    <w:rsid w:val="00187933"/>
    <w:rPr>
      <w:b/>
      <w:bCs/>
      <w:sz w:val="20"/>
      <w:szCs w:val="20"/>
    </w:rPr>
  </w:style>
  <w:style w:type="paragraph" w:customStyle="1" w:styleId="pf0">
    <w:name w:val="pf0"/>
    <w:basedOn w:val="Normal"/>
    <w:rsid w:val="00E25226"/>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cf01">
    <w:name w:val="cf01"/>
    <w:basedOn w:val="Fuentedeprrafopredeter"/>
    <w:rsid w:val="00E25226"/>
    <w:rPr>
      <w:rFonts w:ascii="Segoe UI" w:hAnsi="Segoe UI" w:cs="Segoe UI" w:hint="default"/>
      <w:sz w:val="18"/>
      <w:szCs w:val="18"/>
    </w:rPr>
  </w:style>
  <w:style w:type="table" w:styleId="Tablaconcuadrcula">
    <w:name w:val="Table Grid"/>
    <w:basedOn w:val="Tablanormal"/>
    <w:uiPriority w:val="39"/>
    <w:rsid w:val="005D507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cion xmlns="a0269784-4d34-4e81-8704-71bf86e9d8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E94E7AE413B4EAAD81C914EA5857A" ma:contentTypeVersion="4" ma:contentTypeDescription="Create a new document." ma:contentTypeScope="" ma:versionID="515cf0ae728efb81997eb8cbe847e058">
  <xsd:schema xmlns:xsd="http://www.w3.org/2001/XMLSchema" xmlns:xs="http://www.w3.org/2001/XMLSchema" xmlns:p="http://schemas.microsoft.com/office/2006/metadata/properties" xmlns:ns2="a0269784-4d34-4e81-8704-71bf86e9d8c2" targetNamespace="http://schemas.microsoft.com/office/2006/metadata/properties" ma:root="true" ma:fieldsID="5dc5e9f307c7e801bdd91867ec0efe04" ns2:_="">
    <xsd:import namespace="a0269784-4d34-4e81-8704-71bf86e9d8c2"/>
    <xsd:element name="properties">
      <xsd:complexType>
        <xsd:sequence>
          <xsd:element name="documentManagement">
            <xsd:complexType>
              <xsd:all>
                <xsd:element ref="ns2:Descripc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9784-4d34-4e81-8704-71bf86e9d8c2" elementFormDefault="qualified">
    <xsd:import namespace="http://schemas.microsoft.com/office/2006/documentManagement/types"/>
    <xsd:import namespace="http://schemas.microsoft.com/office/infopath/2007/PartnerControls"/>
    <xsd:element name="Descripcion" ma:index="8" nillable="true" ma:displayName="Descripcion" ma:description="Resumen del objetivo del folder" ma:format="Dropdown" ma:internalName="Descripc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91B6E-32E6-4A68-A090-962D86A54180}">
  <ds:schemaRefs>
    <ds:schemaRef ds:uri="http://schemas.microsoft.com/sharepoint/v3/contenttype/forms"/>
  </ds:schemaRefs>
</ds:datastoreItem>
</file>

<file path=customXml/itemProps2.xml><?xml version="1.0" encoding="utf-8"?>
<ds:datastoreItem xmlns:ds="http://schemas.openxmlformats.org/officeDocument/2006/customXml" ds:itemID="{A1AA6278-E081-4F81-A044-326FD43B40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F1A433-0FB5-4CA6-8FC5-A42BB1F888B5}"/>
</file>

<file path=docProps/app.xml><?xml version="1.0" encoding="utf-8"?>
<Properties xmlns="http://schemas.openxmlformats.org/officeDocument/2006/extended-properties" xmlns:vt="http://schemas.openxmlformats.org/officeDocument/2006/docPropsVTypes">
  <Template>Normal</Template>
  <TotalTime>89</TotalTime>
  <Pages>4</Pages>
  <Words>1460</Words>
  <Characters>8033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Claude Brunel Manse</dc:creator>
  <cp:keywords/>
  <dc:description/>
  <cp:lastModifiedBy>Marie Claude Brunel Manse</cp:lastModifiedBy>
  <cp:revision>76</cp:revision>
  <cp:lastPrinted>2026-04-07T15:37:00Z</cp:lastPrinted>
  <dcterms:created xsi:type="dcterms:W3CDTF">2026-04-29T18:29:00Z</dcterms:created>
  <dcterms:modified xsi:type="dcterms:W3CDTF">2026-05-07T20:54:00Z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0x010100FAFE94E7AE413B4EAAD81C914EA5857A</vt:lpwstr>
  </property>
  <property fmtid="{D5CDD505-2E9C-101B-9397-08002B2CF9AE}" pid="3" name="Order">
    <vt:r8>60700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