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9FE1" w14:textId="77777777" w:rsidR="004150BC" w:rsidRPr="00CD27E4" w:rsidRDefault="004150BC" w:rsidP="004150BC">
      <w:pPr>
        <w:jc w:val="both"/>
        <w:rPr>
          <w:rFonts w:ascii="Noto Sans" w:hAnsi="Noto Sans" w:cs="Noto Sans"/>
          <w:b/>
          <w:bCs/>
          <w:sz w:val="26"/>
          <w:szCs w:val="26"/>
        </w:rPr>
      </w:pPr>
      <w:r w:rsidRPr="00CD27E4">
        <w:rPr>
          <w:rFonts w:ascii="Noto Sans" w:hAnsi="Noto Sans" w:cs="Noto Sans"/>
          <w:b/>
          <w:bCs/>
          <w:sz w:val="26"/>
          <w:szCs w:val="26"/>
        </w:rPr>
        <w:t>5.4a Estado de Situación Financiera</w:t>
      </w:r>
    </w:p>
    <w:p w14:paraId="6EE456E6" w14:textId="77777777" w:rsidR="004150BC" w:rsidRPr="004A50C6" w:rsidRDefault="004150BC" w:rsidP="004150BC">
      <w:pPr>
        <w:jc w:val="both"/>
        <w:rPr>
          <w:rFonts w:ascii="Noto Sans" w:hAnsi="Noto Sans" w:cs="Noto Sans"/>
          <w:sz w:val="22"/>
          <w:szCs w:val="22"/>
        </w:rPr>
      </w:pPr>
    </w:p>
    <w:p w14:paraId="48E69F6E"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Al cierre del cuarto trimestre 2024 el Activo total asciende a $445,036 miles de pesos; el Pasivo suma $48,828 miles de pesos; y el Patrimonio asciende a $396,208 miles de pesos; cifra que en comparación con las registradas en el mismo periodo 2023, muestran un decremento del .89% para el Activo, Pasivo un incremento del 9.02%, así como un decremento en el Patrimonio de 2.11%.</w:t>
      </w:r>
    </w:p>
    <w:p w14:paraId="527F0BC3" w14:textId="77777777" w:rsidR="004150BC" w:rsidRPr="004A50C6" w:rsidRDefault="004150BC" w:rsidP="004150BC">
      <w:pPr>
        <w:jc w:val="both"/>
        <w:rPr>
          <w:rFonts w:ascii="Noto Sans" w:hAnsi="Noto Sans" w:cs="Noto Sans"/>
          <w:sz w:val="22"/>
          <w:szCs w:val="22"/>
        </w:rPr>
      </w:pPr>
    </w:p>
    <w:p w14:paraId="6EF318A5"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El Activo Circulante refleja un incremento de $6,800 miles de pesos, que se deriva de las cuentas por concepto de bancos, tesorería las cuales están destinados para cubrir los reintegros a la TESOFE por rendimientos generados y economías, pago de los impuestos por concepto de retenciones de ISR salarios, impuesto sobre nómina, cuotas ISSSTE, cuotas FOVISSSTE, cuotas SAR, retenciones de IVA e ISR de servicios profesionales, así como a la disponibilidad de los proyectos financiados con recursos propios y con vigencias plurianuales.</w:t>
      </w:r>
    </w:p>
    <w:p w14:paraId="7F0565DA"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 xml:space="preserve"> </w:t>
      </w:r>
    </w:p>
    <w:p w14:paraId="0D215C67"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Por su parte, el Pasivo muestra un incremento de $4,408 miles de pesos, resultado de la cuenta de retenciones y contribuciones y fondos en administración a corto plazo.  Por último, el Patrimonio se observa un decremento de $8,363 miles de pesos.</w:t>
      </w:r>
    </w:p>
    <w:p w14:paraId="53E286CD" w14:textId="77777777" w:rsidR="004150BC" w:rsidRPr="004A50C6" w:rsidRDefault="004150BC" w:rsidP="004150BC">
      <w:pPr>
        <w:jc w:val="both"/>
        <w:rPr>
          <w:rFonts w:ascii="Noto Sans" w:hAnsi="Noto Sans" w:cs="Noto Sans"/>
          <w:sz w:val="22"/>
          <w:szCs w:val="22"/>
        </w:rPr>
      </w:pPr>
    </w:p>
    <w:p w14:paraId="345A46D5" w14:textId="77777777" w:rsidR="004150BC" w:rsidRPr="004A50C6" w:rsidRDefault="004150BC" w:rsidP="004150BC">
      <w:pPr>
        <w:jc w:val="both"/>
        <w:rPr>
          <w:rFonts w:ascii="Noto Sans" w:hAnsi="Noto Sans" w:cs="Noto Sans"/>
          <w:sz w:val="22"/>
          <w:szCs w:val="22"/>
        </w:rPr>
      </w:pPr>
    </w:p>
    <w:p w14:paraId="065C237D" w14:textId="77777777" w:rsidR="004150BC" w:rsidRPr="004A50C6" w:rsidRDefault="004150BC" w:rsidP="004150BC">
      <w:pPr>
        <w:jc w:val="both"/>
        <w:rPr>
          <w:rFonts w:ascii="Noto Sans" w:hAnsi="Noto Sans" w:cs="Noto Sans"/>
          <w:b/>
          <w:bCs/>
          <w:sz w:val="22"/>
          <w:szCs w:val="22"/>
        </w:rPr>
      </w:pPr>
      <w:r w:rsidRPr="004A50C6">
        <w:rPr>
          <w:rFonts w:ascii="Noto Sans" w:hAnsi="Noto Sans" w:cs="Noto Sans"/>
          <w:b/>
          <w:bCs/>
          <w:sz w:val="22"/>
          <w:szCs w:val="22"/>
        </w:rPr>
        <w:t>Variación del Activo</w:t>
      </w:r>
    </w:p>
    <w:p w14:paraId="3F0E3ECE"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Cuentas por cobrar:</w:t>
      </w:r>
    </w:p>
    <w:p w14:paraId="208C311D"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Se tiene una disminución del 196% en su variación relativa de diciembre 2024 en comparación con diciembre 2023. La variación absoluta representa $3,090 miles de pesos, resultado de la ministración pendiente de recibir en 2023 y para 2024 no se tiene ministraciones pendientes de recibir.</w:t>
      </w:r>
    </w:p>
    <w:p w14:paraId="3D44FBEE" w14:textId="77777777" w:rsidR="004150BC" w:rsidRPr="004A50C6" w:rsidRDefault="004150BC" w:rsidP="004150BC">
      <w:pPr>
        <w:jc w:val="both"/>
        <w:rPr>
          <w:rFonts w:ascii="Noto Sans" w:hAnsi="Noto Sans" w:cs="Noto Sans"/>
          <w:sz w:val="22"/>
          <w:szCs w:val="22"/>
        </w:rPr>
      </w:pPr>
    </w:p>
    <w:p w14:paraId="1A819D80"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Deudores diversos por cobrar:</w:t>
      </w:r>
    </w:p>
    <w:p w14:paraId="7983E846"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 xml:space="preserve">Se tiene una disminución del 196% en diciembre 2024, en comparación con diciembre 2023, derivado de las gestiones de cobro y actualización de saldos. Con la finalidad de llevar un mejor control de las disponibilidades y obtener información financiera confiable y ajustada a la veracidad de las transacciones económicas dentro de los estados financieros, y en especial reconocer adecuadamente las cifras que integran la cuenta de deudores diversos, el 24 de octubre de 2023, en el marco de la 2da sesión ordinaria de Junta de Gobierno, se informó dentro del punto 12.2 de asuntos generales, la cancelación de registros contables que se afectaron por proyectos propios  que a esa fecha ascendían a $13,803,797, la cual no representa un menoscabo </w:t>
      </w:r>
      <w:r w:rsidRPr="004A50C6">
        <w:rPr>
          <w:rFonts w:ascii="Noto Sans" w:hAnsi="Noto Sans" w:cs="Noto Sans"/>
          <w:sz w:val="22"/>
          <w:szCs w:val="22"/>
        </w:rPr>
        <w:lastRenderedPageBreak/>
        <w:t>monetario para la Institución toda vez que los registros realizados representaron movimientos virtuales para reconocer el comportamiento multianual de los proyectos de la Institución.</w:t>
      </w:r>
    </w:p>
    <w:p w14:paraId="5472CF26" w14:textId="77777777" w:rsidR="004150BC" w:rsidRPr="004A50C6" w:rsidRDefault="004150BC" w:rsidP="004150BC">
      <w:pPr>
        <w:jc w:val="both"/>
        <w:rPr>
          <w:rFonts w:ascii="Noto Sans" w:hAnsi="Noto Sans" w:cs="Noto Sans"/>
          <w:sz w:val="22"/>
          <w:szCs w:val="22"/>
        </w:rPr>
      </w:pPr>
    </w:p>
    <w:p w14:paraId="5381B93F" w14:textId="77777777" w:rsidR="004150BC" w:rsidRPr="004A50C6" w:rsidRDefault="004150BC" w:rsidP="004150BC">
      <w:pPr>
        <w:jc w:val="both"/>
        <w:rPr>
          <w:rFonts w:ascii="Noto Sans" w:hAnsi="Noto Sans" w:cs="Noto Sans"/>
          <w:sz w:val="22"/>
          <w:szCs w:val="22"/>
        </w:rPr>
      </w:pPr>
    </w:p>
    <w:p w14:paraId="452F4E39" w14:textId="77777777" w:rsidR="004150BC" w:rsidRPr="004A50C6" w:rsidRDefault="004150BC" w:rsidP="004150BC">
      <w:pPr>
        <w:jc w:val="both"/>
        <w:rPr>
          <w:rFonts w:ascii="Noto Sans" w:hAnsi="Noto Sans" w:cs="Noto Sans"/>
          <w:b/>
          <w:bCs/>
          <w:sz w:val="22"/>
          <w:szCs w:val="22"/>
        </w:rPr>
      </w:pPr>
      <w:r w:rsidRPr="004A50C6">
        <w:rPr>
          <w:rFonts w:ascii="Noto Sans" w:hAnsi="Noto Sans" w:cs="Noto Sans"/>
          <w:b/>
          <w:bCs/>
          <w:sz w:val="22"/>
          <w:szCs w:val="22"/>
        </w:rPr>
        <w:t>Variación del Pasivo y Patrimonio.</w:t>
      </w:r>
    </w:p>
    <w:p w14:paraId="10DDCE7F"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 xml:space="preserve">Retenciones y contribuciones por pagar </w:t>
      </w:r>
    </w:p>
    <w:p w14:paraId="2847AB3D"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Se tiene un incremento en la variación relativa del 198% del cuarto trimestre 2024 en comparación con el cuarto trimestre 2023. La variación absoluta representa $13,539 miles de pesos. El incremento reflejado en el ejercicio 2024 por concepto de ISR e IVA retenido por servicios profesionales, se debe a que en 2023 se realizó un pago adelantado de impuestos federales durante el mes de diciembre, y en 2024 el impuesto del mes de diciembre fue efectivamente pagado en enero 2025.</w:t>
      </w:r>
    </w:p>
    <w:p w14:paraId="6081197A" w14:textId="77777777" w:rsidR="004150BC" w:rsidRPr="004A50C6" w:rsidRDefault="004150BC" w:rsidP="004150BC">
      <w:pPr>
        <w:jc w:val="both"/>
        <w:rPr>
          <w:rFonts w:ascii="Noto Sans" w:hAnsi="Noto Sans" w:cs="Noto Sans"/>
          <w:sz w:val="22"/>
          <w:szCs w:val="22"/>
        </w:rPr>
      </w:pPr>
    </w:p>
    <w:p w14:paraId="51AFE103"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Fondos en administración.</w:t>
      </w:r>
    </w:p>
    <w:p w14:paraId="63581311"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Se tiene una disminución en la variación relativa del 69% de diciembre 2024 en comparación con diciembre 2023. La variación absoluta representa $4,557 miles de pesos, se debe a que varios de los proyectos de Fondos en Administración, que hoy en día están en proceso, recibieron en el ejercicio anterior la ministración de su recurso económico al 100% y a la fecha se encuentran en proceso de ejecución de este.</w:t>
      </w:r>
    </w:p>
    <w:p w14:paraId="44E0715B" w14:textId="77777777" w:rsidR="004150BC" w:rsidRPr="004A50C6" w:rsidRDefault="004150BC" w:rsidP="004150BC">
      <w:pPr>
        <w:jc w:val="both"/>
        <w:rPr>
          <w:rFonts w:ascii="Noto Sans" w:hAnsi="Noto Sans" w:cs="Noto Sans"/>
          <w:sz w:val="22"/>
          <w:szCs w:val="22"/>
        </w:rPr>
      </w:pPr>
    </w:p>
    <w:p w14:paraId="782F95FC"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Provisiones a largo plazo</w:t>
      </w:r>
    </w:p>
    <w:p w14:paraId="5499CF2B"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Se realizó el reconocimiento de la obligación por una demanda a obtener el fallo por parte de los tribunales, y una vez hecho la actualización el monto asciende a $4,334 miles de pesos. De los cuales la variación entre un ejercicio y otro representa un decremento del 4%; en su variación absoluta se tiene un monto de $187 miles de pesos, resultado de la actualización del saldo determinado.</w:t>
      </w:r>
    </w:p>
    <w:p w14:paraId="2BAD90BF" w14:textId="77777777" w:rsidR="004150BC" w:rsidRPr="004A50C6" w:rsidRDefault="004150BC" w:rsidP="004150BC">
      <w:pPr>
        <w:jc w:val="both"/>
        <w:rPr>
          <w:rFonts w:ascii="Noto Sans" w:hAnsi="Noto Sans" w:cs="Noto Sans"/>
          <w:sz w:val="22"/>
          <w:szCs w:val="22"/>
        </w:rPr>
      </w:pPr>
    </w:p>
    <w:p w14:paraId="7A90E2D7"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Revaluó de bienes</w:t>
      </w:r>
    </w:p>
    <w:p w14:paraId="235B5562" w14:textId="77777777" w:rsidR="004150BC" w:rsidRPr="004A50C6" w:rsidRDefault="004150BC" w:rsidP="004150BC">
      <w:pPr>
        <w:jc w:val="both"/>
        <w:rPr>
          <w:rFonts w:ascii="Noto Sans" w:hAnsi="Noto Sans" w:cs="Noto Sans"/>
          <w:sz w:val="22"/>
          <w:szCs w:val="22"/>
        </w:rPr>
      </w:pPr>
      <w:r w:rsidRPr="004A50C6">
        <w:rPr>
          <w:rFonts w:ascii="Noto Sans" w:hAnsi="Noto Sans" w:cs="Noto Sans"/>
          <w:sz w:val="22"/>
          <w:szCs w:val="22"/>
        </w:rPr>
        <w:t>Durante el ejercicio 2023, la entidad cambio el método de valuación de su Bienes Inmuebles, pasando de valor histórico original actualizado por el Índice Nacional de Precios al Consumidor (INPC) hasta el ejercicio 2008 a reconocer los valores de avalúo que se determinaron aplicando el método del Instituto de Administración y Avalúos de Bienes Nacionales (INDAABIN). Este cambió represento un incremento del 100% en la variación relativa de la cuenta de revaluó de bienes, con una variación absoluta de 282,502 miles de pesos, el cual se mantuvo para 2024.</w:t>
      </w:r>
    </w:p>
    <w:p w14:paraId="32936107" w14:textId="2116EFE9" w:rsidR="00DC7AC7" w:rsidRPr="004A50C6" w:rsidRDefault="00DC7AC7" w:rsidP="00044729">
      <w:pPr>
        <w:rPr>
          <w:rFonts w:ascii="Noto Sans" w:hAnsi="Noto Sans" w:cs="Noto Sans"/>
          <w:sz w:val="22"/>
          <w:szCs w:val="22"/>
        </w:rPr>
      </w:pPr>
    </w:p>
    <w:sectPr w:rsidR="00DC7AC7" w:rsidRPr="004A50C6" w:rsidSect="009E1D1D">
      <w:headerReference w:type="even" r:id="rId7"/>
      <w:headerReference w:type="default" r:id="rId8"/>
      <w:footerReference w:type="even" r:id="rId9"/>
      <w:footerReference w:type="default" r:id="rId10"/>
      <w:headerReference w:type="first" r:id="rId11"/>
      <w:footerReference w:type="first" r:id="rId12"/>
      <w:pgSz w:w="12240" w:h="15840"/>
      <w:pgMar w:top="234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B920" w14:textId="77777777" w:rsidR="001C017A" w:rsidRDefault="001C017A" w:rsidP="00A73D65">
      <w:r>
        <w:separator/>
      </w:r>
    </w:p>
  </w:endnote>
  <w:endnote w:type="continuationSeparator" w:id="0">
    <w:p w14:paraId="502B587F" w14:textId="77777777" w:rsidR="001C017A" w:rsidRDefault="001C017A" w:rsidP="00A73D65">
      <w:r>
        <w:continuationSeparator/>
      </w:r>
    </w:p>
  </w:endnote>
  <w:endnote w:type="continuationNotice" w:id="1">
    <w:p w14:paraId="4E017CE7" w14:textId="77777777" w:rsidR="001C017A" w:rsidRDefault="001C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3" behindDoc="0" locked="0" layoutInCell="1" allowOverlap="1" wp14:anchorId="66609D6A" wp14:editId="2C21571A">
              <wp:simplePos x="0" y="0"/>
              <wp:positionH relativeFrom="column">
                <wp:posOffset>1165631</wp:posOffset>
              </wp:positionH>
              <wp:positionV relativeFrom="paragraph">
                <wp:posOffset>-439699</wp:posOffset>
              </wp:positionV>
              <wp:extent cx="5246558" cy="402336"/>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402336"/>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8pt;margin-top:-34.6pt;width:413.1pt;height:3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0AFw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" filled="f" stroked="f" strokeweight=".5pt">
              <v:textbo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2FA7D8B4">
              <wp:simplePos x="0" y="0"/>
              <wp:positionH relativeFrom="column">
                <wp:posOffset>1162133</wp:posOffset>
              </wp:positionH>
              <wp:positionV relativeFrom="paragraph">
                <wp:posOffset>-429840</wp:posOffset>
              </wp:positionV>
              <wp:extent cx="5467020" cy="48503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485030"/>
                      </a:xfrm>
                      <a:prstGeom prst="rect">
                        <a:avLst/>
                      </a:prstGeom>
                      <a:noFill/>
                      <a:ln w="6350">
                        <a:noFill/>
                      </a:ln>
                    </wps:spPr>
                    <wps:txb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pt;margin-top:-33.85pt;width:430.45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eGQ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" filled="f" stroked="f" strokeweight=".5pt">
              <v:textbo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2D0A" w14:textId="77777777" w:rsidR="00567A0F" w:rsidRDefault="00567A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9EF8" w14:textId="77777777" w:rsidR="001C017A" w:rsidRDefault="001C017A" w:rsidP="00A73D65">
      <w:r>
        <w:separator/>
      </w:r>
    </w:p>
  </w:footnote>
  <w:footnote w:type="continuationSeparator" w:id="0">
    <w:p w14:paraId="5875C8AB" w14:textId="77777777" w:rsidR="001C017A" w:rsidRDefault="001C017A" w:rsidP="00A73D65">
      <w:r>
        <w:continuationSeparator/>
      </w:r>
    </w:p>
  </w:footnote>
  <w:footnote w:type="continuationNotice" w:id="1">
    <w:p w14:paraId="5303C0D8" w14:textId="77777777" w:rsidR="001C017A" w:rsidRDefault="001C0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58241" behindDoc="0" locked="0" layoutInCell="1" allowOverlap="1" wp14:anchorId="60E47F35" wp14:editId="35D36A2B">
          <wp:simplePos x="0" y="0"/>
          <wp:positionH relativeFrom="column">
            <wp:posOffset>-1060257</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2" behindDoc="1" locked="0" layoutInCell="1" allowOverlap="1" wp14:anchorId="747A1638" wp14:editId="61B73CE0">
          <wp:simplePos x="0" y="0"/>
          <wp:positionH relativeFrom="column">
            <wp:posOffset>-1096038</wp:posOffset>
          </wp:positionH>
          <wp:positionV relativeFrom="paragraph">
            <wp:posOffset>-465483</wp:posOffset>
          </wp:positionV>
          <wp:extent cx="7800029" cy="10094155"/>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E2FC" w14:textId="77777777" w:rsidR="00567A0F" w:rsidRDefault="00567A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6C2"/>
    <w:multiLevelType w:val="hybridMultilevel"/>
    <w:tmpl w:val="5270E9AC"/>
    <w:lvl w:ilvl="0" w:tplc="248C57F8">
      <w:start w:val="1"/>
      <w:numFmt w:val="decimalZero"/>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730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1E65"/>
    <w:rsid w:val="000101A2"/>
    <w:rsid w:val="000211E5"/>
    <w:rsid w:val="00022CB2"/>
    <w:rsid w:val="00023AA0"/>
    <w:rsid w:val="00025266"/>
    <w:rsid w:val="00043A2A"/>
    <w:rsid w:val="00044729"/>
    <w:rsid w:val="00060F0A"/>
    <w:rsid w:val="0007153D"/>
    <w:rsid w:val="00087DCD"/>
    <w:rsid w:val="00091C0E"/>
    <w:rsid w:val="000B2CA3"/>
    <w:rsid w:val="000E7284"/>
    <w:rsid w:val="00102037"/>
    <w:rsid w:val="00131C8E"/>
    <w:rsid w:val="00134369"/>
    <w:rsid w:val="00156A3E"/>
    <w:rsid w:val="00161740"/>
    <w:rsid w:val="00177031"/>
    <w:rsid w:val="00180A38"/>
    <w:rsid w:val="00184325"/>
    <w:rsid w:val="00190484"/>
    <w:rsid w:val="001C017A"/>
    <w:rsid w:val="001D3351"/>
    <w:rsid w:val="00205BD2"/>
    <w:rsid w:val="00231A0F"/>
    <w:rsid w:val="002329E1"/>
    <w:rsid w:val="002432D1"/>
    <w:rsid w:val="00245F66"/>
    <w:rsid w:val="00256B1D"/>
    <w:rsid w:val="0026251B"/>
    <w:rsid w:val="0027212B"/>
    <w:rsid w:val="00283F23"/>
    <w:rsid w:val="002871E1"/>
    <w:rsid w:val="00287588"/>
    <w:rsid w:val="0029542D"/>
    <w:rsid w:val="00296BF9"/>
    <w:rsid w:val="002C293A"/>
    <w:rsid w:val="002D60F5"/>
    <w:rsid w:val="002E2142"/>
    <w:rsid w:val="002E2B5E"/>
    <w:rsid w:val="002F2A29"/>
    <w:rsid w:val="002F7B77"/>
    <w:rsid w:val="0030476A"/>
    <w:rsid w:val="00304D02"/>
    <w:rsid w:val="003250A4"/>
    <w:rsid w:val="00331C15"/>
    <w:rsid w:val="0034593D"/>
    <w:rsid w:val="00363222"/>
    <w:rsid w:val="00370465"/>
    <w:rsid w:val="00370E76"/>
    <w:rsid w:val="00371A70"/>
    <w:rsid w:val="003A465D"/>
    <w:rsid w:val="003A631E"/>
    <w:rsid w:val="003D2393"/>
    <w:rsid w:val="003D416E"/>
    <w:rsid w:val="003E1335"/>
    <w:rsid w:val="003E3A05"/>
    <w:rsid w:val="003F49A8"/>
    <w:rsid w:val="0041316F"/>
    <w:rsid w:val="004150BC"/>
    <w:rsid w:val="004318DD"/>
    <w:rsid w:val="00435924"/>
    <w:rsid w:val="004543B0"/>
    <w:rsid w:val="00454479"/>
    <w:rsid w:val="00460A14"/>
    <w:rsid w:val="004628FD"/>
    <w:rsid w:val="00463F54"/>
    <w:rsid w:val="00471532"/>
    <w:rsid w:val="00477F45"/>
    <w:rsid w:val="004810A8"/>
    <w:rsid w:val="00487A3F"/>
    <w:rsid w:val="00494E2E"/>
    <w:rsid w:val="004A4C4E"/>
    <w:rsid w:val="004A50C6"/>
    <w:rsid w:val="004A6CC4"/>
    <w:rsid w:val="004B07B0"/>
    <w:rsid w:val="004C0E5F"/>
    <w:rsid w:val="004D146C"/>
    <w:rsid w:val="004D6785"/>
    <w:rsid w:val="004D7390"/>
    <w:rsid w:val="005142CC"/>
    <w:rsid w:val="0052484E"/>
    <w:rsid w:val="00536A48"/>
    <w:rsid w:val="00567A0F"/>
    <w:rsid w:val="00570A33"/>
    <w:rsid w:val="005735B5"/>
    <w:rsid w:val="0057575C"/>
    <w:rsid w:val="00587D4F"/>
    <w:rsid w:val="00595A7D"/>
    <w:rsid w:val="005A6E25"/>
    <w:rsid w:val="005B3E03"/>
    <w:rsid w:val="005B50C9"/>
    <w:rsid w:val="005C1A7C"/>
    <w:rsid w:val="005D14D4"/>
    <w:rsid w:val="005D374C"/>
    <w:rsid w:val="005D7A20"/>
    <w:rsid w:val="005D7FF5"/>
    <w:rsid w:val="005E1772"/>
    <w:rsid w:val="005F3347"/>
    <w:rsid w:val="00626CE5"/>
    <w:rsid w:val="00626EE3"/>
    <w:rsid w:val="00631824"/>
    <w:rsid w:val="006322C1"/>
    <w:rsid w:val="00655563"/>
    <w:rsid w:val="006562E8"/>
    <w:rsid w:val="00660F3F"/>
    <w:rsid w:val="0066240B"/>
    <w:rsid w:val="0066370A"/>
    <w:rsid w:val="00665808"/>
    <w:rsid w:val="0066676F"/>
    <w:rsid w:val="00673014"/>
    <w:rsid w:val="00680A58"/>
    <w:rsid w:val="00681882"/>
    <w:rsid w:val="006932F1"/>
    <w:rsid w:val="006A0DFE"/>
    <w:rsid w:val="006B4D6B"/>
    <w:rsid w:val="006C0425"/>
    <w:rsid w:val="006C3B4E"/>
    <w:rsid w:val="006E18EC"/>
    <w:rsid w:val="00714C0D"/>
    <w:rsid w:val="00721BB9"/>
    <w:rsid w:val="00724126"/>
    <w:rsid w:val="00733712"/>
    <w:rsid w:val="00736D52"/>
    <w:rsid w:val="00740A77"/>
    <w:rsid w:val="00741261"/>
    <w:rsid w:val="007421E3"/>
    <w:rsid w:val="00762CB9"/>
    <w:rsid w:val="00766068"/>
    <w:rsid w:val="007738F7"/>
    <w:rsid w:val="007748E1"/>
    <w:rsid w:val="0078195E"/>
    <w:rsid w:val="00782758"/>
    <w:rsid w:val="007874C0"/>
    <w:rsid w:val="007A20A1"/>
    <w:rsid w:val="007B00DF"/>
    <w:rsid w:val="007B04A1"/>
    <w:rsid w:val="007B09D7"/>
    <w:rsid w:val="007B74AD"/>
    <w:rsid w:val="007C1FAF"/>
    <w:rsid w:val="007D77D1"/>
    <w:rsid w:val="007E0C12"/>
    <w:rsid w:val="007E573F"/>
    <w:rsid w:val="007E5888"/>
    <w:rsid w:val="007F77B8"/>
    <w:rsid w:val="00825600"/>
    <w:rsid w:val="00827AD2"/>
    <w:rsid w:val="00831EE7"/>
    <w:rsid w:val="00834146"/>
    <w:rsid w:val="00834684"/>
    <w:rsid w:val="00862EEB"/>
    <w:rsid w:val="008636E4"/>
    <w:rsid w:val="00865276"/>
    <w:rsid w:val="00870032"/>
    <w:rsid w:val="00874CB2"/>
    <w:rsid w:val="00885E85"/>
    <w:rsid w:val="00895209"/>
    <w:rsid w:val="008A6638"/>
    <w:rsid w:val="008B4AD5"/>
    <w:rsid w:val="008B527D"/>
    <w:rsid w:val="008D0E60"/>
    <w:rsid w:val="008D127F"/>
    <w:rsid w:val="008D6FA2"/>
    <w:rsid w:val="008E73B1"/>
    <w:rsid w:val="00904CC6"/>
    <w:rsid w:val="009066A7"/>
    <w:rsid w:val="00907F1C"/>
    <w:rsid w:val="00910B20"/>
    <w:rsid w:val="00930E37"/>
    <w:rsid w:val="00932C27"/>
    <w:rsid w:val="0093494D"/>
    <w:rsid w:val="009352C9"/>
    <w:rsid w:val="00935609"/>
    <w:rsid w:val="00937C98"/>
    <w:rsid w:val="00942415"/>
    <w:rsid w:val="00947ABF"/>
    <w:rsid w:val="00955175"/>
    <w:rsid w:val="00973FB2"/>
    <w:rsid w:val="00976253"/>
    <w:rsid w:val="00977510"/>
    <w:rsid w:val="0098335E"/>
    <w:rsid w:val="009871F2"/>
    <w:rsid w:val="00987D8F"/>
    <w:rsid w:val="00991DCF"/>
    <w:rsid w:val="009B217F"/>
    <w:rsid w:val="009B743E"/>
    <w:rsid w:val="009C12D6"/>
    <w:rsid w:val="009C387B"/>
    <w:rsid w:val="009D686A"/>
    <w:rsid w:val="009E1D1D"/>
    <w:rsid w:val="009E2F42"/>
    <w:rsid w:val="009F2BA1"/>
    <w:rsid w:val="00A0555C"/>
    <w:rsid w:val="00A07674"/>
    <w:rsid w:val="00A2021A"/>
    <w:rsid w:val="00A301D7"/>
    <w:rsid w:val="00A314BF"/>
    <w:rsid w:val="00A363E2"/>
    <w:rsid w:val="00A42C5D"/>
    <w:rsid w:val="00A45B98"/>
    <w:rsid w:val="00A50933"/>
    <w:rsid w:val="00A5108A"/>
    <w:rsid w:val="00A53FE3"/>
    <w:rsid w:val="00A57FF1"/>
    <w:rsid w:val="00A63BB0"/>
    <w:rsid w:val="00A73D65"/>
    <w:rsid w:val="00A765DB"/>
    <w:rsid w:val="00A94AF5"/>
    <w:rsid w:val="00A9662E"/>
    <w:rsid w:val="00AB125D"/>
    <w:rsid w:val="00AD173C"/>
    <w:rsid w:val="00AD57B2"/>
    <w:rsid w:val="00AD7FF8"/>
    <w:rsid w:val="00AF7AAD"/>
    <w:rsid w:val="00B07DE7"/>
    <w:rsid w:val="00B21938"/>
    <w:rsid w:val="00B43FC9"/>
    <w:rsid w:val="00B541BC"/>
    <w:rsid w:val="00B66130"/>
    <w:rsid w:val="00B67AB0"/>
    <w:rsid w:val="00B71039"/>
    <w:rsid w:val="00B72D65"/>
    <w:rsid w:val="00B87C85"/>
    <w:rsid w:val="00BB21A6"/>
    <w:rsid w:val="00BB2DFF"/>
    <w:rsid w:val="00BC43BD"/>
    <w:rsid w:val="00BC51E0"/>
    <w:rsid w:val="00BC7070"/>
    <w:rsid w:val="00BD47DE"/>
    <w:rsid w:val="00BE1413"/>
    <w:rsid w:val="00BE5B58"/>
    <w:rsid w:val="00BF2365"/>
    <w:rsid w:val="00BF379D"/>
    <w:rsid w:val="00BF731B"/>
    <w:rsid w:val="00C02E98"/>
    <w:rsid w:val="00C1416F"/>
    <w:rsid w:val="00C1599E"/>
    <w:rsid w:val="00C20984"/>
    <w:rsid w:val="00C23B9E"/>
    <w:rsid w:val="00C279A3"/>
    <w:rsid w:val="00C30849"/>
    <w:rsid w:val="00C465FE"/>
    <w:rsid w:val="00C62870"/>
    <w:rsid w:val="00C653B5"/>
    <w:rsid w:val="00C67047"/>
    <w:rsid w:val="00C90CED"/>
    <w:rsid w:val="00C94579"/>
    <w:rsid w:val="00C94B19"/>
    <w:rsid w:val="00CA2EDC"/>
    <w:rsid w:val="00CA6BED"/>
    <w:rsid w:val="00CB7D4F"/>
    <w:rsid w:val="00CB7FE6"/>
    <w:rsid w:val="00CD27E4"/>
    <w:rsid w:val="00CE3E99"/>
    <w:rsid w:val="00CF3975"/>
    <w:rsid w:val="00D02F36"/>
    <w:rsid w:val="00D1354D"/>
    <w:rsid w:val="00D30C72"/>
    <w:rsid w:val="00D458F4"/>
    <w:rsid w:val="00D66B77"/>
    <w:rsid w:val="00D74F3F"/>
    <w:rsid w:val="00D84E05"/>
    <w:rsid w:val="00D863D5"/>
    <w:rsid w:val="00D933A2"/>
    <w:rsid w:val="00DA462B"/>
    <w:rsid w:val="00DB4A6A"/>
    <w:rsid w:val="00DB53A4"/>
    <w:rsid w:val="00DB5672"/>
    <w:rsid w:val="00DC18FA"/>
    <w:rsid w:val="00DC66EB"/>
    <w:rsid w:val="00DC7AC7"/>
    <w:rsid w:val="00DD154E"/>
    <w:rsid w:val="00DE3FEC"/>
    <w:rsid w:val="00E079B4"/>
    <w:rsid w:val="00E12948"/>
    <w:rsid w:val="00E155A4"/>
    <w:rsid w:val="00E17847"/>
    <w:rsid w:val="00E22177"/>
    <w:rsid w:val="00E2628A"/>
    <w:rsid w:val="00E50125"/>
    <w:rsid w:val="00E516AD"/>
    <w:rsid w:val="00E805E3"/>
    <w:rsid w:val="00E809E4"/>
    <w:rsid w:val="00E85B35"/>
    <w:rsid w:val="00E93867"/>
    <w:rsid w:val="00EA423B"/>
    <w:rsid w:val="00EA7087"/>
    <w:rsid w:val="00EB407F"/>
    <w:rsid w:val="00EB5876"/>
    <w:rsid w:val="00ED0FC9"/>
    <w:rsid w:val="00EE053F"/>
    <w:rsid w:val="00EF6A20"/>
    <w:rsid w:val="00F24915"/>
    <w:rsid w:val="00F401F9"/>
    <w:rsid w:val="00F60849"/>
    <w:rsid w:val="00F66003"/>
    <w:rsid w:val="00F745B2"/>
    <w:rsid w:val="00F82E13"/>
    <w:rsid w:val="00F91937"/>
    <w:rsid w:val="00F91AC5"/>
    <w:rsid w:val="00F945F2"/>
    <w:rsid w:val="00FA0287"/>
    <w:rsid w:val="00FC34D9"/>
    <w:rsid w:val="00FD024C"/>
    <w:rsid w:val="00FD1854"/>
    <w:rsid w:val="00FD50F9"/>
    <w:rsid w:val="00FD66C9"/>
    <w:rsid w:val="00FD754F"/>
    <w:rsid w:val="00FD75E1"/>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50A99196-DC9B-4494-98DE-03881B9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Default">
    <w:name w:val="Default"/>
    <w:rsid w:val="008D0E60"/>
    <w:pPr>
      <w:autoSpaceDE w:val="0"/>
      <w:autoSpaceDN w:val="0"/>
      <w:adjustRightInd w:val="0"/>
    </w:pPr>
    <w:rPr>
      <w:rFonts w:ascii="Montserrat" w:hAnsi="Montserrat" w:cs="Montserrat"/>
      <w:color w:val="000000"/>
      <w14:ligatures w14:val="standardContextual"/>
    </w:rPr>
  </w:style>
  <w:style w:type="character" w:styleId="Hipervnculo">
    <w:name w:val="Hyperlink"/>
    <w:basedOn w:val="Fuentedeprrafopredeter"/>
    <w:uiPriority w:val="99"/>
    <w:unhideWhenUsed/>
    <w:rsid w:val="00A50933"/>
    <w:rPr>
      <w:color w:val="0563C1" w:themeColor="hyperlink"/>
      <w:u w:val="single"/>
    </w:rPr>
  </w:style>
  <w:style w:type="character" w:styleId="Mencinsinresolver">
    <w:name w:val="Unresolved Mention"/>
    <w:basedOn w:val="Fuentedeprrafopredeter"/>
    <w:uiPriority w:val="99"/>
    <w:semiHidden/>
    <w:unhideWhenUsed/>
    <w:rsid w:val="00A50933"/>
    <w:rPr>
      <w:color w:val="605E5C"/>
      <w:shd w:val="clear" w:color="auto" w:fill="E1DFDD"/>
    </w:rPr>
  </w:style>
  <w:style w:type="table" w:styleId="Tablaconcuadrcula">
    <w:name w:val="Table Grid"/>
    <w:basedOn w:val="Tablanormal"/>
    <w:uiPriority w:val="39"/>
    <w:rsid w:val="0053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9891">
      <w:bodyDiv w:val="1"/>
      <w:marLeft w:val="0"/>
      <w:marRight w:val="0"/>
      <w:marTop w:val="0"/>
      <w:marBottom w:val="0"/>
      <w:divBdr>
        <w:top w:val="none" w:sz="0" w:space="0" w:color="auto"/>
        <w:left w:val="none" w:sz="0" w:space="0" w:color="auto"/>
        <w:bottom w:val="none" w:sz="0" w:space="0" w:color="auto"/>
        <w:right w:val="none" w:sz="0" w:space="0" w:color="auto"/>
      </w:divBdr>
    </w:div>
    <w:div w:id="572735170">
      <w:bodyDiv w:val="1"/>
      <w:marLeft w:val="0"/>
      <w:marRight w:val="0"/>
      <w:marTop w:val="0"/>
      <w:marBottom w:val="0"/>
      <w:divBdr>
        <w:top w:val="none" w:sz="0" w:space="0" w:color="auto"/>
        <w:left w:val="none" w:sz="0" w:space="0" w:color="auto"/>
        <w:bottom w:val="none" w:sz="0" w:space="0" w:color="auto"/>
        <w:right w:val="none" w:sz="0" w:space="0" w:color="auto"/>
      </w:divBdr>
      <w:divsChild>
        <w:div w:id="92642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453024">
      <w:bodyDiv w:val="1"/>
      <w:marLeft w:val="0"/>
      <w:marRight w:val="0"/>
      <w:marTop w:val="0"/>
      <w:marBottom w:val="0"/>
      <w:divBdr>
        <w:top w:val="none" w:sz="0" w:space="0" w:color="auto"/>
        <w:left w:val="none" w:sz="0" w:space="0" w:color="auto"/>
        <w:bottom w:val="none" w:sz="0" w:space="0" w:color="auto"/>
        <w:right w:val="none" w:sz="0" w:space="0" w:color="auto"/>
      </w:divBdr>
      <w:divsChild>
        <w:div w:id="13357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4838">
      <w:bodyDiv w:val="1"/>
      <w:marLeft w:val="0"/>
      <w:marRight w:val="0"/>
      <w:marTop w:val="0"/>
      <w:marBottom w:val="0"/>
      <w:divBdr>
        <w:top w:val="none" w:sz="0" w:space="0" w:color="auto"/>
        <w:left w:val="none" w:sz="0" w:space="0" w:color="auto"/>
        <w:bottom w:val="none" w:sz="0" w:space="0" w:color="auto"/>
        <w:right w:val="none" w:sz="0" w:space="0" w:color="auto"/>
      </w:divBdr>
      <w:divsChild>
        <w:div w:id="101222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479621">
      <w:bodyDiv w:val="1"/>
      <w:marLeft w:val="0"/>
      <w:marRight w:val="0"/>
      <w:marTop w:val="0"/>
      <w:marBottom w:val="0"/>
      <w:divBdr>
        <w:top w:val="none" w:sz="0" w:space="0" w:color="auto"/>
        <w:left w:val="none" w:sz="0" w:space="0" w:color="auto"/>
        <w:bottom w:val="none" w:sz="0" w:space="0" w:color="auto"/>
        <w:right w:val="none" w:sz="0" w:space="0" w:color="auto"/>
      </w:divBdr>
      <w:divsChild>
        <w:div w:id="429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241434">
      <w:bodyDiv w:val="1"/>
      <w:marLeft w:val="0"/>
      <w:marRight w:val="0"/>
      <w:marTop w:val="0"/>
      <w:marBottom w:val="0"/>
      <w:divBdr>
        <w:top w:val="none" w:sz="0" w:space="0" w:color="auto"/>
        <w:left w:val="none" w:sz="0" w:space="0" w:color="auto"/>
        <w:bottom w:val="none" w:sz="0" w:space="0" w:color="auto"/>
        <w:right w:val="none" w:sz="0" w:space="0" w:color="auto"/>
      </w:divBdr>
      <w:divsChild>
        <w:div w:id="180014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419346">
      <w:bodyDiv w:val="1"/>
      <w:marLeft w:val="0"/>
      <w:marRight w:val="0"/>
      <w:marTop w:val="0"/>
      <w:marBottom w:val="0"/>
      <w:divBdr>
        <w:top w:val="none" w:sz="0" w:space="0" w:color="auto"/>
        <w:left w:val="none" w:sz="0" w:space="0" w:color="auto"/>
        <w:bottom w:val="none" w:sz="0" w:space="0" w:color="auto"/>
        <w:right w:val="none" w:sz="0" w:space="0" w:color="auto"/>
      </w:divBdr>
    </w:div>
    <w:div w:id="1899433821">
      <w:bodyDiv w:val="1"/>
      <w:marLeft w:val="0"/>
      <w:marRight w:val="0"/>
      <w:marTop w:val="0"/>
      <w:marBottom w:val="0"/>
      <w:divBdr>
        <w:top w:val="none" w:sz="0" w:space="0" w:color="auto"/>
        <w:left w:val="none" w:sz="0" w:space="0" w:color="auto"/>
        <w:bottom w:val="none" w:sz="0" w:space="0" w:color="auto"/>
        <w:right w:val="none" w:sz="0" w:space="0" w:color="auto"/>
      </w:divBdr>
    </w:div>
    <w:div w:id="1956212379">
      <w:bodyDiv w:val="1"/>
      <w:marLeft w:val="0"/>
      <w:marRight w:val="0"/>
      <w:marTop w:val="0"/>
      <w:marBottom w:val="0"/>
      <w:divBdr>
        <w:top w:val="none" w:sz="0" w:space="0" w:color="auto"/>
        <w:left w:val="none" w:sz="0" w:space="0" w:color="auto"/>
        <w:bottom w:val="none" w:sz="0" w:space="0" w:color="auto"/>
        <w:right w:val="none" w:sz="0" w:space="0" w:color="auto"/>
      </w:divBdr>
    </w:div>
    <w:div w:id="2054573640">
      <w:bodyDiv w:val="1"/>
      <w:marLeft w:val="0"/>
      <w:marRight w:val="0"/>
      <w:marTop w:val="0"/>
      <w:marBottom w:val="0"/>
      <w:divBdr>
        <w:top w:val="none" w:sz="0" w:space="0" w:color="auto"/>
        <w:left w:val="none" w:sz="0" w:space="0" w:color="auto"/>
        <w:bottom w:val="none" w:sz="0" w:space="0" w:color="auto"/>
        <w:right w:val="none" w:sz="0" w:space="0" w:color="auto"/>
      </w:divBdr>
      <w:divsChild>
        <w:div w:id="105647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1F1A7-E7DF-4054-BBB7-5E2562F0106B}"/>
</file>

<file path=customXml/itemProps2.xml><?xml version="1.0" encoding="utf-8"?>
<ds:datastoreItem xmlns:ds="http://schemas.openxmlformats.org/officeDocument/2006/customXml" ds:itemID="{6002C413-2D7E-4685-8C20-CA55CB667E80}"/>
</file>

<file path=customXml/itemProps3.xml><?xml version="1.0" encoding="utf-8"?>
<ds:datastoreItem xmlns:ds="http://schemas.openxmlformats.org/officeDocument/2006/customXml" ds:itemID="{50B6E60A-D093-49EC-BB69-6C89E944F2A8}"/>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3</cp:revision>
  <dcterms:created xsi:type="dcterms:W3CDTF">2025-05-28T23:21:00Z</dcterms:created>
  <dcterms:modified xsi:type="dcterms:W3CDTF">2025-05-29T19:33:00Z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