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D6A8F" w14:textId="77777777" w:rsidR="00D458F4" w:rsidRPr="007A7910" w:rsidRDefault="00D458F4" w:rsidP="00D458F4">
      <w:pPr>
        <w:jc w:val="center"/>
        <w:rPr>
          <w:rFonts w:ascii="Noto Sans" w:hAnsi="Noto Sans" w:cs="Noto Sans"/>
          <w:b/>
          <w:i/>
          <w:sz w:val="26"/>
          <w:szCs w:val="26"/>
        </w:rPr>
      </w:pPr>
      <w:r w:rsidRPr="007A7910">
        <w:rPr>
          <w:rFonts w:ascii="Noto Sans" w:hAnsi="Noto Sans" w:cs="Noto Sans"/>
          <w:b/>
          <w:i/>
          <w:sz w:val="26"/>
          <w:szCs w:val="26"/>
        </w:rPr>
        <w:t>5.4 Situación Financiera del Centro</w:t>
      </w:r>
    </w:p>
    <w:p w14:paraId="4A9DD627" w14:textId="77777777" w:rsidR="00D458F4" w:rsidRPr="007A7910" w:rsidRDefault="00D458F4" w:rsidP="00D458F4">
      <w:pPr>
        <w:jc w:val="both"/>
        <w:rPr>
          <w:rFonts w:ascii="Noto Sans" w:hAnsi="Noto Sans" w:cs="Noto Sans"/>
          <w:sz w:val="26"/>
          <w:szCs w:val="26"/>
        </w:rPr>
      </w:pPr>
    </w:p>
    <w:p w14:paraId="242D66B8" w14:textId="77777777" w:rsidR="00D458F4" w:rsidRPr="00D458F4" w:rsidRDefault="00D458F4" w:rsidP="00D458F4">
      <w:pPr>
        <w:jc w:val="both"/>
        <w:rPr>
          <w:rFonts w:ascii="Noto Sans" w:hAnsi="Noto Sans" w:cs="Noto Sans"/>
          <w:sz w:val="22"/>
          <w:szCs w:val="22"/>
        </w:rPr>
      </w:pPr>
      <w:r w:rsidRPr="00D458F4">
        <w:rPr>
          <w:rFonts w:ascii="Noto Sans" w:hAnsi="Noto Sans" w:cs="Noto Sans"/>
          <w:sz w:val="22"/>
          <w:szCs w:val="22"/>
        </w:rPr>
        <w:t>Los ingresos de gestión son los recursos que se obtienen de convenios o contratos para el desarrollo de proyectos específicos de investigación o servicios, contratos por la prestación de servicios a través de asesorías y consultorías especializadas, servicios de análisis muestras y diagnósticos de laboratorios (agua, suelos, etc.), cuotas de recuperación por impartir talleres, seminarios, diplomados, cursos de capacitación presenciales o en línea, cuotas de admisión al Jardín Botánico (Chetumal), realización de estudios específicos, asistencia técnica y supervisión de proyectos (miel, foros urbanos, monitoreo, manejo y conservación de recursos naturales, etc.), elaboración de mapas como herramientas de investigación (LAIGE); conforme a lo dispuesto en el artículo 52 de la Ley Federal de las Entidades Paraestatales.</w:t>
      </w:r>
    </w:p>
    <w:p w14:paraId="7CCA5E6E" w14:textId="77777777" w:rsidR="00D458F4" w:rsidRPr="00D458F4" w:rsidRDefault="00D458F4" w:rsidP="00D458F4">
      <w:pPr>
        <w:jc w:val="both"/>
        <w:rPr>
          <w:rFonts w:ascii="Noto Sans" w:hAnsi="Noto Sans" w:cs="Noto Sans"/>
          <w:sz w:val="22"/>
          <w:szCs w:val="22"/>
        </w:rPr>
      </w:pPr>
    </w:p>
    <w:tbl>
      <w:tblPr>
        <w:tblW w:w="5940" w:type="dxa"/>
        <w:jc w:val="center"/>
        <w:tblCellMar>
          <w:left w:w="70" w:type="dxa"/>
          <w:right w:w="70" w:type="dxa"/>
        </w:tblCellMar>
        <w:tblLook w:val="04A0" w:firstRow="1" w:lastRow="0" w:firstColumn="1" w:lastColumn="0" w:noHBand="0" w:noVBand="1"/>
      </w:tblPr>
      <w:tblGrid>
        <w:gridCol w:w="3080"/>
        <w:gridCol w:w="1430"/>
        <w:gridCol w:w="1430"/>
      </w:tblGrid>
      <w:tr w:rsidR="00D458F4" w:rsidRPr="00D458F4" w14:paraId="39CB0038" w14:textId="77777777" w:rsidTr="00CB3D10">
        <w:trPr>
          <w:trHeight w:val="300"/>
          <w:tblHeader/>
          <w:jc w:val="center"/>
        </w:trPr>
        <w:tc>
          <w:tcPr>
            <w:tcW w:w="3080" w:type="dxa"/>
            <w:tcBorders>
              <w:top w:val="single" w:sz="12" w:space="0" w:color="808080"/>
              <w:bottom w:val="double" w:sz="12" w:space="0" w:color="808080"/>
            </w:tcBorders>
            <w:shd w:val="clear" w:color="auto" w:fill="D4C19C"/>
            <w:noWrap/>
            <w:vAlign w:val="bottom"/>
            <w:hideMark/>
          </w:tcPr>
          <w:p w14:paraId="7A95AE00" w14:textId="77777777" w:rsidR="00D458F4" w:rsidRPr="00D458F4" w:rsidRDefault="00D458F4" w:rsidP="00CB3D10">
            <w:pPr>
              <w:jc w:val="center"/>
              <w:rPr>
                <w:rFonts w:ascii="Noto Sans" w:eastAsia="Times New Roman" w:hAnsi="Noto Sans" w:cs="Noto Sans"/>
                <w:b/>
                <w:bCs/>
                <w:color w:val="FFFFFF"/>
                <w:sz w:val="22"/>
                <w:szCs w:val="22"/>
                <w:lang w:val="es-MX" w:eastAsia="es-MX"/>
              </w:rPr>
            </w:pPr>
            <w:r w:rsidRPr="00D458F4">
              <w:rPr>
                <w:rFonts w:ascii="Noto Sans" w:eastAsia="Times New Roman" w:hAnsi="Noto Sans" w:cs="Noto Sans"/>
                <w:b/>
                <w:bCs/>
                <w:color w:val="FFFFFF"/>
                <w:sz w:val="22"/>
                <w:szCs w:val="22"/>
                <w:lang w:eastAsia="es-MX"/>
              </w:rPr>
              <w:t>CONCEPTO</w:t>
            </w:r>
          </w:p>
        </w:tc>
        <w:tc>
          <w:tcPr>
            <w:tcW w:w="1430" w:type="dxa"/>
            <w:tcBorders>
              <w:top w:val="single" w:sz="12" w:space="0" w:color="808080"/>
              <w:bottom w:val="double" w:sz="12" w:space="0" w:color="808080"/>
            </w:tcBorders>
            <w:shd w:val="clear" w:color="auto" w:fill="D4C19C"/>
            <w:vAlign w:val="bottom"/>
          </w:tcPr>
          <w:p w14:paraId="5B412292" w14:textId="77777777" w:rsidR="00D458F4" w:rsidRPr="00D458F4" w:rsidRDefault="00D458F4" w:rsidP="00CB3D10">
            <w:pPr>
              <w:jc w:val="center"/>
              <w:rPr>
                <w:rFonts w:ascii="Noto Sans" w:eastAsia="Times New Roman" w:hAnsi="Noto Sans" w:cs="Noto Sans"/>
                <w:b/>
                <w:bCs/>
                <w:color w:val="FFFFFF"/>
                <w:sz w:val="22"/>
                <w:szCs w:val="22"/>
                <w:lang w:val="es-MX" w:eastAsia="es-MX"/>
              </w:rPr>
            </w:pPr>
            <w:r w:rsidRPr="00D458F4">
              <w:rPr>
                <w:rFonts w:ascii="Noto Sans" w:eastAsia="Times New Roman" w:hAnsi="Noto Sans" w:cs="Noto Sans"/>
                <w:b/>
                <w:bCs/>
                <w:color w:val="FFFFFF"/>
                <w:sz w:val="22"/>
                <w:szCs w:val="22"/>
                <w:lang w:eastAsia="es-MX"/>
              </w:rPr>
              <w:t xml:space="preserve">         2024</w:t>
            </w:r>
          </w:p>
        </w:tc>
        <w:tc>
          <w:tcPr>
            <w:tcW w:w="1430" w:type="dxa"/>
            <w:tcBorders>
              <w:top w:val="single" w:sz="12" w:space="0" w:color="808080"/>
              <w:bottom w:val="double" w:sz="12" w:space="0" w:color="808080"/>
            </w:tcBorders>
            <w:shd w:val="clear" w:color="auto" w:fill="D4C19C"/>
            <w:noWrap/>
            <w:vAlign w:val="bottom"/>
            <w:hideMark/>
          </w:tcPr>
          <w:p w14:paraId="6CD81C85" w14:textId="77777777" w:rsidR="00D458F4" w:rsidRPr="00D458F4" w:rsidRDefault="00D458F4" w:rsidP="00CB3D10">
            <w:pPr>
              <w:jc w:val="center"/>
              <w:rPr>
                <w:rFonts w:ascii="Noto Sans" w:eastAsia="Times New Roman" w:hAnsi="Noto Sans" w:cs="Noto Sans"/>
                <w:b/>
                <w:bCs/>
                <w:color w:val="FFFFFF"/>
                <w:sz w:val="22"/>
                <w:szCs w:val="22"/>
                <w:lang w:val="es-MX" w:eastAsia="es-MX"/>
              </w:rPr>
            </w:pPr>
            <w:r w:rsidRPr="00D458F4">
              <w:rPr>
                <w:rFonts w:ascii="Noto Sans" w:eastAsia="Times New Roman" w:hAnsi="Noto Sans" w:cs="Noto Sans"/>
                <w:b/>
                <w:bCs/>
                <w:color w:val="FFFFFF"/>
                <w:sz w:val="22"/>
                <w:szCs w:val="22"/>
                <w:lang w:eastAsia="es-MX"/>
              </w:rPr>
              <w:t>2023</w:t>
            </w:r>
          </w:p>
        </w:tc>
      </w:tr>
      <w:tr w:rsidR="00D458F4" w:rsidRPr="00D458F4" w14:paraId="7B692DC2" w14:textId="77777777" w:rsidTr="00CB3D10">
        <w:trPr>
          <w:trHeight w:val="170"/>
          <w:jc w:val="center"/>
        </w:trPr>
        <w:tc>
          <w:tcPr>
            <w:tcW w:w="3080" w:type="dxa"/>
            <w:tcBorders>
              <w:top w:val="double" w:sz="12" w:space="0" w:color="808080"/>
            </w:tcBorders>
            <w:shd w:val="clear" w:color="auto" w:fill="F2F2F2"/>
            <w:noWrap/>
            <w:vAlign w:val="bottom"/>
            <w:hideMark/>
          </w:tcPr>
          <w:p w14:paraId="3BD43F62" w14:textId="77777777" w:rsidR="00D458F4" w:rsidRPr="00D458F4" w:rsidRDefault="00D458F4" w:rsidP="00CB3D10">
            <w:pPr>
              <w:rPr>
                <w:rFonts w:ascii="Noto Sans" w:eastAsia="Times New Roman" w:hAnsi="Noto Sans" w:cs="Noto Sans"/>
                <w:color w:val="000000"/>
                <w:sz w:val="22"/>
                <w:szCs w:val="22"/>
                <w:lang w:val="es-MX" w:eastAsia="es-MX"/>
              </w:rPr>
            </w:pPr>
            <w:r w:rsidRPr="00D458F4">
              <w:rPr>
                <w:rFonts w:ascii="Noto Sans" w:eastAsia="Times New Roman" w:hAnsi="Noto Sans" w:cs="Noto Sans"/>
                <w:color w:val="000000"/>
                <w:sz w:val="22"/>
                <w:szCs w:val="22"/>
                <w:lang w:eastAsia="es-MX"/>
              </w:rPr>
              <w:t>Ingresos por venta de Bienes y Servicios</w:t>
            </w:r>
          </w:p>
        </w:tc>
        <w:tc>
          <w:tcPr>
            <w:tcW w:w="1430" w:type="dxa"/>
            <w:tcBorders>
              <w:top w:val="double" w:sz="12" w:space="0" w:color="808080"/>
            </w:tcBorders>
            <w:shd w:val="clear" w:color="auto" w:fill="F2F2F2"/>
            <w:vAlign w:val="bottom"/>
          </w:tcPr>
          <w:p w14:paraId="589060AD" w14:textId="77777777" w:rsidR="00D458F4" w:rsidRPr="00D458F4" w:rsidRDefault="00D458F4" w:rsidP="00CB3D10">
            <w:pPr>
              <w:jc w:val="right"/>
              <w:rPr>
                <w:rFonts w:ascii="Noto Sans" w:eastAsia="Times New Roman" w:hAnsi="Noto Sans" w:cs="Noto Sans"/>
                <w:color w:val="000000"/>
                <w:sz w:val="22"/>
                <w:szCs w:val="22"/>
                <w:lang w:val="es-MX" w:eastAsia="es-MX"/>
              </w:rPr>
            </w:pPr>
            <w:r w:rsidRPr="00D458F4">
              <w:rPr>
                <w:rFonts w:ascii="Noto Sans" w:eastAsia="Times New Roman" w:hAnsi="Noto Sans" w:cs="Noto Sans"/>
                <w:color w:val="000000"/>
                <w:sz w:val="22"/>
                <w:szCs w:val="22"/>
                <w:lang w:eastAsia="es-MX"/>
              </w:rPr>
              <w:t>14,812,105</w:t>
            </w:r>
          </w:p>
        </w:tc>
        <w:tc>
          <w:tcPr>
            <w:tcW w:w="1430" w:type="dxa"/>
            <w:tcBorders>
              <w:top w:val="double" w:sz="12" w:space="0" w:color="808080"/>
            </w:tcBorders>
            <w:shd w:val="clear" w:color="auto" w:fill="F2F2F2"/>
            <w:noWrap/>
            <w:vAlign w:val="bottom"/>
            <w:hideMark/>
          </w:tcPr>
          <w:p w14:paraId="35D9B107" w14:textId="77777777" w:rsidR="00D458F4" w:rsidRPr="00D458F4" w:rsidRDefault="00D458F4" w:rsidP="00CB3D10">
            <w:pPr>
              <w:jc w:val="right"/>
              <w:rPr>
                <w:rFonts w:ascii="Noto Sans" w:eastAsia="Times New Roman" w:hAnsi="Noto Sans" w:cs="Noto Sans"/>
                <w:color w:val="000000"/>
                <w:sz w:val="22"/>
                <w:szCs w:val="22"/>
                <w:lang w:val="es-MX" w:eastAsia="es-MX"/>
              </w:rPr>
            </w:pPr>
            <w:r w:rsidRPr="00D458F4">
              <w:rPr>
                <w:rFonts w:ascii="Noto Sans" w:eastAsia="Times New Roman" w:hAnsi="Noto Sans" w:cs="Noto Sans"/>
                <w:color w:val="000000"/>
                <w:sz w:val="22"/>
                <w:szCs w:val="22"/>
                <w:lang w:eastAsia="es-MX"/>
              </w:rPr>
              <w:t>16,668,644</w:t>
            </w:r>
          </w:p>
        </w:tc>
      </w:tr>
      <w:tr w:rsidR="00D458F4" w:rsidRPr="00D458F4" w14:paraId="7F4B00EB" w14:textId="77777777" w:rsidTr="00CB3D10">
        <w:trPr>
          <w:trHeight w:val="170"/>
          <w:jc w:val="center"/>
        </w:trPr>
        <w:tc>
          <w:tcPr>
            <w:tcW w:w="3080" w:type="dxa"/>
            <w:tcBorders>
              <w:bottom w:val="single" w:sz="12" w:space="0" w:color="808080"/>
            </w:tcBorders>
            <w:shd w:val="clear" w:color="auto" w:fill="F2F2F2"/>
            <w:noWrap/>
            <w:vAlign w:val="bottom"/>
            <w:hideMark/>
          </w:tcPr>
          <w:p w14:paraId="0D0D71FA" w14:textId="77777777" w:rsidR="00D458F4" w:rsidRPr="00D458F4" w:rsidRDefault="00D458F4" w:rsidP="00CB3D10">
            <w:pPr>
              <w:rPr>
                <w:rFonts w:ascii="Noto Sans" w:eastAsia="Times New Roman" w:hAnsi="Noto Sans" w:cs="Noto Sans"/>
                <w:b/>
                <w:color w:val="000000"/>
                <w:sz w:val="22"/>
                <w:szCs w:val="22"/>
                <w:lang w:val="es-MX" w:eastAsia="es-MX"/>
              </w:rPr>
            </w:pPr>
            <w:r w:rsidRPr="00D458F4">
              <w:rPr>
                <w:rFonts w:ascii="Noto Sans" w:eastAsia="Times New Roman" w:hAnsi="Noto Sans" w:cs="Noto Sans"/>
                <w:b/>
                <w:color w:val="000000"/>
                <w:sz w:val="22"/>
                <w:szCs w:val="22"/>
                <w:lang w:eastAsia="es-MX"/>
              </w:rPr>
              <w:t>Total</w:t>
            </w:r>
          </w:p>
        </w:tc>
        <w:tc>
          <w:tcPr>
            <w:tcW w:w="1430" w:type="dxa"/>
            <w:tcBorders>
              <w:bottom w:val="single" w:sz="12" w:space="0" w:color="808080"/>
            </w:tcBorders>
            <w:shd w:val="clear" w:color="auto" w:fill="F2F2F2"/>
            <w:vAlign w:val="bottom"/>
          </w:tcPr>
          <w:p w14:paraId="57DA3918" w14:textId="77777777" w:rsidR="00D458F4" w:rsidRPr="00D458F4" w:rsidRDefault="00D458F4" w:rsidP="00CB3D10">
            <w:pPr>
              <w:jc w:val="right"/>
              <w:rPr>
                <w:rFonts w:ascii="Noto Sans" w:eastAsia="Times New Roman" w:hAnsi="Noto Sans" w:cs="Noto Sans"/>
                <w:b/>
                <w:color w:val="000000"/>
                <w:sz w:val="22"/>
                <w:szCs w:val="22"/>
                <w:lang w:val="es-MX" w:eastAsia="es-MX"/>
              </w:rPr>
            </w:pPr>
            <w:r w:rsidRPr="00D458F4">
              <w:rPr>
                <w:rFonts w:ascii="Noto Sans" w:eastAsia="Times New Roman" w:hAnsi="Noto Sans" w:cs="Noto Sans"/>
                <w:b/>
                <w:color w:val="000000"/>
                <w:sz w:val="22"/>
                <w:szCs w:val="22"/>
                <w:lang w:eastAsia="es-MX"/>
              </w:rPr>
              <w:t>14,812,105</w:t>
            </w:r>
          </w:p>
        </w:tc>
        <w:tc>
          <w:tcPr>
            <w:tcW w:w="1430" w:type="dxa"/>
            <w:tcBorders>
              <w:bottom w:val="single" w:sz="12" w:space="0" w:color="808080"/>
            </w:tcBorders>
            <w:shd w:val="clear" w:color="auto" w:fill="F2F2F2"/>
            <w:noWrap/>
            <w:vAlign w:val="bottom"/>
            <w:hideMark/>
          </w:tcPr>
          <w:p w14:paraId="69CD2D2D" w14:textId="77777777" w:rsidR="00D458F4" w:rsidRPr="00D458F4" w:rsidRDefault="00D458F4" w:rsidP="00CB3D10">
            <w:pPr>
              <w:jc w:val="right"/>
              <w:rPr>
                <w:rFonts w:ascii="Noto Sans" w:eastAsia="Times New Roman" w:hAnsi="Noto Sans" w:cs="Noto Sans"/>
                <w:b/>
                <w:color w:val="000000"/>
                <w:sz w:val="22"/>
                <w:szCs w:val="22"/>
                <w:lang w:val="es-MX" w:eastAsia="es-MX"/>
              </w:rPr>
            </w:pPr>
            <w:r w:rsidRPr="00D458F4">
              <w:rPr>
                <w:rFonts w:ascii="Noto Sans" w:eastAsia="Times New Roman" w:hAnsi="Noto Sans" w:cs="Noto Sans"/>
                <w:b/>
                <w:color w:val="000000"/>
                <w:sz w:val="22"/>
                <w:szCs w:val="22"/>
                <w:lang w:eastAsia="es-MX"/>
              </w:rPr>
              <w:t>16,668,664</w:t>
            </w:r>
          </w:p>
        </w:tc>
      </w:tr>
    </w:tbl>
    <w:p w14:paraId="7B6F34F3" w14:textId="77777777" w:rsidR="00D458F4" w:rsidRPr="00D458F4" w:rsidRDefault="00D458F4" w:rsidP="00D458F4">
      <w:pPr>
        <w:jc w:val="both"/>
        <w:rPr>
          <w:rFonts w:ascii="Noto Sans" w:hAnsi="Noto Sans" w:cs="Noto Sans"/>
          <w:sz w:val="22"/>
          <w:szCs w:val="22"/>
        </w:rPr>
      </w:pPr>
    </w:p>
    <w:p w14:paraId="744F3899" w14:textId="77777777" w:rsidR="00D458F4" w:rsidRPr="00D458F4" w:rsidRDefault="00D458F4" w:rsidP="00D458F4">
      <w:pPr>
        <w:jc w:val="both"/>
        <w:rPr>
          <w:rFonts w:ascii="Noto Sans" w:hAnsi="Noto Sans" w:cs="Noto Sans"/>
          <w:sz w:val="22"/>
          <w:szCs w:val="22"/>
        </w:rPr>
      </w:pPr>
      <w:r w:rsidRPr="00D458F4">
        <w:rPr>
          <w:rFonts w:ascii="Noto Sans" w:hAnsi="Noto Sans" w:cs="Noto Sans"/>
          <w:sz w:val="22"/>
          <w:szCs w:val="22"/>
        </w:rPr>
        <w:t>La disminución en la captación de ingresos por venta de bienes y servicios por la cantidad de $1,856,559, obedece a que las fuentes de financiamiento nacionales e internacionales han reducido sus convocatorias para proyectos de investigación; asimismo, se tienen proyectos en proceso de ejecución con vigencia mayor a un año.</w:t>
      </w:r>
    </w:p>
    <w:p w14:paraId="1E3B3C32" w14:textId="77777777" w:rsidR="00D458F4" w:rsidRPr="00D458F4" w:rsidRDefault="00D458F4" w:rsidP="00D458F4">
      <w:pPr>
        <w:jc w:val="both"/>
        <w:rPr>
          <w:rFonts w:ascii="Noto Sans" w:hAnsi="Noto Sans" w:cs="Noto Sans"/>
          <w:sz w:val="22"/>
          <w:szCs w:val="22"/>
        </w:rPr>
      </w:pPr>
    </w:p>
    <w:p w14:paraId="61811251" w14:textId="77777777" w:rsidR="00D458F4" w:rsidRPr="00D458F4" w:rsidRDefault="00D458F4" w:rsidP="00D458F4">
      <w:pPr>
        <w:jc w:val="both"/>
        <w:rPr>
          <w:rFonts w:ascii="Noto Sans" w:hAnsi="Noto Sans" w:cs="Noto Sans"/>
          <w:sz w:val="22"/>
          <w:szCs w:val="22"/>
        </w:rPr>
      </w:pPr>
      <w:r w:rsidRPr="00D458F4">
        <w:rPr>
          <w:rFonts w:ascii="Noto Sans" w:hAnsi="Noto Sans" w:cs="Noto Sans"/>
          <w:sz w:val="22"/>
          <w:szCs w:val="22"/>
        </w:rPr>
        <w:t>Participaciones, Aportaciones, Transferencias, Asignaciones, Subsidios y Otras Ayudas, este monto representa los recursos asignados a ECOSUR en el presupuesto de Egresos de la Federación aplicables en cada ejercicio. Las Transferencias, Asignaciones, Subsidios y Otras Ayudas, se integran de la siguiente manera:</w:t>
      </w:r>
    </w:p>
    <w:p w14:paraId="2FA8AA8F" w14:textId="77777777" w:rsidR="00D458F4" w:rsidRPr="00D458F4" w:rsidRDefault="00D458F4" w:rsidP="00D458F4">
      <w:pPr>
        <w:jc w:val="both"/>
        <w:rPr>
          <w:rFonts w:ascii="Noto Sans" w:hAnsi="Noto Sans" w:cs="Noto Sans"/>
          <w:sz w:val="22"/>
          <w:szCs w:val="22"/>
        </w:rPr>
      </w:pPr>
    </w:p>
    <w:tbl>
      <w:tblPr>
        <w:tblW w:w="5892" w:type="dxa"/>
        <w:jc w:val="center"/>
        <w:tblCellMar>
          <w:left w:w="70" w:type="dxa"/>
          <w:right w:w="70" w:type="dxa"/>
        </w:tblCellMar>
        <w:tblLook w:val="04A0" w:firstRow="1" w:lastRow="0" w:firstColumn="1" w:lastColumn="0" w:noHBand="0" w:noVBand="1"/>
      </w:tblPr>
      <w:tblGrid>
        <w:gridCol w:w="3087"/>
        <w:gridCol w:w="1402"/>
        <w:gridCol w:w="1403"/>
      </w:tblGrid>
      <w:tr w:rsidR="00D458F4" w:rsidRPr="00D458F4" w14:paraId="73C35802" w14:textId="77777777" w:rsidTr="00CB3D10">
        <w:trPr>
          <w:trHeight w:val="385"/>
          <w:tblHeader/>
          <w:jc w:val="center"/>
        </w:trPr>
        <w:tc>
          <w:tcPr>
            <w:tcW w:w="3087" w:type="dxa"/>
            <w:tcBorders>
              <w:top w:val="single" w:sz="12" w:space="0" w:color="808080"/>
              <w:bottom w:val="double" w:sz="12" w:space="0" w:color="808080"/>
            </w:tcBorders>
            <w:shd w:val="clear" w:color="auto" w:fill="D4C19C"/>
            <w:noWrap/>
            <w:vAlign w:val="bottom"/>
            <w:hideMark/>
          </w:tcPr>
          <w:p w14:paraId="74A3F076" w14:textId="77777777" w:rsidR="00D458F4" w:rsidRPr="00D458F4" w:rsidRDefault="00D458F4" w:rsidP="00CB3D10">
            <w:pPr>
              <w:jc w:val="center"/>
              <w:rPr>
                <w:rFonts w:ascii="Noto Sans" w:eastAsia="Times New Roman" w:hAnsi="Noto Sans" w:cs="Noto Sans"/>
                <w:b/>
                <w:bCs/>
                <w:color w:val="FFFFFF"/>
                <w:sz w:val="22"/>
                <w:szCs w:val="22"/>
                <w:lang w:val="es-MX" w:eastAsia="es-MX"/>
              </w:rPr>
            </w:pPr>
            <w:r w:rsidRPr="00D458F4">
              <w:rPr>
                <w:rFonts w:ascii="Noto Sans" w:eastAsia="Times New Roman" w:hAnsi="Noto Sans" w:cs="Noto Sans"/>
                <w:b/>
                <w:bCs/>
                <w:color w:val="FFFFFF"/>
                <w:sz w:val="22"/>
                <w:szCs w:val="22"/>
                <w:lang w:eastAsia="es-MX"/>
              </w:rPr>
              <w:t>CONCEPTO</w:t>
            </w:r>
          </w:p>
        </w:tc>
        <w:tc>
          <w:tcPr>
            <w:tcW w:w="1402" w:type="dxa"/>
            <w:tcBorders>
              <w:top w:val="single" w:sz="12" w:space="0" w:color="808080"/>
              <w:bottom w:val="double" w:sz="12" w:space="0" w:color="808080"/>
            </w:tcBorders>
            <w:shd w:val="clear" w:color="auto" w:fill="D4C19C"/>
            <w:vAlign w:val="bottom"/>
          </w:tcPr>
          <w:p w14:paraId="504CC7C4" w14:textId="77777777" w:rsidR="00D458F4" w:rsidRPr="00D458F4" w:rsidRDefault="00D458F4" w:rsidP="00CB3D10">
            <w:pPr>
              <w:jc w:val="center"/>
              <w:rPr>
                <w:rFonts w:ascii="Noto Sans" w:eastAsia="Times New Roman" w:hAnsi="Noto Sans" w:cs="Noto Sans"/>
                <w:b/>
                <w:bCs/>
                <w:color w:val="FFFFFF"/>
                <w:sz w:val="22"/>
                <w:szCs w:val="22"/>
                <w:lang w:val="es-MX" w:eastAsia="es-MX"/>
              </w:rPr>
            </w:pPr>
            <w:r w:rsidRPr="00D458F4">
              <w:rPr>
                <w:rFonts w:ascii="Noto Sans" w:eastAsia="Times New Roman" w:hAnsi="Noto Sans" w:cs="Noto Sans"/>
                <w:b/>
                <w:bCs/>
                <w:color w:val="FFFFFF"/>
                <w:sz w:val="22"/>
                <w:szCs w:val="22"/>
                <w:lang w:eastAsia="es-MX"/>
              </w:rPr>
              <w:t>2024</w:t>
            </w:r>
          </w:p>
        </w:tc>
        <w:tc>
          <w:tcPr>
            <w:tcW w:w="1403" w:type="dxa"/>
            <w:tcBorders>
              <w:top w:val="single" w:sz="12" w:space="0" w:color="808080"/>
              <w:bottom w:val="double" w:sz="12" w:space="0" w:color="808080"/>
            </w:tcBorders>
            <w:shd w:val="clear" w:color="auto" w:fill="D4C19C"/>
            <w:noWrap/>
            <w:vAlign w:val="bottom"/>
            <w:hideMark/>
          </w:tcPr>
          <w:p w14:paraId="2C988F6F" w14:textId="77777777" w:rsidR="00D458F4" w:rsidRPr="00D458F4" w:rsidRDefault="00D458F4" w:rsidP="00CB3D10">
            <w:pPr>
              <w:jc w:val="center"/>
              <w:rPr>
                <w:rFonts w:ascii="Noto Sans" w:eastAsia="Times New Roman" w:hAnsi="Noto Sans" w:cs="Noto Sans"/>
                <w:b/>
                <w:bCs/>
                <w:color w:val="FFFFFF"/>
                <w:sz w:val="22"/>
                <w:szCs w:val="22"/>
                <w:lang w:val="es-MX" w:eastAsia="es-MX"/>
              </w:rPr>
            </w:pPr>
            <w:r w:rsidRPr="00D458F4">
              <w:rPr>
                <w:rFonts w:ascii="Noto Sans" w:eastAsia="Times New Roman" w:hAnsi="Noto Sans" w:cs="Noto Sans"/>
                <w:b/>
                <w:bCs/>
                <w:color w:val="FFFFFF"/>
                <w:sz w:val="22"/>
                <w:szCs w:val="22"/>
                <w:lang w:eastAsia="es-MX"/>
              </w:rPr>
              <w:t>2023</w:t>
            </w:r>
          </w:p>
        </w:tc>
      </w:tr>
      <w:tr w:rsidR="00D458F4" w:rsidRPr="00D458F4" w14:paraId="1CFE6ADC" w14:textId="77777777" w:rsidTr="00CB3D10">
        <w:trPr>
          <w:trHeight w:val="170"/>
          <w:jc w:val="center"/>
        </w:trPr>
        <w:tc>
          <w:tcPr>
            <w:tcW w:w="3087" w:type="dxa"/>
            <w:tcBorders>
              <w:top w:val="double" w:sz="12" w:space="0" w:color="808080"/>
            </w:tcBorders>
            <w:shd w:val="clear" w:color="auto" w:fill="F2F2F2"/>
            <w:noWrap/>
            <w:vAlign w:val="bottom"/>
            <w:hideMark/>
          </w:tcPr>
          <w:p w14:paraId="281437E5" w14:textId="77777777" w:rsidR="00D458F4" w:rsidRPr="00D458F4" w:rsidRDefault="00D458F4" w:rsidP="00CB3D10">
            <w:pPr>
              <w:rPr>
                <w:rFonts w:ascii="Noto Sans" w:eastAsia="Times New Roman" w:hAnsi="Noto Sans" w:cs="Noto Sans"/>
                <w:color w:val="000000"/>
                <w:sz w:val="22"/>
                <w:szCs w:val="22"/>
                <w:lang w:val="es-MX" w:eastAsia="es-MX"/>
              </w:rPr>
            </w:pPr>
            <w:r w:rsidRPr="00D458F4">
              <w:rPr>
                <w:rFonts w:ascii="Noto Sans" w:eastAsia="Times New Roman" w:hAnsi="Noto Sans" w:cs="Noto Sans"/>
                <w:color w:val="000000"/>
                <w:sz w:val="22"/>
                <w:szCs w:val="22"/>
                <w:lang w:eastAsia="es-MX"/>
              </w:rPr>
              <w:t>Servicios Personales</w:t>
            </w:r>
          </w:p>
        </w:tc>
        <w:tc>
          <w:tcPr>
            <w:tcW w:w="1402" w:type="dxa"/>
            <w:tcBorders>
              <w:top w:val="double" w:sz="12" w:space="0" w:color="808080"/>
            </w:tcBorders>
            <w:shd w:val="clear" w:color="auto" w:fill="F2F2F2"/>
            <w:vAlign w:val="bottom"/>
          </w:tcPr>
          <w:p w14:paraId="2AB106B6" w14:textId="77777777" w:rsidR="00D458F4" w:rsidRPr="00D458F4" w:rsidRDefault="00D458F4" w:rsidP="00CB3D10">
            <w:pPr>
              <w:jc w:val="right"/>
              <w:rPr>
                <w:rFonts w:ascii="Noto Sans" w:eastAsia="Times New Roman" w:hAnsi="Noto Sans" w:cs="Noto Sans"/>
                <w:sz w:val="22"/>
                <w:szCs w:val="22"/>
                <w:lang w:val="es-MX" w:eastAsia="es-MX"/>
              </w:rPr>
            </w:pPr>
            <w:r w:rsidRPr="00D458F4">
              <w:rPr>
                <w:rFonts w:ascii="Noto Sans" w:eastAsia="Times New Roman" w:hAnsi="Noto Sans" w:cs="Noto Sans"/>
                <w:sz w:val="22"/>
                <w:szCs w:val="22"/>
                <w:lang w:val="es-MX" w:eastAsia="es-MX"/>
              </w:rPr>
              <w:t>364,353,708</w:t>
            </w:r>
          </w:p>
        </w:tc>
        <w:tc>
          <w:tcPr>
            <w:tcW w:w="1403" w:type="dxa"/>
            <w:tcBorders>
              <w:top w:val="double" w:sz="12" w:space="0" w:color="808080"/>
            </w:tcBorders>
            <w:shd w:val="clear" w:color="auto" w:fill="F2F2F2"/>
            <w:noWrap/>
            <w:vAlign w:val="bottom"/>
          </w:tcPr>
          <w:p w14:paraId="645B48A2" w14:textId="77777777" w:rsidR="00D458F4" w:rsidRPr="00D458F4" w:rsidRDefault="00D458F4" w:rsidP="00CB3D10">
            <w:pPr>
              <w:jc w:val="right"/>
              <w:rPr>
                <w:rFonts w:ascii="Noto Sans" w:eastAsia="Times New Roman" w:hAnsi="Noto Sans" w:cs="Noto Sans"/>
                <w:sz w:val="22"/>
                <w:szCs w:val="22"/>
                <w:lang w:val="es-MX" w:eastAsia="es-MX"/>
              </w:rPr>
            </w:pPr>
            <w:r w:rsidRPr="00D458F4">
              <w:rPr>
                <w:rFonts w:ascii="Noto Sans" w:eastAsia="Times New Roman" w:hAnsi="Noto Sans" w:cs="Noto Sans"/>
                <w:sz w:val="22"/>
                <w:szCs w:val="22"/>
                <w:lang w:val="es-MX" w:eastAsia="es-MX"/>
              </w:rPr>
              <w:t>349,193,936</w:t>
            </w:r>
          </w:p>
        </w:tc>
      </w:tr>
      <w:tr w:rsidR="00D458F4" w:rsidRPr="00D458F4" w14:paraId="704C7E76" w14:textId="77777777" w:rsidTr="00CB3D10">
        <w:trPr>
          <w:trHeight w:val="170"/>
          <w:jc w:val="center"/>
        </w:trPr>
        <w:tc>
          <w:tcPr>
            <w:tcW w:w="3087" w:type="dxa"/>
            <w:shd w:val="clear" w:color="auto" w:fill="F2F2F2"/>
            <w:noWrap/>
            <w:vAlign w:val="bottom"/>
          </w:tcPr>
          <w:p w14:paraId="675644FF" w14:textId="77777777" w:rsidR="00D458F4" w:rsidRPr="00D458F4" w:rsidRDefault="00D458F4" w:rsidP="00CB3D10">
            <w:pPr>
              <w:rPr>
                <w:rFonts w:ascii="Noto Sans" w:eastAsia="Times New Roman" w:hAnsi="Noto Sans" w:cs="Noto Sans"/>
                <w:color w:val="000000"/>
                <w:sz w:val="22"/>
                <w:szCs w:val="22"/>
                <w:lang w:eastAsia="es-MX"/>
              </w:rPr>
            </w:pPr>
            <w:r w:rsidRPr="00D458F4">
              <w:rPr>
                <w:rFonts w:ascii="Noto Sans" w:eastAsia="Times New Roman" w:hAnsi="Noto Sans" w:cs="Noto Sans"/>
                <w:color w:val="000000"/>
                <w:sz w:val="22"/>
                <w:szCs w:val="22"/>
                <w:lang w:eastAsia="es-MX"/>
              </w:rPr>
              <w:t>Materiales y Suministros</w:t>
            </w:r>
          </w:p>
        </w:tc>
        <w:tc>
          <w:tcPr>
            <w:tcW w:w="1402" w:type="dxa"/>
            <w:shd w:val="clear" w:color="auto" w:fill="F2F2F2"/>
            <w:vAlign w:val="bottom"/>
          </w:tcPr>
          <w:p w14:paraId="73A1EAFC" w14:textId="77777777" w:rsidR="00D458F4" w:rsidRPr="00D458F4" w:rsidRDefault="00D458F4" w:rsidP="00CB3D10">
            <w:pPr>
              <w:jc w:val="right"/>
              <w:rPr>
                <w:rFonts w:ascii="Noto Sans" w:eastAsia="Times New Roman" w:hAnsi="Noto Sans" w:cs="Noto Sans"/>
                <w:sz w:val="22"/>
                <w:szCs w:val="22"/>
                <w:lang w:eastAsia="es-MX"/>
              </w:rPr>
            </w:pPr>
            <w:r w:rsidRPr="00D458F4">
              <w:rPr>
                <w:rFonts w:ascii="Noto Sans" w:eastAsia="Times New Roman" w:hAnsi="Noto Sans" w:cs="Noto Sans"/>
                <w:sz w:val="22"/>
                <w:szCs w:val="22"/>
                <w:lang w:eastAsia="es-MX"/>
              </w:rPr>
              <w:t>10,408,353</w:t>
            </w:r>
          </w:p>
        </w:tc>
        <w:tc>
          <w:tcPr>
            <w:tcW w:w="1403" w:type="dxa"/>
            <w:shd w:val="clear" w:color="auto" w:fill="F2F2F2"/>
            <w:noWrap/>
            <w:vAlign w:val="bottom"/>
          </w:tcPr>
          <w:p w14:paraId="25C0CB85" w14:textId="77777777" w:rsidR="00D458F4" w:rsidRPr="00D458F4" w:rsidRDefault="00D458F4" w:rsidP="00CB3D10">
            <w:pPr>
              <w:jc w:val="right"/>
              <w:rPr>
                <w:rFonts w:ascii="Noto Sans" w:eastAsia="Times New Roman" w:hAnsi="Noto Sans" w:cs="Noto Sans"/>
                <w:sz w:val="22"/>
                <w:szCs w:val="22"/>
                <w:lang w:eastAsia="es-MX"/>
              </w:rPr>
            </w:pPr>
            <w:r w:rsidRPr="00D458F4">
              <w:rPr>
                <w:rFonts w:ascii="Noto Sans" w:eastAsia="Times New Roman" w:hAnsi="Noto Sans" w:cs="Noto Sans"/>
                <w:sz w:val="22"/>
                <w:szCs w:val="22"/>
                <w:lang w:eastAsia="es-MX"/>
              </w:rPr>
              <w:t>11,218,805</w:t>
            </w:r>
          </w:p>
        </w:tc>
      </w:tr>
      <w:tr w:rsidR="00D458F4" w:rsidRPr="00D458F4" w14:paraId="2DDAFB55" w14:textId="77777777" w:rsidTr="00CB3D10">
        <w:trPr>
          <w:trHeight w:val="170"/>
          <w:jc w:val="center"/>
        </w:trPr>
        <w:tc>
          <w:tcPr>
            <w:tcW w:w="3087" w:type="dxa"/>
            <w:shd w:val="clear" w:color="auto" w:fill="F2F2F2"/>
            <w:noWrap/>
            <w:vAlign w:val="bottom"/>
          </w:tcPr>
          <w:p w14:paraId="419C6A35" w14:textId="77777777" w:rsidR="00D458F4" w:rsidRPr="00D458F4" w:rsidRDefault="00D458F4" w:rsidP="00CB3D10">
            <w:pPr>
              <w:rPr>
                <w:rFonts w:ascii="Noto Sans" w:eastAsia="Times New Roman" w:hAnsi="Noto Sans" w:cs="Noto Sans"/>
                <w:color w:val="000000"/>
                <w:sz w:val="22"/>
                <w:szCs w:val="22"/>
                <w:lang w:eastAsia="es-MX"/>
              </w:rPr>
            </w:pPr>
            <w:r w:rsidRPr="00D458F4">
              <w:rPr>
                <w:rFonts w:ascii="Noto Sans" w:eastAsia="Times New Roman" w:hAnsi="Noto Sans" w:cs="Noto Sans"/>
                <w:color w:val="000000"/>
                <w:sz w:val="22"/>
                <w:szCs w:val="22"/>
                <w:lang w:eastAsia="es-MX"/>
              </w:rPr>
              <w:t>Servicios Generales</w:t>
            </w:r>
          </w:p>
        </w:tc>
        <w:tc>
          <w:tcPr>
            <w:tcW w:w="1402" w:type="dxa"/>
            <w:shd w:val="clear" w:color="auto" w:fill="F2F2F2"/>
            <w:vAlign w:val="bottom"/>
          </w:tcPr>
          <w:p w14:paraId="28A3381D" w14:textId="77777777" w:rsidR="00D458F4" w:rsidRPr="00D458F4" w:rsidRDefault="00D458F4" w:rsidP="00CB3D10">
            <w:pPr>
              <w:jc w:val="right"/>
              <w:rPr>
                <w:rFonts w:ascii="Noto Sans" w:eastAsia="Times New Roman" w:hAnsi="Noto Sans" w:cs="Noto Sans"/>
                <w:sz w:val="22"/>
                <w:szCs w:val="22"/>
                <w:lang w:eastAsia="es-MX"/>
              </w:rPr>
            </w:pPr>
            <w:r w:rsidRPr="00D458F4">
              <w:rPr>
                <w:rFonts w:ascii="Noto Sans" w:eastAsia="Times New Roman" w:hAnsi="Noto Sans" w:cs="Noto Sans"/>
                <w:sz w:val="22"/>
                <w:szCs w:val="22"/>
                <w:lang w:eastAsia="es-MX"/>
              </w:rPr>
              <w:t>49,094,661</w:t>
            </w:r>
          </w:p>
        </w:tc>
        <w:tc>
          <w:tcPr>
            <w:tcW w:w="1403" w:type="dxa"/>
            <w:shd w:val="clear" w:color="auto" w:fill="F2F2F2"/>
            <w:noWrap/>
            <w:vAlign w:val="bottom"/>
          </w:tcPr>
          <w:p w14:paraId="18AC879B" w14:textId="77777777" w:rsidR="00D458F4" w:rsidRPr="00D458F4" w:rsidRDefault="00D458F4" w:rsidP="00CB3D10">
            <w:pPr>
              <w:jc w:val="right"/>
              <w:rPr>
                <w:rFonts w:ascii="Noto Sans" w:eastAsia="Times New Roman" w:hAnsi="Noto Sans" w:cs="Noto Sans"/>
                <w:sz w:val="22"/>
                <w:szCs w:val="22"/>
                <w:lang w:eastAsia="es-MX"/>
              </w:rPr>
            </w:pPr>
            <w:r w:rsidRPr="00D458F4">
              <w:rPr>
                <w:rFonts w:ascii="Noto Sans" w:eastAsia="Times New Roman" w:hAnsi="Noto Sans" w:cs="Noto Sans"/>
                <w:sz w:val="22"/>
                <w:szCs w:val="22"/>
                <w:lang w:eastAsia="es-MX"/>
              </w:rPr>
              <w:t>47,253,135</w:t>
            </w:r>
          </w:p>
        </w:tc>
      </w:tr>
      <w:tr w:rsidR="00D458F4" w:rsidRPr="00D458F4" w14:paraId="612EE457" w14:textId="77777777" w:rsidTr="00CB3D10">
        <w:trPr>
          <w:trHeight w:val="170"/>
          <w:jc w:val="center"/>
        </w:trPr>
        <w:tc>
          <w:tcPr>
            <w:tcW w:w="3087" w:type="dxa"/>
            <w:shd w:val="clear" w:color="auto" w:fill="F2F2F2"/>
            <w:noWrap/>
            <w:vAlign w:val="bottom"/>
          </w:tcPr>
          <w:p w14:paraId="44E8C44B" w14:textId="77777777" w:rsidR="00D458F4" w:rsidRPr="00D458F4" w:rsidRDefault="00D458F4" w:rsidP="00CB3D10">
            <w:pPr>
              <w:rPr>
                <w:rFonts w:ascii="Noto Sans" w:eastAsia="Times New Roman" w:hAnsi="Noto Sans" w:cs="Noto Sans"/>
                <w:color w:val="000000"/>
                <w:sz w:val="22"/>
                <w:szCs w:val="22"/>
                <w:lang w:eastAsia="es-MX"/>
              </w:rPr>
            </w:pPr>
            <w:r w:rsidRPr="00D458F4">
              <w:rPr>
                <w:rFonts w:ascii="Noto Sans" w:eastAsia="Times New Roman" w:hAnsi="Noto Sans" w:cs="Noto Sans"/>
                <w:color w:val="000000"/>
                <w:sz w:val="22"/>
                <w:szCs w:val="22"/>
                <w:lang w:eastAsia="es-MX"/>
              </w:rPr>
              <w:t>Subsidios y Subvenciones</w:t>
            </w:r>
          </w:p>
        </w:tc>
        <w:tc>
          <w:tcPr>
            <w:tcW w:w="1402" w:type="dxa"/>
            <w:shd w:val="clear" w:color="auto" w:fill="F2F2F2"/>
            <w:vAlign w:val="bottom"/>
          </w:tcPr>
          <w:p w14:paraId="30BF57F9" w14:textId="77777777" w:rsidR="00D458F4" w:rsidRPr="00D458F4" w:rsidRDefault="00D458F4" w:rsidP="00CB3D10">
            <w:pPr>
              <w:jc w:val="right"/>
              <w:rPr>
                <w:rFonts w:ascii="Noto Sans" w:eastAsia="Times New Roman" w:hAnsi="Noto Sans" w:cs="Noto Sans"/>
                <w:sz w:val="22"/>
                <w:szCs w:val="22"/>
                <w:lang w:eastAsia="es-MX"/>
              </w:rPr>
            </w:pPr>
            <w:r w:rsidRPr="00D458F4">
              <w:rPr>
                <w:rFonts w:ascii="Noto Sans" w:eastAsia="Times New Roman" w:hAnsi="Noto Sans" w:cs="Noto Sans"/>
                <w:sz w:val="22"/>
                <w:szCs w:val="22"/>
                <w:lang w:eastAsia="es-MX"/>
              </w:rPr>
              <w:t>4,894,215</w:t>
            </w:r>
          </w:p>
        </w:tc>
        <w:tc>
          <w:tcPr>
            <w:tcW w:w="1403" w:type="dxa"/>
            <w:shd w:val="clear" w:color="auto" w:fill="F2F2F2"/>
            <w:noWrap/>
            <w:vAlign w:val="bottom"/>
          </w:tcPr>
          <w:p w14:paraId="379EC66C" w14:textId="77777777" w:rsidR="00D458F4" w:rsidRPr="00D458F4" w:rsidRDefault="00D458F4" w:rsidP="00CB3D10">
            <w:pPr>
              <w:jc w:val="right"/>
              <w:rPr>
                <w:rFonts w:ascii="Noto Sans" w:eastAsia="Times New Roman" w:hAnsi="Noto Sans" w:cs="Noto Sans"/>
                <w:sz w:val="22"/>
                <w:szCs w:val="22"/>
                <w:lang w:eastAsia="es-MX"/>
              </w:rPr>
            </w:pPr>
            <w:r w:rsidRPr="00D458F4">
              <w:rPr>
                <w:rFonts w:ascii="Noto Sans" w:eastAsia="Times New Roman" w:hAnsi="Noto Sans" w:cs="Noto Sans"/>
                <w:sz w:val="22"/>
                <w:szCs w:val="22"/>
                <w:lang w:eastAsia="es-MX"/>
              </w:rPr>
              <w:t>4,745,262</w:t>
            </w:r>
          </w:p>
        </w:tc>
      </w:tr>
      <w:tr w:rsidR="00D458F4" w:rsidRPr="00D458F4" w14:paraId="17E257F7" w14:textId="77777777" w:rsidTr="00CB3D10">
        <w:trPr>
          <w:trHeight w:val="170"/>
          <w:jc w:val="center"/>
        </w:trPr>
        <w:tc>
          <w:tcPr>
            <w:tcW w:w="3087" w:type="dxa"/>
            <w:tcBorders>
              <w:bottom w:val="single" w:sz="12" w:space="0" w:color="808080"/>
            </w:tcBorders>
            <w:shd w:val="clear" w:color="auto" w:fill="F2F2F2"/>
            <w:noWrap/>
            <w:vAlign w:val="bottom"/>
            <w:hideMark/>
          </w:tcPr>
          <w:p w14:paraId="5EFAC5E7" w14:textId="77777777" w:rsidR="00D458F4" w:rsidRPr="00D458F4" w:rsidRDefault="00D458F4" w:rsidP="00CB3D10">
            <w:pPr>
              <w:rPr>
                <w:rFonts w:ascii="Noto Sans" w:eastAsia="Times New Roman" w:hAnsi="Noto Sans" w:cs="Noto Sans"/>
                <w:color w:val="000000"/>
                <w:sz w:val="22"/>
                <w:szCs w:val="22"/>
                <w:lang w:val="es-MX" w:eastAsia="es-MX"/>
              </w:rPr>
            </w:pPr>
            <w:r w:rsidRPr="00D458F4">
              <w:rPr>
                <w:rFonts w:ascii="Noto Sans" w:eastAsia="Times New Roman" w:hAnsi="Noto Sans" w:cs="Noto Sans"/>
                <w:b/>
                <w:color w:val="000000"/>
                <w:sz w:val="22"/>
                <w:szCs w:val="22"/>
                <w:lang w:eastAsia="es-MX"/>
              </w:rPr>
              <w:t>Total</w:t>
            </w:r>
          </w:p>
        </w:tc>
        <w:tc>
          <w:tcPr>
            <w:tcW w:w="1402" w:type="dxa"/>
            <w:tcBorders>
              <w:bottom w:val="single" w:sz="12" w:space="0" w:color="808080"/>
            </w:tcBorders>
            <w:shd w:val="clear" w:color="auto" w:fill="F2F2F2"/>
            <w:vAlign w:val="bottom"/>
          </w:tcPr>
          <w:p w14:paraId="55872920" w14:textId="77777777" w:rsidR="00D458F4" w:rsidRPr="00D458F4" w:rsidRDefault="00D458F4" w:rsidP="00CB3D10">
            <w:pPr>
              <w:jc w:val="right"/>
              <w:rPr>
                <w:rFonts w:ascii="Noto Sans" w:eastAsia="Times New Roman" w:hAnsi="Noto Sans" w:cs="Noto Sans"/>
                <w:b/>
                <w:sz w:val="22"/>
                <w:szCs w:val="22"/>
                <w:lang w:val="es-MX" w:eastAsia="es-MX"/>
              </w:rPr>
            </w:pPr>
            <w:r w:rsidRPr="00D458F4">
              <w:rPr>
                <w:rFonts w:ascii="Noto Sans" w:eastAsia="Times New Roman" w:hAnsi="Noto Sans" w:cs="Noto Sans"/>
                <w:b/>
                <w:sz w:val="22"/>
                <w:szCs w:val="22"/>
                <w:lang w:eastAsia="es-MX"/>
              </w:rPr>
              <w:t>428,750,937</w:t>
            </w:r>
          </w:p>
        </w:tc>
        <w:tc>
          <w:tcPr>
            <w:tcW w:w="1403" w:type="dxa"/>
            <w:tcBorders>
              <w:bottom w:val="single" w:sz="12" w:space="0" w:color="808080"/>
            </w:tcBorders>
            <w:shd w:val="clear" w:color="auto" w:fill="F2F2F2"/>
            <w:noWrap/>
            <w:vAlign w:val="bottom"/>
          </w:tcPr>
          <w:p w14:paraId="3D419448" w14:textId="77777777" w:rsidR="00D458F4" w:rsidRPr="00D458F4" w:rsidRDefault="00D458F4" w:rsidP="00CB3D10">
            <w:pPr>
              <w:jc w:val="right"/>
              <w:rPr>
                <w:rFonts w:ascii="Noto Sans" w:eastAsia="Times New Roman" w:hAnsi="Noto Sans" w:cs="Noto Sans"/>
                <w:b/>
                <w:sz w:val="22"/>
                <w:szCs w:val="22"/>
                <w:lang w:val="es-MX" w:eastAsia="es-MX"/>
              </w:rPr>
            </w:pPr>
            <w:r w:rsidRPr="00D458F4">
              <w:rPr>
                <w:rFonts w:ascii="Noto Sans" w:eastAsia="Times New Roman" w:hAnsi="Noto Sans" w:cs="Noto Sans"/>
                <w:b/>
                <w:sz w:val="22"/>
                <w:szCs w:val="22"/>
                <w:lang w:eastAsia="es-MX"/>
              </w:rPr>
              <w:t>412,411,138</w:t>
            </w:r>
          </w:p>
        </w:tc>
      </w:tr>
    </w:tbl>
    <w:p w14:paraId="61554EFC" w14:textId="77777777" w:rsidR="00D458F4" w:rsidRPr="00D458F4" w:rsidRDefault="00D458F4" w:rsidP="00D458F4">
      <w:pPr>
        <w:jc w:val="both"/>
        <w:rPr>
          <w:rFonts w:ascii="Noto Sans" w:hAnsi="Noto Sans" w:cs="Noto Sans"/>
          <w:sz w:val="22"/>
          <w:szCs w:val="22"/>
        </w:rPr>
      </w:pPr>
    </w:p>
    <w:p w14:paraId="20C3F27D" w14:textId="77777777" w:rsidR="00D458F4" w:rsidRPr="00D458F4" w:rsidRDefault="00D458F4" w:rsidP="00D458F4">
      <w:pPr>
        <w:jc w:val="both"/>
        <w:rPr>
          <w:rFonts w:ascii="Noto Sans" w:hAnsi="Noto Sans" w:cs="Noto Sans"/>
          <w:sz w:val="22"/>
          <w:szCs w:val="22"/>
        </w:rPr>
      </w:pPr>
      <w:r w:rsidRPr="00D458F4">
        <w:rPr>
          <w:rFonts w:ascii="Noto Sans" w:hAnsi="Noto Sans" w:cs="Noto Sans"/>
          <w:sz w:val="22"/>
          <w:szCs w:val="22"/>
        </w:rPr>
        <w:lastRenderedPageBreak/>
        <w:t>ECOSUR presenta gastos de funcionamiento por $419,760,536 pesos para 2023 y $433,277,438 pesos para el año 2024. Los gastos de funcionamiento agrupan las erogaciones que se realizaron conforme lo estable el clasificador por objeto de gasto.</w:t>
      </w:r>
    </w:p>
    <w:p w14:paraId="183A7031" w14:textId="77777777" w:rsidR="00D458F4" w:rsidRPr="00D458F4" w:rsidRDefault="00D458F4" w:rsidP="00D458F4">
      <w:pPr>
        <w:jc w:val="both"/>
        <w:rPr>
          <w:rFonts w:ascii="Noto Sans" w:hAnsi="Noto Sans" w:cs="Noto Sans"/>
          <w:sz w:val="22"/>
          <w:szCs w:val="22"/>
        </w:rPr>
      </w:pPr>
      <w:r w:rsidRPr="00D458F4">
        <w:rPr>
          <w:rFonts w:ascii="Noto Sans" w:hAnsi="Noto Sans" w:cs="Noto Sans"/>
          <w:sz w:val="22"/>
          <w:szCs w:val="22"/>
        </w:rPr>
        <w:t>El saldo se integra de la siguiente manera:</w:t>
      </w:r>
    </w:p>
    <w:p w14:paraId="14EEC5EB" w14:textId="77777777" w:rsidR="00D458F4" w:rsidRPr="00D458F4" w:rsidRDefault="00D458F4" w:rsidP="00D458F4">
      <w:pPr>
        <w:jc w:val="both"/>
        <w:rPr>
          <w:rFonts w:ascii="Noto Sans" w:hAnsi="Noto Sans" w:cs="Noto Sans"/>
          <w:sz w:val="22"/>
          <w:szCs w:val="22"/>
        </w:rPr>
      </w:pPr>
    </w:p>
    <w:tbl>
      <w:tblPr>
        <w:tblW w:w="5968" w:type="dxa"/>
        <w:jc w:val="center"/>
        <w:tblCellMar>
          <w:left w:w="70" w:type="dxa"/>
          <w:right w:w="70" w:type="dxa"/>
        </w:tblCellMar>
        <w:tblLook w:val="04A0" w:firstRow="1" w:lastRow="0" w:firstColumn="1" w:lastColumn="0" w:noHBand="0" w:noVBand="1"/>
      </w:tblPr>
      <w:tblGrid>
        <w:gridCol w:w="3134"/>
        <w:gridCol w:w="1417"/>
        <w:gridCol w:w="1417"/>
      </w:tblGrid>
      <w:tr w:rsidR="00D458F4" w:rsidRPr="00D458F4" w14:paraId="262C3B10" w14:textId="77777777" w:rsidTr="00CB3D10">
        <w:trPr>
          <w:trHeight w:val="300"/>
          <w:tblHeader/>
          <w:jc w:val="center"/>
        </w:trPr>
        <w:tc>
          <w:tcPr>
            <w:tcW w:w="3134" w:type="dxa"/>
            <w:tcBorders>
              <w:top w:val="single" w:sz="12" w:space="0" w:color="808080"/>
              <w:bottom w:val="double" w:sz="12" w:space="0" w:color="808080"/>
            </w:tcBorders>
            <w:shd w:val="clear" w:color="auto" w:fill="D4C19C"/>
            <w:noWrap/>
            <w:vAlign w:val="bottom"/>
            <w:hideMark/>
          </w:tcPr>
          <w:p w14:paraId="272B921A" w14:textId="77777777" w:rsidR="00D458F4" w:rsidRPr="00D458F4" w:rsidRDefault="00D458F4" w:rsidP="00CB3D10">
            <w:pPr>
              <w:jc w:val="center"/>
              <w:rPr>
                <w:rFonts w:ascii="Noto Sans" w:eastAsia="Times New Roman" w:hAnsi="Noto Sans" w:cs="Noto Sans"/>
                <w:b/>
                <w:bCs/>
                <w:color w:val="FFFFFF"/>
                <w:sz w:val="22"/>
                <w:szCs w:val="22"/>
                <w:lang w:val="es-MX" w:eastAsia="es-MX"/>
              </w:rPr>
            </w:pPr>
            <w:r w:rsidRPr="00D458F4">
              <w:rPr>
                <w:rFonts w:ascii="Noto Sans" w:eastAsia="Times New Roman" w:hAnsi="Noto Sans" w:cs="Noto Sans"/>
                <w:b/>
                <w:bCs/>
                <w:color w:val="FFFFFF"/>
                <w:sz w:val="22"/>
                <w:szCs w:val="22"/>
                <w:lang w:eastAsia="es-MX"/>
              </w:rPr>
              <w:t>CONCEPTO</w:t>
            </w:r>
          </w:p>
        </w:tc>
        <w:tc>
          <w:tcPr>
            <w:tcW w:w="1417" w:type="dxa"/>
            <w:tcBorders>
              <w:top w:val="single" w:sz="12" w:space="0" w:color="808080"/>
              <w:bottom w:val="double" w:sz="12" w:space="0" w:color="808080"/>
            </w:tcBorders>
            <w:shd w:val="clear" w:color="auto" w:fill="D4C19C"/>
            <w:noWrap/>
            <w:vAlign w:val="bottom"/>
            <w:hideMark/>
          </w:tcPr>
          <w:p w14:paraId="4D90BF18" w14:textId="77777777" w:rsidR="00D458F4" w:rsidRPr="00D458F4" w:rsidRDefault="00D458F4" w:rsidP="00CB3D10">
            <w:pPr>
              <w:jc w:val="center"/>
              <w:rPr>
                <w:rFonts w:ascii="Noto Sans" w:eastAsia="Times New Roman" w:hAnsi="Noto Sans" w:cs="Noto Sans"/>
                <w:b/>
                <w:bCs/>
                <w:color w:val="FFFFFF"/>
                <w:sz w:val="22"/>
                <w:szCs w:val="22"/>
                <w:lang w:val="es-MX" w:eastAsia="es-MX"/>
              </w:rPr>
            </w:pPr>
            <w:r w:rsidRPr="00D458F4">
              <w:rPr>
                <w:rFonts w:ascii="Noto Sans" w:eastAsia="Times New Roman" w:hAnsi="Noto Sans" w:cs="Noto Sans"/>
                <w:b/>
                <w:bCs/>
                <w:color w:val="FFFFFF"/>
                <w:sz w:val="22"/>
                <w:szCs w:val="22"/>
                <w:lang w:eastAsia="es-MX"/>
              </w:rPr>
              <w:t xml:space="preserve">      2024</w:t>
            </w:r>
          </w:p>
        </w:tc>
        <w:tc>
          <w:tcPr>
            <w:tcW w:w="1417" w:type="dxa"/>
            <w:tcBorders>
              <w:top w:val="single" w:sz="12" w:space="0" w:color="808080"/>
              <w:bottom w:val="double" w:sz="12" w:space="0" w:color="808080"/>
            </w:tcBorders>
            <w:shd w:val="clear" w:color="auto" w:fill="D4C19C"/>
            <w:vAlign w:val="bottom"/>
          </w:tcPr>
          <w:p w14:paraId="44FFD8C8" w14:textId="77777777" w:rsidR="00D458F4" w:rsidRPr="00D458F4" w:rsidRDefault="00D458F4" w:rsidP="00CB3D10">
            <w:pPr>
              <w:jc w:val="center"/>
              <w:rPr>
                <w:rFonts w:ascii="Noto Sans" w:eastAsia="Times New Roman" w:hAnsi="Noto Sans" w:cs="Noto Sans"/>
                <w:b/>
                <w:bCs/>
                <w:color w:val="FFFFFF"/>
                <w:sz w:val="22"/>
                <w:szCs w:val="22"/>
                <w:lang w:eastAsia="es-MX"/>
              </w:rPr>
            </w:pPr>
            <w:r w:rsidRPr="00D458F4">
              <w:rPr>
                <w:rFonts w:ascii="Noto Sans" w:eastAsia="Times New Roman" w:hAnsi="Noto Sans" w:cs="Noto Sans"/>
                <w:b/>
                <w:bCs/>
                <w:color w:val="FFFFFF"/>
                <w:sz w:val="22"/>
                <w:szCs w:val="22"/>
                <w:lang w:eastAsia="es-MX"/>
              </w:rPr>
              <w:t>2023</w:t>
            </w:r>
          </w:p>
        </w:tc>
      </w:tr>
      <w:tr w:rsidR="00D458F4" w:rsidRPr="00D458F4" w14:paraId="3E68EB5E" w14:textId="77777777" w:rsidTr="00CB3D10">
        <w:trPr>
          <w:trHeight w:val="170"/>
          <w:jc w:val="center"/>
        </w:trPr>
        <w:tc>
          <w:tcPr>
            <w:tcW w:w="3134" w:type="dxa"/>
            <w:tcBorders>
              <w:top w:val="double" w:sz="12" w:space="0" w:color="808080"/>
            </w:tcBorders>
            <w:shd w:val="clear" w:color="auto" w:fill="F2F2F2"/>
            <w:noWrap/>
            <w:vAlign w:val="bottom"/>
            <w:hideMark/>
          </w:tcPr>
          <w:p w14:paraId="09E29674" w14:textId="77777777" w:rsidR="00D458F4" w:rsidRPr="00D458F4" w:rsidRDefault="00D458F4" w:rsidP="00CB3D10">
            <w:pPr>
              <w:spacing w:line="240" w:lineRule="exact"/>
              <w:rPr>
                <w:rFonts w:ascii="Noto Sans" w:eastAsia="Times New Roman" w:hAnsi="Noto Sans" w:cs="Noto Sans"/>
                <w:color w:val="000000"/>
                <w:sz w:val="22"/>
                <w:szCs w:val="22"/>
                <w:lang w:val="es-MX" w:eastAsia="es-MX"/>
              </w:rPr>
            </w:pPr>
            <w:r w:rsidRPr="00D458F4">
              <w:rPr>
                <w:rFonts w:ascii="Noto Sans" w:eastAsia="Times New Roman" w:hAnsi="Noto Sans" w:cs="Noto Sans"/>
                <w:color w:val="000000"/>
                <w:sz w:val="22"/>
                <w:szCs w:val="22"/>
                <w:lang w:eastAsia="es-MX"/>
              </w:rPr>
              <w:t>Servicios Personales</w:t>
            </w:r>
          </w:p>
        </w:tc>
        <w:tc>
          <w:tcPr>
            <w:tcW w:w="1417" w:type="dxa"/>
            <w:tcBorders>
              <w:top w:val="double" w:sz="12" w:space="0" w:color="808080"/>
            </w:tcBorders>
            <w:shd w:val="clear" w:color="auto" w:fill="F2F2F2"/>
            <w:noWrap/>
            <w:vAlign w:val="bottom"/>
            <w:hideMark/>
          </w:tcPr>
          <w:p w14:paraId="54B2981C" w14:textId="77777777" w:rsidR="00D458F4" w:rsidRPr="00D458F4" w:rsidRDefault="00D458F4" w:rsidP="00CB3D10">
            <w:pPr>
              <w:spacing w:line="240" w:lineRule="exact"/>
              <w:jc w:val="right"/>
              <w:rPr>
                <w:rFonts w:ascii="Noto Sans" w:eastAsia="Times New Roman" w:hAnsi="Noto Sans" w:cs="Noto Sans"/>
                <w:color w:val="000000"/>
                <w:sz w:val="22"/>
                <w:szCs w:val="22"/>
                <w:lang w:val="es-MX" w:eastAsia="es-MX"/>
              </w:rPr>
            </w:pPr>
            <w:r w:rsidRPr="00D458F4">
              <w:rPr>
                <w:rFonts w:ascii="Noto Sans" w:eastAsia="Times New Roman" w:hAnsi="Noto Sans" w:cs="Noto Sans"/>
                <w:color w:val="000000"/>
                <w:sz w:val="22"/>
                <w:szCs w:val="22"/>
                <w:lang w:eastAsia="es-MX"/>
              </w:rPr>
              <w:t>364,399,210</w:t>
            </w:r>
          </w:p>
        </w:tc>
        <w:tc>
          <w:tcPr>
            <w:tcW w:w="1417" w:type="dxa"/>
            <w:tcBorders>
              <w:top w:val="double" w:sz="12" w:space="0" w:color="808080"/>
            </w:tcBorders>
            <w:shd w:val="clear" w:color="auto" w:fill="F2F2F2"/>
            <w:vAlign w:val="bottom"/>
          </w:tcPr>
          <w:p w14:paraId="62825E4F" w14:textId="77777777" w:rsidR="00D458F4" w:rsidRPr="00D458F4" w:rsidRDefault="00D458F4" w:rsidP="00CB3D10">
            <w:pPr>
              <w:spacing w:line="240" w:lineRule="exact"/>
              <w:jc w:val="right"/>
              <w:rPr>
                <w:rFonts w:ascii="Noto Sans" w:eastAsia="Times New Roman" w:hAnsi="Noto Sans" w:cs="Noto Sans"/>
                <w:color w:val="000000"/>
                <w:sz w:val="22"/>
                <w:szCs w:val="22"/>
                <w:lang w:val="es-MX" w:eastAsia="es-MX"/>
              </w:rPr>
            </w:pPr>
            <w:r w:rsidRPr="00D458F4">
              <w:rPr>
                <w:rFonts w:ascii="Noto Sans" w:eastAsia="Times New Roman" w:hAnsi="Noto Sans" w:cs="Noto Sans"/>
                <w:color w:val="000000"/>
                <w:sz w:val="22"/>
                <w:szCs w:val="22"/>
                <w:lang w:eastAsia="es-MX"/>
              </w:rPr>
              <w:t>349,577,012</w:t>
            </w:r>
          </w:p>
        </w:tc>
      </w:tr>
      <w:tr w:rsidR="00D458F4" w:rsidRPr="00D458F4" w14:paraId="7B26DBF0" w14:textId="77777777" w:rsidTr="00CB3D10">
        <w:trPr>
          <w:trHeight w:val="170"/>
          <w:jc w:val="center"/>
        </w:trPr>
        <w:tc>
          <w:tcPr>
            <w:tcW w:w="3134" w:type="dxa"/>
            <w:shd w:val="clear" w:color="auto" w:fill="F2F2F2"/>
            <w:noWrap/>
            <w:vAlign w:val="bottom"/>
            <w:hideMark/>
          </w:tcPr>
          <w:p w14:paraId="5A1A59DA" w14:textId="77777777" w:rsidR="00D458F4" w:rsidRPr="00D458F4" w:rsidRDefault="00D458F4" w:rsidP="00CB3D10">
            <w:pPr>
              <w:spacing w:line="240" w:lineRule="exact"/>
              <w:rPr>
                <w:rFonts w:ascii="Noto Sans" w:eastAsia="Times New Roman" w:hAnsi="Noto Sans" w:cs="Noto Sans"/>
                <w:color w:val="000000"/>
                <w:sz w:val="22"/>
                <w:szCs w:val="22"/>
                <w:lang w:val="es-MX" w:eastAsia="es-MX"/>
              </w:rPr>
            </w:pPr>
            <w:r w:rsidRPr="00D458F4">
              <w:rPr>
                <w:rFonts w:ascii="Noto Sans" w:eastAsia="Times New Roman" w:hAnsi="Noto Sans" w:cs="Noto Sans"/>
                <w:color w:val="000000"/>
                <w:sz w:val="22"/>
                <w:szCs w:val="22"/>
                <w:lang w:eastAsia="es-MX"/>
              </w:rPr>
              <w:t>Materiales y Suministros</w:t>
            </w:r>
          </w:p>
        </w:tc>
        <w:tc>
          <w:tcPr>
            <w:tcW w:w="1417" w:type="dxa"/>
            <w:shd w:val="clear" w:color="auto" w:fill="F2F2F2"/>
            <w:noWrap/>
            <w:vAlign w:val="bottom"/>
            <w:hideMark/>
          </w:tcPr>
          <w:p w14:paraId="3FF5DED4" w14:textId="77777777" w:rsidR="00D458F4" w:rsidRPr="00D458F4" w:rsidRDefault="00D458F4" w:rsidP="00CB3D10">
            <w:pPr>
              <w:spacing w:line="240" w:lineRule="exact"/>
              <w:jc w:val="right"/>
              <w:rPr>
                <w:rFonts w:ascii="Noto Sans" w:eastAsia="Times New Roman" w:hAnsi="Noto Sans" w:cs="Noto Sans"/>
                <w:color w:val="000000"/>
                <w:sz w:val="22"/>
                <w:szCs w:val="22"/>
                <w:lang w:eastAsia="es-MX"/>
              </w:rPr>
            </w:pPr>
            <w:r w:rsidRPr="00D458F4">
              <w:rPr>
                <w:rFonts w:ascii="Noto Sans" w:eastAsia="Times New Roman" w:hAnsi="Noto Sans" w:cs="Noto Sans"/>
                <w:color w:val="000000"/>
                <w:sz w:val="22"/>
                <w:szCs w:val="22"/>
                <w:lang w:eastAsia="es-MX"/>
              </w:rPr>
              <w:t>12,239,881</w:t>
            </w:r>
          </w:p>
        </w:tc>
        <w:tc>
          <w:tcPr>
            <w:tcW w:w="1417" w:type="dxa"/>
            <w:shd w:val="clear" w:color="auto" w:fill="F2F2F2"/>
            <w:vAlign w:val="bottom"/>
          </w:tcPr>
          <w:p w14:paraId="567254AA" w14:textId="77777777" w:rsidR="00D458F4" w:rsidRPr="00D458F4" w:rsidRDefault="00D458F4" w:rsidP="00CB3D10">
            <w:pPr>
              <w:spacing w:line="240" w:lineRule="exact"/>
              <w:jc w:val="right"/>
              <w:rPr>
                <w:rFonts w:ascii="Noto Sans" w:eastAsia="Times New Roman" w:hAnsi="Noto Sans" w:cs="Noto Sans"/>
                <w:color w:val="000000"/>
                <w:sz w:val="22"/>
                <w:szCs w:val="22"/>
                <w:lang w:val="es-MX" w:eastAsia="es-MX"/>
              </w:rPr>
            </w:pPr>
            <w:r w:rsidRPr="00D458F4">
              <w:rPr>
                <w:rFonts w:ascii="Noto Sans" w:eastAsia="Times New Roman" w:hAnsi="Noto Sans" w:cs="Noto Sans"/>
                <w:color w:val="000000"/>
                <w:sz w:val="22"/>
                <w:szCs w:val="22"/>
                <w:lang w:eastAsia="es-MX"/>
              </w:rPr>
              <w:t>13,485,836</w:t>
            </w:r>
          </w:p>
        </w:tc>
      </w:tr>
      <w:tr w:rsidR="00D458F4" w:rsidRPr="00D458F4" w14:paraId="63D9AD02" w14:textId="77777777" w:rsidTr="00CB3D10">
        <w:trPr>
          <w:trHeight w:val="170"/>
          <w:jc w:val="center"/>
        </w:trPr>
        <w:tc>
          <w:tcPr>
            <w:tcW w:w="3134" w:type="dxa"/>
            <w:shd w:val="clear" w:color="auto" w:fill="F2F2F2"/>
            <w:noWrap/>
            <w:vAlign w:val="bottom"/>
            <w:hideMark/>
          </w:tcPr>
          <w:p w14:paraId="1CD092C1" w14:textId="77777777" w:rsidR="00D458F4" w:rsidRPr="00D458F4" w:rsidRDefault="00D458F4" w:rsidP="00CB3D10">
            <w:pPr>
              <w:spacing w:line="240" w:lineRule="exact"/>
              <w:rPr>
                <w:rFonts w:ascii="Noto Sans" w:eastAsia="Times New Roman" w:hAnsi="Noto Sans" w:cs="Noto Sans"/>
                <w:color w:val="000000"/>
                <w:sz w:val="22"/>
                <w:szCs w:val="22"/>
                <w:lang w:val="es-MX" w:eastAsia="es-MX"/>
              </w:rPr>
            </w:pPr>
            <w:r w:rsidRPr="00D458F4">
              <w:rPr>
                <w:rFonts w:ascii="Noto Sans" w:eastAsia="Times New Roman" w:hAnsi="Noto Sans" w:cs="Noto Sans"/>
                <w:color w:val="000000"/>
                <w:sz w:val="22"/>
                <w:szCs w:val="22"/>
                <w:lang w:eastAsia="es-MX"/>
              </w:rPr>
              <w:t>Servicios Generales</w:t>
            </w:r>
          </w:p>
        </w:tc>
        <w:tc>
          <w:tcPr>
            <w:tcW w:w="1417" w:type="dxa"/>
            <w:shd w:val="clear" w:color="auto" w:fill="F2F2F2"/>
            <w:noWrap/>
            <w:vAlign w:val="bottom"/>
            <w:hideMark/>
          </w:tcPr>
          <w:p w14:paraId="089AC6AA" w14:textId="77777777" w:rsidR="00D458F4" w:rsidRPr="00D458F4" w:rsidRDefault="00D458F4" w:rsidP="00CB3D10">
            <w:pPr>
              <w:spacing w:line="240" w:lineRule="exact"/>
              <w:jc w:val="right"/>
              <w:rPr>
                <w:rFonts w:ascii="Noto Sans" w:eastAsia="Times New Roman" w:hAnsi="Noto Sans" w:cs="Noto Sans"/>
                <w:color w:val="000000"/>
                <w:sz w:val="22"/>
                <w:szCs w:val="22"/>
                <w:lang w:eastAsia="es-MX"/>
              </w:rPr>
            </w:pPr>
            <w:r w:rsidRPr="00D458F4">
              <w:rPr>
                <w:rFonts w:ascii="Noto Sans" w:eastAsia="Times New Roman" w:hAnsi="Noto Sans" w:cs="Noto Sans"/>
                <w:color w:val="000000"/>
                <w:sz w:val="22"/>
                <w:szCs w:val="22"/>
                <w:lang w:eastAsia="es-MX"/>
              </w:rPr>
              <w:t>56,638,347</w:t>
            </w:r>
          </w:p>
        </w:tc>
        <w:tc>
          <w:tcPr>
            <w:tcW w:w="1417" w:type="dxa"/>
            <w:shd w:val="clear" w:color="auto" w:fill="F2F2F2"/>
            <w:vAlign w:val="bottom"/>
          </w:tcPr>
          <w:p w14:paraId="34C4255A" w14:textId="77777777" w:rsidR="00D458F4" w:rsidRPr="00D458F4" w:rsidRDefault="00D458F4" w:rsidP="00CB3D10">
            <w:pPr>
              <w:spacing w:line="240" w:lineRule="exact"/>
              <w:jc w:val="right"/>
              <w:rPr>
                <w:rFonts w:ascii="Noto Sans" w:eastAsia="Times New Roman" w:hAnsi="Noto Sans" w:cs="Noto Sans"/>
                <w:color w:val="000000"/>
                <w:sz w:val="22"/>
                <w:szCs w:val="22"/>
                <w:lang w:val="es-MX" w:eastAsia="es-MX"/>
              </w:rPr>
            </w:pPr>
            <w:r w:rsidRPr="00D458F4">
              <w:rPr>
                <w:rFonts w:ascii="Noto Sans" w:eastAsia="Times New Roman" w:hAnsi="Noto Sans" w:cs="Noto Sans"/>
                <w:color w:val="000000"/>
                <w:sz w:val="22"/>
                <w:szCs w:val="22"/>
                <w:lang w:eastAsia="es-MX"/>
              </w:rPr>
              <w:t>56,697,688</w:t>
            </w:r>
          </w:p>
        </w:tc>
      </w:tr>
      <w:tr w:rsidR="00D458F4" w:rsidRPr="00D458F4" w14:paraId="279E83EC" w14:textId="77777777" w:rsidTr="00CB3D10">
        <w:trPr>
          <w:trHeight w:val="170"/>
          <w:jc w:val="center"/>
        </w:trPr>
        <w:tc>
          <w:tcPr>
            <w:tcW w:w="3134" w:type="dxa"/>
            <w:tcBorders>
              <w:bottom w:val="single" w:sz="12" w:space="0" w:color="808080"/>
            </w:tcBorders>
            <w:shd w:val="clear" w:color="auto" w:fill="F2F2F2"/>
            <w:noWrap/>
            <w:vAlign w:val="bottom"/>
            <w:hideMark/>
          </w:tcPr>
          <w:p w14:paraId="30CF1239" w14:textId="77777777" w:rsidR="00D458F4" w:rsidRPr="00D458F4" w:rsidRDefault="00D458F4" w:rsidP="00CB3D10">
            <w:pPr>
              <w:spacing w:line="240" w:lineRule="exact"/>
              <w:rPr>
                <w:rFonts w:ascii="Noto Sans" w:eastAsia="Times New Roman" w:hAnsi="Noto Sans" w:cs="Noto Sans"/>
                <w:b/>
                <w:color w:val="000000"/>
                <w:sz w:val="22"/>
                <w:szCs w:val="22"/>
                <w:lang w:val="es-MX" w:eastAsia="es-MX"/>
              </w:rPr>
            </w:pPr>
            <w:r w:rsidRPr="00D458F4">
              <w:rPr>
                <w:rFonts w:ascii="Noto Sans" w:eastAsia="Times New Roman" w:hAnsi="Noto Sans" w:cs="Noto Sans"/>
                <w:b/>
                <w:color w:val="000000"/>
                <w:sz w:val="22"/>
                <w:szCs w:val="22"/>
                <w:lang w:eastAsia="es-MX"/>
              </w:rPr>
              <w:t>Total</w:t>
            </w:r>
          </w:p>
        </w:tc>
        <w:tc>
          <w:tcPr>
            <w:tcW w:w="1417" w:type="dxa"/>
            <w:tcBorders>
              <w:bottom w:val="single" w:sz="12" w:space="0" w:color="808080"/>
            </w:tcBorders>
            <w:shd w:val="clear" w:color="auto" w:fill="F2F2F2"/>
            <w:noWrap/>
            <w:vAlign w:val="bottom"/>
            <w:hideMark/>
          </w:tcPr>
          <w:p w14:paraId="12FAEF26" w14:textId="77777777" w:rsidR="00D458F4" w:rsidRPr="00D458F4" w:rsidRDefault="00D458F4" w:rsidP="00CB3D10">
            <w:pPr>
              <w:spacing w:line="240" w:lineRule="exact"/>
              <w:jc w:val="right"/>
              <w:rPr>
                <w:rFonts w:ascii="Noto Sans" w:eastAsia="Times New Roman" w:hAnsi="Noto Sans" w:cs="Noto Sans"/>
                <w:b/>
                <w:color w:val="000000"/>
                <w:sz w:val="22"/>
                <w:szCs w:val="22"/>
                <w:lang w:val="es-MX" w:eastAsia="es-MX"/>
              </w:rPr>
            </w:pPr>
            <w:r w:rsidRPr="00D458F4">
              <w:rPr>
                <w:rFonts w:ascii="Noto Sans" w:eastAsia="Times New Roman" w:hAnsi="Noto Sans" w:cs="Noto Sans"/>
                <w:b/>
                <w:color w:val="000000"/>
                <w:sz w:val="22"/>
                <w:szCs w:val="22"/>
                <w:lang w:eastAsia="es-MX"/>
              </w:rPr>
              <w:t>433,277,438</w:t>
            </w:r>
          </w:p>
        </w:tc>
        <w:tc>
          <w:tcPr>
            <w:tcW w:w="1417" w:type="dxa"/>
            <w:tcBorders>
              <w:bottom w:val="single" w:sz="12" w:space="0" w:color="808080"/>
            </w:tcBorders>
            <w:shd w:val="clear" w:color="auto" w:fill="F2F2F2"/>
            <w:vAlign w:val="bottom"/>
          </w:tcPr>
          <w:p w14:paraId="3FB5417F" w14:textId="77777777" w:rsidR="00D458F4" w:rsidRPr="00D458F4" w:rsidRDefault="00D458F4" w:rsidP="00CB3D10">
            <w:pPr>
              <w:spacing w:line="240" w:lineRule="exact"/>
              <w:jc w:val="right"/>
              <w:rPr>
                <w:rFonts w:ascii="Noto Sans" w:eastAsia="Times New Roman" w:hAnsi="Noto Sans" w:cs="Noto Sans"/>
                <w:b/>
                <w:color w:val="000000"/>
                <w:sz w:val="22"/>
                <w:szCs w:val="22"/>
                <w:lang w:val="es-MX" w:eastAsia="es-MX"/>
              </w:rPr>
            </w:pPr>
            <w:r w:rsidRPr="00D458F4">
              <w:rPr>
                <w:rFonts w:ascii="Noto Sans" w:eastAsia="Times New Roman" w:hAnsi="Noto Sans" w:cs="Noto Sans"/>
                <w:b/>
                <w:color w:val="000000"/>
                <w:sz w:val="22"/>
                <w:szCs w:val="22"/>
                <w:lang w:eastAsia="es-MX"/>
              </w:rPr>
              <w:t>419,760,536</w:t>
            </w:r>
          </w:p>
        </w:tc>
      </w:tr>
    </w:tbl>
    <w:p w14:paraId="0737C5F6" w14:textId="77777777" w:rsidR="00D458F4" w:rsidRPr="00D458F4" w:rsidRDefault="00D458F4" w:rsidP="00D458F4">
      <w:pPr>
        <w:jc w:val="both"/>
        <w:rPr>
          <w:rFonts w:ascii="Noto Sans" w:hAnsi="Noto Sans" w:cs="Noto Sans"/>
          <w:sz w:val="22"/>
          <w:szCs w:val="22"/>
        </w:rPr>
      </w:pPr>
    </w:p>
    <w:p w14:paraId="01B21DF3" w14:textId="77777777" w:rsidR="00D458F4" w:rsidRPr="00D458F4" w:rsidRDefault="00D458F4" w:rsidP="00D458F4">
      <w:pPr>
        <w:jc w:val="both"/>
        <w:rPr>
          <w:rFonts w:ascii="Noto Sans" w:hAnsi="Noto Sans" w:cs="Noto Sans"/>
          <w:sz w:val="22"/>
          <w:szCs w:val="22"/>
        </w:rPr>
      </w:pPr>
      <w:r w:rsidRPr="00D458F4">
        <w:rPr>
          <w:rFonts w:ascii="Noto Sans" w:hAnsi="Noto Sans" w:cs="Noto Sans"/>
          <w:sz w:val="22"/>
          <w:szCs w:val="22"/>
        </w:rPr>
        <w:t xml:space="preserve">•Los gastos por servicios personales corresponden a todas las erogaciones por concepto de percepciones de la nómina pagada al personal adscrito a ECOSUR, así como las erogaciones realizadas por seguridad social. </w:t>
      </w:r>
    </w:p>
    <w:p w14:paraId="2933B3DE" w14:textId="77777777" w:rsidR="00D458F4" w:rsidRPr="00D458F4" w:rsidRDefault="00D458F4" w:rsidP="00D458F4">
      <w:pPr>
        <w:jc w:val="both"/>
        <w:rPr>
          <w:rFonts w:ascii="Noto Sans" w:hAnsi="Noto Sans" w:cs="Noto Sans"/>
          <w:sz w:val="22"/>
          <w:szCs w:val="22"/>
        </w:rPr>
      </w:pPr>
    </w:p>
    <w:p w14:paraId="3F881528" w14:textId="77777777" w:rsidR="00D458F4" w:rsidRPr="00D458F4" w:rsidRDefault="00D458F4" w:rsidP="00D458F4">
      <w:pPr>
        <w:jc w:val="both"/>
        <w:rPr>
          <w:rFonts w:ascii="Noto Sans" w:hAnsi="Noto Sans" w:cs="Noto Sans"/>
          <w:sz w:val="22"/>
          <w:szCs w:val="22"/>
        </w:rPr>
      </w:pPr>
      <w:r w:rsidRPr="00D458F4">
        <w:rPr>
          <w:rFonts w:ascii="Noto Sans" w:hAnsi="Noto Sans" w:cs="Noto Sans"/>
          <w:sz w:val="22"/>
          <w:szCs w:val="22"/>
        </w:rPr>
        <w:t>•En Materiales y Suministros, la adquisición de diversos suministros del área académica y administrativa, como lo son: combustibles, lubricantes y aditivos, productos químicos, farmacéuticos y de laboratorio, los cuales fueron destinados para los diversos proyectos de investigación derivado de los convenios o contratos con diversas instituciones de colaboración nacionales y extranjeras.</w:t>
      </w:r>
    </w:p>
    <w:p w14:paraId="62A07147" w14:textId="77777777" w:rsidR="00D458F4" w:rsidRPr="00D458F4" w:rsidRDefault="00D458F4" w:rsidP="00D458F4">
      <w:pPr>
        <w:jc w:val="both"/>
        <w:rPr>
          <w:rFonts w:ascii="Noto Sans" w:hAnsi="Noto Sans" w:cs="Noto Sans"/>
          <w:sz w:val="22"/>
          <w:szCs w:val="22"/>
        </w:rPr>
      </w:pPr>
    </w:p>
    <w:p w14:paraId="40269127" w14:textId="77777777" w:rsidR="00D458F4" w:rsidRPr="00D458F4" w:rsidRDefault="00D458F4" w:rsidP="00D458F4">
      <w:pPr>
        <w:jc w:val="both"/>
        <w:rPr>
          <w:rFonts w:ascii="Noto Sans" w:hAnsi="Noto Sans" w:cs="Noto Sans"/>
          <w:sz w:val="22"/>
          <w:szCs w:val="22"/>
        </w:rPr>
      </w:pPr>
      <w:r w:rsidRPr="00D458F4">
        <w:rPr>
          <w:rFonts w:ascii="Noto Sans" w:hAnsi="Noto Sans" w:cs="Noto Sans"/>
          <w:sz w:val="22"/>
          <w:szCs w:val="22"/>
        </w:rPr>
        <w:t xml:space="preserve">•En Servicios Generales la contratación de servicios básicos como, energía eléctrica, enlaces, mantenimiento y conservación, así como viáticos nacionales para labores en campo y de supervisión, asociados a los proyectos de investigación, así como de comisiones y funciones oficiales, entre otros. </w:t>
      </w:r>
    </w:p>
    <w:p w14:paraId="229B4F46" w14:textId="77777777" w:rsidR="00D458F4" w:rsidRPr="00D458F4" w:rsidRDefault="00D458F4" w:rsidP="00D458F4">
      <w:pPr>
        <w:jc w:val="both"/>
        <w:rPr>
          <w:rFonts w:ascii="Noto Sans" w:hAnsi="Noto Sans" w:cs="Noto Sans"/>
          <w:sz w:val="22"/>
          <w:szCs w:val="22"/>
        </w:rPr>
      </w:pPr>
    </w:p>
    <w:p w14:paraId="3B3CFC8F" w14:textId="77777777" w:rsidR="00D458F4" w:rsidRPr="00D458F4" w:rsidRDefault="00D458F4" w:rsidP="00D458F4">
      <w:pPr>
        <w:jc w:val="both"/>
        <w:rPr>
          <w:rFonts w:ascii="Noto Sans" w:hAnsi="Noto Sans" w:cs="Noto Sans"/>
          <w:sz w:val="22"/>
          <w:szCs w:val="22"/>
        </w:rPr>
      </w:pPr>
    </w:p>
    <w:p w14:paraId="2DB1C268" w14:textId="77777777" w:rsidR="00D458F4" w:rsidRPr="00D458F4" w:rsidRDefault="00D458F4" w:rsidP="00D458F4">
      <w:pPr>
        <w:jc w:val="both"/>
        <w:rPr>
          <w:rFonts w:ascii="Noto Sans" w:hAnsi="Noto Sans" w:cs="Noto Sans"/>
          <w:sz w:val="22"/>
          <w:szCs w:val="22"/>
        </w:rPr>
      </w:pPr>
      <w:r w:rsidRPr="00D458F4">
        <w:rPr>
          <w:rFonts w:ascii="Noto Sans" w:hAnsi="Noto Sans" w:cs="Noto Sans"/>
          <w:sz w:val="22"/>
          <w:szCs w:val="22"/>
        </w:rPr>
        <w:t>Otros Gastos y Pérdidas Extraordinarias. El saldo se refiere al reconocimiento del deterioro y desgaste de los bienes inmuebles y muebles, así como otros gastos extraordinarios.</w:t>
      </w:r>
    </w:p>
    <w:p w14:paraId="177BDC10" w14:textId="77777777" w:rsidR="00D458F4" w:rsidRPr="00D458F4" w:rsidRDefault="00D458F4" w:rsidP="00D458F4">
      <w:pPr>
        <w:jc w:val="both"/>
        <w:rPr>
          <w:rFonts w:ascii="Noto Sans" w:hAnsi="Noto Sans" w:cs="Noto Sans"/>
          <w:sz w:val="22"/>
          <w:szCs w:val="22"/>
        </w:rPr>
      </w:pPr>
    </w:p>
    <w:tbl>
      <w:tblPr>
        <w:tblW w:w="6587" w:type="dxa"/>
        <w:jc w:val="center"/>
        <w:tblCellMar>
          <w:left w:w="70" w:type="dxa"/>
          <w:right w:w="70" w:type="dxa"/>
        </w:tblCellMar>
        <w:tblLook w:val="04A0" w:firstRow="1" w:lastRow="0" w:firstColumn="1" w:lastColumn="0" w:noHBand="0" w:noVBand="1"/>
      </w:tblPr>
      <w:tblGrid>
        <w:gridCol w:w="3445"/>
        <w:gridCol w:w="1571"/>
        <w:gridCol w:w="1571"/>
      </w:tblGrid>
      <w:tr w:rsidR="00D458F4" w:rsidRPr="00D458F4" w14:paraId="6324BCB7" w14:textId="77777777" w:rsidTr="00CB3D10">
        <w:trPr>
          <w:trHeight w:val="322"/>
          <w:tblHeader/>
          <w:jc w:val="center"/>
        </w:trPr>
        <w:tc>
          <w:tcPr>
            <w:tcW w:w="3445" w:type="dxa"/>
            <w:tcBorders>
              <w:top w:val="single" w:sz="12" w:space="0" w:color="808080"/>
              <w:bottom w:val="double" w:sz="12" w:space="0" w:color="808080"/>
            </w:tcBorders>
            <w:shd w:val="clear" w:color="auto" w:fill="D4C19C"/>
            <w:noWrap/>
            <w:vAlign w:val="bottom"/>
            <w:hideMark/>
          </w:tcPr>
          <w:p w14:paraId="05B601D8" w14:textId="77777777" w:rsidR="00D458F4" w:rsidRPr="00D458F4" w:rsidRDefault="00D458F4" w:rsidP="00CB3D10">
            <w:pPr>
              <w:jc w:val="center"/>
              <w:rPr>
                <w:rFonts w:ascii="Noto Sans" w:eastAsia="Times New Roman" w:hAnsi="Noto Sans" w:cs="Noto Sans"/>
                <w:b/>
                <w:bCs/>
                <w:color w:val="FFFFFF"/>
                <w:sz w:val="22"/>
                <w:szCs w:val="22"/>
                <w:lang w:val="es-MX" w:eastAsia="es-MX"/>
              </w:rPr>
            </w:pPr>
            <w:r w:rsidRPr="00D458F4">
              <w:rPr>
                <w:rFonts w:ascii="Noto Sans" w:eastAsia="Times New Roman" w:hAnsi="Noto Sans" w:cs="Noto Sans"/>
                <w:b/>
                <w:bCs/>
                <w:color w:val="FFFFFF"/>
                <w:sz w:val="22"/>
                <w:szCs w:val="22"/>
                <w:lang w:eastAsia="es-MX"/>
              </w:rPr>
              <w:t xml:space="preserve">CONCEPTO </w:t>
            </w:r>
          </w:p>
        </w:tc>
        <w:tc>
          <w:tcPr>
            <w:tcW w:w="1571" w:type="dxa"/>
            <w:tcBorders>
              <w:top w:val="single" w:sz="12" w:space="0" w:color="808080"/>
              <w:bottom w:val="double" w:sz="12" w:space="0" w:color="808080"/>
            </w:tcBorders>
            <w:shd w:val="clear" w:color="auto" w:fill="D4C19C"/>
            <w:noWrap/>
            <w:vAlign w:val="bottom"/>
            <w:hideMark/>
          </w:tcPr>
          <w:p w14:paraId="32717F81" w14:textId="77777777" w:rsidR="00D458F4" w:rsidRPr="00D458F4" w:rsidRDefault="00D458F4" w:rsidP="00CB3D10">
            <w:pPr>
              <w:jc w:val="center"/>
              <w:rPr>
                <w:rFonts w:ascii="Noto Sans" w:eastAsia="Times New Roman" w:hAnsi="Noto Sans" w:cs="Noto Sans"/>
                <w:b/>
                <w:bCs/>
                <w:color w:val="FFFFFF"/>
                <w:sz w:val="22"/>
                <w:szCs w:val="22"/>
                <w:lang w:val="es-MX" w:eastAsia="es-MX"/>
              </w:rPr>
            </w:pPr>
            <w:r w:rsidRPr="00D458F4">
              <w:rPr>
                <w:rFonts w:ascii="Noto Sans" w:eastAsia="Times New Roman" w:hAnsi="Noto Sans" w:cs="Noto Sans"/>
                <w:b/>
                <w:bCs/>
                <w:color w:val="FFFFFF"/>
                <w:sz w:val="22"/>
                <w:szCs w:val="22"/>
                <w:lang w:eastAsia="es-MX"/>
              </w:rPr>
              <w:t>2024</w:t>
            </w:r>
          </w:p>
        </w:tc>
        <w:tc>
          <w:tcPr>
            <w:tcW w:w="1571" w:type="dxa"/>
            <w:tcBorders>
              <w:top w:val="single" w:sz="12" w:space="0" w:color="808080"/>
              <w:bottom w:val="double" w:sz="12" w:space="0" w:color="808080"/>
            </w:tcBorders>
            <w:shd w:val="clear" w:color="auto" w:fill="D4C19C"/>
            <w:vAlign w:val="bottom"/>
          </w:tcPr>
          <w:p w14:paraId="47354F01" w14:textId="77777777" w:rsidR="00D458F4" w:rsidRPr="00D458F4" w:rsidRDefault="00D458F4" w:rsidP="00CB3D10">
            <w:pPr>
              <w:jc w:val="center"/>
              <w:rPr>
                <w:rFonts w:ascii="Noto Sans" w:eastAsia="Times New Roman" w:hAnsi="Noto Sans" w:cs="Noto Sans"/>
                <w:b/>
                <w:bCs/>
                <w:color w:val="FFFFFF"/>
                <w:sz w:val="22"/>
                <w:szCs w:val="22"/>
                <w:lang w:eastAsia="es-MX"/>
              </w:rPr>
            </w:pPr>
            <w:r w:rsidRPr="00D458F4">
              <w:rPr>
                <w:rFonts w:ascii="Noto Sans" w:eastAsia="Times New Roman" w:hAnsi="Noto Sans" w:cs="Noto Sans"/>
                <w:b/>
                <w:bCs/>
                <w:color w:val="FFFFFF"/>
                <w:sz w:val="22"/>
                <w:szCs w:val="22"/>
                <w:lang w:eastAsia="es-MX"/>
              </w:rPr>
              <w:t>2023</w:t>
            </w:r>
          </w:p>
        </w:tc>
      </w:tr>
      <w:tr w:rsidR="00D458F4" w:rsidRPr="00D458F4" w14:paraId="7FAF6003" w14:textId="77777777" w:rsidTr="00CB3D10">
        <w:trPr>
          <w:trHeight w:val="170"/>
          <w:jc w:val="center"/>
        </w:trPr>
        <w:tc>
          <w:tcPr>
            <w:tcW w:w="3445" w:type="dxa"/>
            <w:tcBorders>
              <w:top w:val="double" w:sz="12" w:space="0" w:color="808080"/>
            </w:tcBorders>
            <w:shd w:val="clear" w:color="auto" w:fill="F2F2F2"/>
            <w:noWrap/>
            <w:vAlign w:val="bottom"/>
            <w:hideMark/>
          </w:tcPr>
          <w:p w14:paraId="1368B324" w14:textId="77777777" w:rsidR="00D458F4" w:rsidRPr="00D458F4" w:rsidRDefault="00D458F4" w:rsidP="00CB3D10">
            <w:pPr>
              <w:rPr>
                <w:rFonts w:ascii="Noto Sans" w:eastAsia="Times New Roman" w:hAnsi="Noto Sans" w:cs="Noto Sans"/>
                <w:color w:val="000000"/>
                <w:sz w:val="22"/>
                <w:szCs w:val="22"/>
                <w:lang w:val="es-MX" w:eastAsia="es-MX"/>
              </w:rPr>
            </w:pPr>
            <w:r w:rsidRPr="00D458F4">
              <w:rPr>
                <w:rFonts w:ascii="Noto Sans" w:eastAsia="Times New Roman" w:hAnsi="Noto Sans" w:cs="Noto Sans"/>
                <w:color w:val="000000"/>
                <w:sz w:val="22"/>
                <w:szCs w:val="22"/>
                <w:lang w:eastAsia="es-MX"/>
              </w:rPr>
              <w:t xml:space="preserve">Estimaciones, Depreciaciones, Deterioros, Obsolescencias y amortizaciones  </w:t>
            </w:r>
          </w:p>
        </w:tc>
        <w:tc>
          <w:tcPr>
            <w:tcW w:w="1571" w:type="dxa"/>
            <w:tcBorders>
              <w:top w:val="double" w:sz="12" w:space="0" w:color="808080"/>
            </w:tcBorders>
            <w:shd w:val="clear" w:color="auto" w:fill="F2F2F2"/>
            <w:noWrap/>
            <w:vAlign w:val="bottom"/>
            <w:hideMark/>
          </w:tcPr>
          <w:p w14:paraId="32AD2CD1" w14:textId="77777777" w:rsidR="00D458F4" w:rsidRPr="00D458F4" w:rsidRDefault="00D458F4" w:rsidP="00CB3D10">
            <w:pPr>
              <w:spacing w:line="240" w:lineRule="exact"/>
              <w:jc w:val="right"/>
              <w:rPr>
                <w:rFonts w:ascii="Noto Sans" w:eastAsia="Times New Roman" w:hAnsi="Noto Sans" w:cs="Noto Sans"/>
                <w:color w:val="000000"/>
                <w:sz w:val="22"/>
                <w:szCs w:val="22"/>
                <w:lang w:val="es-MX" w:eastAsia="es-MX"/>
              </w:rPr>
            </w:pPr>
            <w:r w:rsidRPr="00D458F4">
              <w:rPr>
                <w:rFonts w:ascii="Noto Sans" w:eastAsia="Times New Roman" w:hAnsi="Noto Sans" w:cs="Noto Sans"/>
                <w:color w:val="000000"/>
                <w:sz w:val="22"/>
                <w:szCs w:val="22"/>
                <w:lang w:eastAsia="es-MX"/>
              </w:rPr>
              <w:t>11,001,183</w:t>
            </w:r>
          </w:p>
        </w:tc>
        <w:tc>
          <w:tcPr>
            <w:tcW w:w="1571" w:type="dxa"/>
            <w:tcBorders>
              <w:top w:val="double" w:sz="12" w:space="0" w:color="808080"/>
            </w:tcBorders>
            <w:shd w:val="clear" w:color="auto" w:fill="F2F2F2"/>
            <w:vAlign w:val="bottom"/>
          </w:tcPr>
          <w:p w14:paraId="389D255E" w14:textId="77777777" w:rsidR="00D458F4" w:rsidRPr="00D458F4" w:rsidRDefault="00D458F4" w:rsidP="00CB3D10">
            <w:pPr>
              <w:spacing w:line="240" w:lineRule="exact"/>
              <w:jc w:val="right"/>
              <w:rPr>
                <w:rFonts w:ascii="Noto Sans" w:eastAsia="Times New Roman" w:hAnsi="Noto Sans" w:cs="Noto Sans"/>
                <w:color w:val="000000"/>
                <w:sz w:val="22"/>
                <w:szCs w:val="22"/>
                <w:lang w:val="es-MX" w:eastAsia="es-MX"/>
              </w:rPr>
            </w:pPr>
            <w:r w:rsidRPr="00D458F4">
              <w:rPr>
                <w:rFonts w:ascii="Noto Sans" w:eastAsia="Times New Roman" w:hAnsi="Noto Sans" w:cs="Noto Sans"/>
                <w:color w:val="000000"/>
                <w:sz w:val="22"/>
                <w:szCs w:val="22"/>
                <w:lang w:eastAsia="es-MX"/>
              </w:rPr>
              <w:t>12,299,779</w:t>
            </w:r>
          </w:p>
        </w:tc>
      </w:tr>
      <w:tr w:rsidR="00D458F4" w:rsidRPr="00D458F4" w14:paraId="5CC3C257" w14:textId="77777777" w:rsidTr="00CB3D10">
        <w:trPr>
          <w:trHeight w:val="170"/>
          <w:jc w:val="center"/>
        </w:trPr>
        <w:tc>
          <w:tcPr>
            <w:tcW w:w="3445" w:type="dxa"/>
            <w:tcBorders>
              <w:bottom w:val="single" w:sz="12" w:space="0" w:color="808080"/>
            </w:tcBorders>
            <w:shd w:val="clear" w:color="auto" w:fill="F2F2F2"/>
            <w:noWrap/>
            <w:vAlign w:val="bottom"/>
            <w:hideMark/>
          </w:tcPr>
          <w:p w14:paraId="06033D44" w14:textId="77777777" w:rsidR="00D458F4" w:rsidRPr="00D458F4" w:rsidRDefault="00D458F4" w:rsidP="00CB3D10">
            <w:pPr>
              <w:rPr>
                <w:rFonts w:ascii="Noto Sans" w:eastAsia="Times New Roman" w:hAnsi="Noto Sans" w:cs="Noto Sans"/>
                <w:b/>
                <w:color w:val="000000"/>
                <w:sz w:val="22"/>
                <w:szCs w:val="22"/>
                <w:lang w:val="es-MX" w:eastAsia="es-MX"/>
              </w:rPr>
            </w:pPr>
            <w:r w:rsidRPr="00D458F4">
              <w:rPr>
                <w:rFonts w:ascii="Noto Sans" w:eastAsia="Times New Roman" w:hAnsi="Noto Sans" w:cs="Noto Sans"/>
                <w:b/>
                <w:color w:val="000000"/>
                <w:sz w:val="22"/>
                <w:szCs w:val="22"/>
                <w:lang w:eastAsia="es-MX"/>
              </w:rPr>
              <w:t xml:space="preserve">Total </w:t>
            </w:r>
          </w:p>
        </w:tc>
        <w:tc>
          <w:tcPr>
            <w:tcW w:w="1571" w:type="dxa"/>
            <w:tcBorders>
              <w:bottom w:val="single" w:sz="12" w:space="0" w:color="808080"/>
            </w:tcBorders>
            <w:shd w:val="clear" w:color="auto" w:fill="F2F2F2"/>
            <w:noWrap/>
            <w:vAlign w:val="bottom"/>
            <w:hideMark/>
          </w:tcPr>
          <w:p w14:paraId="45521C04" w14:textId="77777777" w:rsidR="00D458F4" w:rsidRPr="00D458F4" w:rsidRDefault="00D458F4" w:rsidP="00CB3D10">
            <w:pPr>
              <w:spacing w:line="240" w:lineRule="exact"/>
              <w:jc w:val="right"/>
              <w:rPr>
                <w:rFonts w:ascii="Noto Sans" w:eastAsia="Times New Roman" w:hAnsi="Noto Sans" w:cs="Noto Sans"/>
                <w:b/>
                <w:color w:val="000000"/>
                <w:sz w:val="22"/>
                <w:szCs w:val="22"/>
                <w:lang w:val="es-MX" w:eastAsia="es-MX"/>
              </w:rPr>
            </w:pPr>
            <w:r w:rsidRPr="00D458F4">
              <w:rPr>
                <w:rFonts w:ascii="Noto Sans" w:eastAsia="Times New Roman" w:hAnsi="Noto Sans" w:cs="Noto Sans"/>
                <w:b/>
                <w:color w:val="000000"/>
                <w:sz w:val="22"/>
                <w:szCs w:val="22"/>
                <w:lang w:eastAsia="es-MX"/>
              </w:rPr>
              <w:t>11,001,183</w:t>
            </w:r>
          </w:p>
        </w:tc>
        <w:tc>
          <w:tcPr>
            <w:tcW w:w="1571" w:type="dxa"/>
            <w:tcBorders>
              <w:bottom w:val="single" w:sz="12" w:space="0" w:color="808080"/>
            </w:tcBorders>
            <w:shd w:val="clear" w:color="auto" w:fill="F2F2F2"/>
            <w:vAlign w:val="bottom"/>
          </w:tcPr>
          <w:p w14:paraId="7A0995C6" w14:textId="77777777" w:rsidR="00D458F4" w:rsidRPr="00D458F4" w:rsidRDefault="00D458F4" w:rsidP="00CB3D10">
            <w:pPr>
              <w:spacing w:line="240" w:lineRule="exact"/>
              <w:jc w:val="right"/>
              <w:rPr>
                <w:rFonts w:ascii="Noto Sans" w:eastAsia="Times New Roman" w:hAnsi="Noto Sans" w:cs="Noto Sans"/>
                <w:b/>
                <w:color w:val="000000"/>
                <w:sz w:val="22"/>
                <w:szCs w:val="22"/>
                <w:lang w:val="es-MX" w:eastAsia="es-MX"/>
              </w:rPr>
            </w:pPr>
            <w:r w:rsidRPr="00D458F4">
              <w:rPr>
                <w:rFonts w:ascii="Noto Sans" w:eastAsia="Times New Roman" w:hAnsi="Noto Sans" w:cs="Noto Sans"/>
                <w:b/>
                <w:color w:val="000000"/>
                <w:sz w:val="22"/>
                <w:szCs w:val="22"/>
                <w:lang w:eastAsia="es-MX"/>
              </w:rPr>
              <w:t>12,299,779</w:t>
            </w:r>
          </w:p>
        </w:tc>
      </w:tr>
    </w:tbl>
    <w:p w14:paraId="5D0375B8" w14:textId="77777777" w:rsidR="00D458F4" w:rsidRPr="00D458F4" w:rsidRDefault="00D458F4" w:rsidP="00D458F4">
      <w:pPr>
        <w:jc w:val="both"/>
        <w:rPr>
          <w:rFonts w:ascii="Noto Sans" w:hAnsi="Noto Sans" w:cs="Noto Sans"/>
          <w:sz w:val="22"/>
          <w:szCs w:val="22"/>
        </w:rPr>
      </w:pPr>
    </w:p>
    <w:p w14:paraId="68C8062F" w14:textId="77777777" w:rsidR="00D458F4" w:rsidRPr="00D458F4" w:rsidRDefault="00D458F4" w:rsidP="00D458F4">
      <w:pPr>
        <w:jc w:val="both"/>
        <w:rPr>
          <w:rFonts w:ascii="Noto Sans" w:hAnsi="Noto Sans" w:cs="Noto Sans"/>
          <w:sz w:val="22"/>
          <w:szCs w:val="22"/>
        </w:rPr>
      </w:pPr>
      <w:r w:rsidRPr="00D458F4">
        <w:rPr>
          <w:rFonts w:ascii="Noto Sans" w:hAnsi="Noto Sans" w:cs="Noto Sans"/>
          <w:sz w:val="22"/>
          <w:szCs w:val="22"/>
        </w:rPr>
        <w:lastRenderedPageBreak/>
        <w:t xml:space="preserve">Al cierre del ejercicio se tiene un desahorro de $8,311,787, el cual se integra de la siguiente manera, depreciación anual por la cantidad de $10,474,369, amortización acumulada de bienes por $228,601, y un sobre ejercicio de proyectos multianuales por la cantidad de $2,689,396, este último monto se determinó del desahorro generado por los ingresos del año menos los gastos que comprenden del capítulo 1000, 2000, 3000 y 4000, además del reconocimiento de la estimación por inventario obsoleto por la cantidad de $298,212.  </w:t>
      </w:r>
    </w:p>
    <w:p w14:paraId="5CA219F4" w14:textId="77777777" w:rsidR="00D458F4" w:rsidRPr="00D458F4" w:rsidRDefault="00D458F4" w:rsidP="00D458F4">
      <w:pPr>
        <w:jc w:val="both"/>
        <w:rPr>
          <w:rFonts w:ascii="Noto Sans" w:hAnsi="Noto Sans" w:cs="Noto Sans"/>
          <w:sz w:val="22"/>
          <w:szCs w:val="22"/>
        </w:rPr>
      </w:pPr>
    </w:p>
    <w:p w14:paraId="51CAA086" w14:textId="77777777" w:rsidR="00D458F4" w:rsidRPr="00D458F4" w:rsidRDefault="00D458F4" w:rsidP="00D458F4">
      <w:pPr>
        <w:jc w:val="both"/>
        <w:rPr>
          <w:rFonts w:ascii="Noto Sans" w:hAnsi="Noto Sans" w:cs="Noto Sans"/>
          <w:sz w:val="22"/>
          <w:szCs w:val="22"/>
        </w:rPr>
      </w:pPr>
      <w:r w:rsidRPr="00D458F4">
        <w:rPr>
          <w:rFonts w:ascii="Noto Sans" w:hAnsi="Noto Sans" w:cs="Noto Sans"/>
          <w:sz w:val="22"/>
          <w:szCs w:val="22"/>
        </w:rPr>
        <w:t xml:space="preserve">Modificaciones al patrimonio contribuido, representa el aumento de las aportaciones, que se reciben de las fuentes de financiamiento con el fin de proveer activos necesarios para el ejercicio de los proyectos. A partir del 1 de enero de 2008 se suspendió el reconocimiento de los efectos de la inflación en los estados financieros; sin embargo, los activos, pasivos y patrimonio incluyen los efectos de </w:t>
      </w:r>
      <w:proofErr w:type="spellStart"/>
      <w:r w:rsidRPr="00D458F4">
        <w:rPr>
          <w:rFonts w:ascii="Noto Sans" w:hAnsi="Noto Sans" w:cs="Noto Sans"/>
          <w:sz w:val="22"/>
          <w:szCs w:val="22"/>
        </w:rPr>
        <w:t>re-expresión</w:t>
      </w:r>
      <w:proofErr w:type="spellEnd"/>
      <w:r w:rsidRPr="00D458F4">
        <w:rPr>
          <w:rFonts w:ascii="Noto Sans" w:hAnsi="Noto Sans" w:cs="Noto Sans"/>
          <w:sz w:val="22"/>
          <w:szCs w:val="22"/>
        </w:rPr>
        <w:t xml:space="preserve"> reconocidos hasta el 31 de diciembre de 2007. Las modificaciones al patrimonio generado al 31 de diciembre 2024 son de -$57,875,439 pesos, la cual tuvo variaciones de -$8,311,787 pesos, quedando un saldo neto al cierre del presente ejercicio de -$66,187,226 pesos.</w:t>
      </w:r>
    </w:p>
    <w:p w14:paraId="32936107" w14:textId="2116EFE9" w:rsidR="00DC7AC7" w:rsidRPr="00D458F4" w:rsidRDefault="00DC7AC7" w:rsidP="004318DD">
      <w:pPr>
        <w:rPr>
          <w:sz w:val="22"/>
          <w:szCs w:val="22"/>
        </w:rPr>
      </w:pPr>
    </w:p>
    <w:sectPr w:rsidR="00DC7AC7" w:rsidRPr="00D458F4" w:rsidSect="009E1D1D">
      <w:headerReference w:type="even" r:id="rId7"/>
      <w:headerReference w:type="default" r:id="rId8"/>
      <w:footerReference w:type="even" r:id="rId9"/>
      <w:footerReference w:type="default" r:id="rId10"/>
      <w:headerReference w:type="first" r:id="rId11"/>
      <w:footerReference w:type="first" r:id="rId12"/>
      <w:pgSz w:w="12240" w:h="15840"/>
      <w:pgMar w:top="2342"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8B920" w14:textId="77777777" w:rsidR="001C017A" w:rsidRDefault="001C017A" w:rsidP="00A73D65">
      <w:r>
        <w:separator/>
      </w:r>
    </w:p>
  </w:endnote>
  <w:endnote w:type="continuationSeparator" w:id="0">
    <w:p w14:paraId="502B587F" w14:textId="77777777" w:rsidR="001C017A" w:rsidRDefault="001C017A" w:rsidP="00A73D65">
      <w:r>
        <w:continuationSeparator/>
      </w:r>
    </w:p>
  </w:endnote>
  <w:endnote w:type="continuationNotice" w:id="1">
    <w:p w14:paraId="4E017CE7" w14:textId="77777777" w:rsidR="001C017A" w:rsidRDefault="001C01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Noto Sans">
    <w:charset w:val="00"/>
    <w:family w:val="swiss"/>
    <w:pitch w:val="variable"/>
    <w:sig w:usb0="E00082FF" w:usb1="400078FF" w:usb2="00000021" w:usb3="00000000" w:csb0="0000019F" w:csb1="00000000"/>
  </w:font>
  <w:font w:name="Geomanist Medium">
    <w:altName w:val="Calibri"/>
    <w:panose1 w:val="00000000000000000000"/>
    <w:charset w:val="4D"/>
    <w:family w:val="auto"/>
    <w:notTrueType/>
    <w:pitch w:val="variable"/>
    <w:sig w:usb0="A000002F" w:usb1="1000004A" w:usb2="00000000" w:usb3="00000000" w:csb0="00000193" w:csb1="00000000"/>
  </w:font>
  <w:font w:name="Noto Sans Medium">
    <w:altName w:val="Calibri"/>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08361" w14:textId="5688B21B" w:rsidR="00FD1854" w:rsidRDefault="00BF379D">
    <w:pPr>
      <w:pStyle w:val="Piedepgina"/>
    </w:pPr>
    <w:r>
      <w:rPr>
        <w:noProof/>
      </w:rPr>
      <mc:AlternateContent>
        <mc:Choice Requires="wps">
          <w:drawing>
            <wp:anchor distT="0" distB="0" distL="114300" distR="114300" simplePos="0" relativeHeight="251658243" behindDoc="0" locked="0" layoutInCell="1" allowOverlap="1" wp14:anchorId="66609D6A" wp14:editId="2C21571A">
              <wp:simplePos x="0" y="0"/>
              <wp:positionH relativeFrom="column">
                <wp:posOffset>1165631</wp:posOffset>
              </wp:positionH>
              <wp:positionV relativeFrom="paragraph">
                <wp:posOffset>-439699</wp:posOffset>
              </wp:positionV>
              <wp:extent cx="5246558" cy="402336"/>
              <wp:effectExtent l="0" t="0" r="0" b="0"/>
              <wp:wrapNone/>
              <wp:docPr id="727452448" name="Cuadro de texto 3"/>
              <wp:cNvGraphicFramePr/>
              <a:graphic xmlns:a="http://schemas.openxmlformats.org/drawingml/2006/main">
                <a:graphicData uri="http://schemas.microsoft.com/office/word/2010/wordprocessingShape">
                  <wps:wsp>
                    <wps:cNvSpPr txBox="1"/>
                    <wps:spPr>
                      <a:xfrm>
                        <a:off x="0" y="0"/>
                        <a:ext cx="5246558" cy="402336"/>
                      </a:xfrm>
                      <a:prstGeom prst="rect">
                        <a:avLst/>
                      </a:prstGeom>
                      <a:noFill/>
                      <a:ln w="6350">
                        <a:noFill/>
                      </a:ln>
                    </wps:spPr>
                    <wps:txbx>
                      <w:txbxContent>
                        <w:p w14:paraId="63B5B458" w14:textId="77777777" w:rsidR="00567A0F" w:rsidRDefault="00567A0F" w:rsidP="00567A0F">
                          <w:pPr>
                            <w:rPr>
                              <w:rFonts w:ascii="Noto Sans" w:hAnsi="Noto Sans" w:cs="Noto Sans"/>
                              <w:color w:val="4D182A"/>
                              <w:sz w:val="13"/>
                              <w:szCs w:val="13"/>
                            </w:rPr>
                          </w:pPr>
                          <w:proofErr w:type="spellStart"/>
                          <w:r>
                            <w:rPr>
                              <w:rFonts w:ascii="Noto Sans" w:hAnsi="Noto Sans" w:cs="Noto Sans"/>
                              <w:color w:val="4D182A"/>
                              <w:sz w:val="13"/>
                              <w:szCs w:val="13"/>
                            </w:rPr>
                            <w:t>Carr</w:t>
                          </w:r>
                          <w:proofErr w:type="spellEnd"/>
                          <w:r>
                            <w:rPr>
                              <w:rFonts w:ascii="Noto Sans" w:hAnsi="Noto Sans" w:cs="Noto Sans"/>
                              <w:color w:val="4D182A"/>
                              <w:sz w:val="13"/>
                              <w:szCs w:val="13"/>
                            </w:rPr>
                            <w:t>. Panamericana y Periférico Sur s/n</w:t>
                          </w:r>
                          <w:r w:rsidRPr="00312C54">
                            <w:rPr>
                              <w:rFonts w:ascii="Noto Sans" w:hAnsi="Noto Sans" w:cs="Noto Sans"/>
                              <w:color w:val="4D182A"/>
                              <w:sz w:val="13"/>
                              <w:szCs w:val="13"/>
                            </w:rPr>
                            <w:t xml:space="preserve">, CP. </w:t>
                          </w:r>
                          <w:r>
                            <w:rPr>
                              <w:rFonts w:ascii="Noto Sans" w:hAnsi="Noto Sans" w:cs="Noto Sans"/>
                              <w:color w:val="4D182A"/>
                              <w:sz w:val="13"/>
                              <w:szCs w:val="13"/>
                            </w:rPr>
                            <w:t>29290</w:t>
                          </w:r>
                          <w:r w:rsidRPr="00312C54">
                            <w:rPr>
                              <w:rFonts w:ascii="Noto Sans" w:hAnsi="Noto Sans" w:cs="Noto Sans"/>
                              <w:color w:val="4D182A"/>
                              <w:sz w:val="13"/>
                              <w:szCs w:val="13"/>
                            </w:rPr>
                            <w:t xml:space="preserve">, </w:t>
                          </w:r>
                          <w:r>
                            <w:rPr>
                              <w:rFonts w:ascii="Noto Sans" w:hAnsi="Noto Sans" w:cs="Noto Sans"/>
                              <w:color w:val="4D182A"/>
                              <w:sz w:val="13"/>
                              <w:szCs w:val="13"/>
                            </w:rPr>
                            <w:t>San Cristóbal de Las Casas, Chiapas</w:t>
                          </w:r>
                          <w:r w:rsidRPr="00312C54">
                            <w:rPr>
                              <w:rFonts w:ascii="Noto Sans" w:hAnsi="Noto Sans" w:cs="Noto Sans"/>
                              <w:color w:val="4D182A"/>
                              <w:sz w:val="13"/>
                              <w:szCs w:val="13"/>
                            </w:rPr>
                            <w:t>, México. Tel: (</w:t>
                          </w:r>
                          <w:r>
                            <w:rPr>
                              <w:rFonts w:ascii="Noto Sans" w:hAnsi="Noto Sans" w:cs="Noto Sans"/>
                              <w:color w:val="4D182A"/>
                              <w:sz w:val="13"/>
                              <w:szCs w:val="13"/>
                            </w:rPr>
                            <w:t>967</w:t>
                          </w:r>
                          <w:r w:rsidRPr="00312C54">
                            <w:rPr>
                              <w:rFonts w:ascii="Noto Sans" w:hAnsi="Noto Sans" w:cs="Noto Sans"/>
                              <w:color w:val="4D182A"/>
                              <w:sz w:val="13"/>
                              <w:szCs w:val="13"/>
                            </w:rPr>
                            <w:t xml:space="preserve">) </w:t>
                          </w:r>
                          <w:r>
                            <w:rPr>
                              <w:rFonts w:ascii="Noto Sans" w:hAnsi="Noto Sans" w:cs="Noto Sans"/>
                              <w:color w:val="4D182A"/>
                              <w:sz w:val="13"/>
                              <w:szCs w:val="13"/>
                            </w:rPr>
                            <w:t xml:space="preserve">674 9000. </w:t>
                          </w:r>
                        </w:p>
                        <w:p w14:paraId="4CD47A65" w14:textId="77777777" w:rsidR="00567A0F" w:rsidRDefault="00567A0F" w:rsidP="00567A0F">
                          <w:pPr>
                            <w:rPr>
                              <w:rFonts w:ascii="Noto Sans" w:hAnsi="Noto Sans" w:cs="Noto Sans"/>
                              <w:color w:val="4D182A"/>
                              <w:sz w:val="13"/>
                              <w:szCs w:val="13"/>
                            </w:rPr>
                          </w:pPr>
                        </w:p>
                        <w:p w14:paraId="0E685A26" w14:textId="77777777" w:rsidR="00567A0F" w:rsidRPr="00FB0F2B" w:rsidRDefault="00567A0F" w:rsidP="00567A0F">
                          <w:pPr>
                            <w:rPr>
                              <w:rFonts w:ascii="Geomanist Medium" w:hAnsi="Geomanist Medium"/>
                              <w:color w:val="FFFFFF" w:themeColor="background1"/>
                              <w:sz w:val="12"/>
                              <w:szCs w:val="12"/>
                            </w:rPr>
                          </w:pPr>
                          <w:r w:rsidRPr="00312C54">
                            <w:rPr>
                              <w:rFonts w:ascii="Noto Sans" w:hAnsi="Noto Sans" w:cs="Noto Sans"/>
                              <w:color w:val="4D182A"/>
                              <w:sz w:val="13"/>
                              <w:szCs w:val="13"/>
                            </w:rPr>
                            <w:t>www.ecosur.mx</w:t>
                          </w:r>
                        </w:p>
                        <w:p w14:paraId="54571508" w14:textId="77777777" w:rsidR="00567A0F" w:rsidRPr="00FB0F2B" w:rsidRDefault="00567A0F" w:rsidP="00567A0F">
                          <w:pPr>
                            <w:rPr>
                              <w:rFonts w:ascii="Geomanist Medium" w:hAnsi="Geomanist Medium"/>
                              <w:color w:val="FFFFFF" w:themeColor="background1"/>
                              <w:sz w:val="12"/>
                              <w:szCs w:val="12"/>
                            </w:rPr>
                          </w:pPr>
                        </w:p>
                        <w:p w14:paraId="1DF66BD5" w14:textId="77777777" w:rsidR="00BF379D" w:rsidRPr="0066676F" w:rsidRDefault="00BF379D" w:rsidP="00BF379D">
                          <w:pPr>
                            <w:rPr>
                              <w:rFonts w:ascii="Noto Sans Medium" w:hAnsi="Noto Sans Medium" w:cs="Noto Sans Medium"/>
                              <w:color w:val="4D182A"/>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609D6A" id="_x0000_t202" coordsize="21600,21600" o:spt="202" path="m,l,21600r21600,l21600,xe">
              <v:stroke joinstyle="miter"/>
              <v:path gradientshapeok="t" o:connecttype="rect"/>
            </v:shapetype>
            <v:shape id="Cuadro de texto 3" o:spid="_x0000_s1026" type="#_x0000_t202" style="position:absolute;margin-left:91.8pt;margin-top:-34.6pt;width:413.1pt;height:31.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" filled="f" stroked="f" strokeweight=".5pt">
              <v:textbox>
                <w:txbxContent>
                  <w:p w14:paraId="63B5B458" w14:textId="77777777" w:rsidR="00567A0F" w:rsidRDefault="00567A0F" w:rsidP="00567A0F">
                    <w:pPr>
                      <w:rPr>
                        <w:rFonts w:ascii="Noto Sans" w:hAnsi="Noto Sans" w:cs="Noto Sans"/>
                        <w:color w:val="4D182A"/>
                        <w:sz w:val="13"/>
                        <w:szCs w:val="13"/>
                      </w:rPr>
                    </w:pPr>
                    <w:proofErr w:type="spellStart"/>
                    <w:r>
                      <w:rPr>
                        <w:rFonts w:ascii="Noto Sans" w:hAnsi="Noto Sans" w:cs="Noto Sans"/>
                        <w:color w:val="4D182A"/>
                        <w:sz w:val="13"/>
                        <w:szCs w:val="13"/>
                      </w:rPr>
                      <w:t>Carr</w:t>
                    </w:r>
                    <w:proofErr w:type="spellEnd"/>
                    <w:r>
                      <w:rPr>
                        <w:rFonts w:ascii="Noto Sans" w:hAnsi="Noto Sans" w:cs="Noto Sans"/>
                        <w:color w:val="4D182A"/>
                        <w:sz w:val="13"/>
                        <w:szCs w:val="13"/>
                      </w:rPr>
                      <w:t>. Panamericana y Periférico Sur s/n</w:t>
                    </w:r>
                    <w:r w:rsidRPr="00312C54">
                      <w:rPr>
                        <w:rFonts w:ascii="Noto Sans" w:hAnsi="Noto Sans" w:cs="Noto Sans"/>
                        <w:color w:val="4D182A"/>
                        <w:sz w:val="13"/>
                        <w:szCs w:val="13"/>
                      </w:rPr>
                      <w:t xml:space="preserve">, CP. </w:t>
                    </w:r>
                    <w:r>
                      <w:rPr>
                        <w:rFonts w:ascii="Noto Sans" w:hAnsi="Noto Sans" w:cs="Noto Sans"/>
                        <w:color w:val="4D182A"/>
                        <w:sz w:val="13"/>
                        <w:szCs w:val="13"/>
                      </w:rPr>
                      <w:t>29290</w:t>
                    </w:r>
                    <w:r w:rsidRPr="00312C54">
                      <w:rPr>
                        <w:rFonts w:ascii="Noto Sans" w:hAnsi="Noto Sans" w:cs="Noto Sans"/>
                        <w:color w:val="4D182A"/>
                        <w:sz w:val="13"/>
                        <w:szCs w:val="13"/>
                      </w:rPr>
                      <w:t xml:space="preserve">, </w:t>
                    </w:r>
                    <w:r>
                      <w:rPr>
                        <w:rFonts w:ascii="Noto Sans" w:hAnsi="Noto Sans" w:cs="Noto Sans"/>
                        <w:color w:val="4D182A"/>
                        <w:sz w:val="13"/>
                        <w:szCs w:val="13"/>
                      </w:rPr>
                      <w:t>San Cristóbal de Las Casas, Chiapas</w:t>
                    </w:r>
                    <w:r w:rsidRPr="00312C54">
                      <w:rPr>
                        <w:rFonts w:ascii="Noto Sans" w:hAnsi="Noto Sans" w:cs="Noto Sans"/>
                        <w:color w:val="4D182A"/>
                        <w:sz w:val="13"/>
                        <w:szCs w:val="13"/>
                      </w:rPr>
                      <w:t>, México. Tel: (</w:t>
                    </w:r>
                    <w:r>
                      <w:rPr>
                        <w:rFonts w:ascii="Noto Sans" w:hAnsi="Noto Sans" w:cs="Noto Sans"/>
                        <w:color w:val="4D182A"/>
                        <w:sz w:val="13"/>
                        <w:szCs w:val="13"/>
                      </w:rPr>
                      <w:t>967</w:t>
                    </w:r>
                    <w:r w:rsidRPr="00312C54">
                      <w:rPr>
                        <w:rFonts w:ascii="Noto Sans" w:hAnsi="Noto Sans" w:cs="Noto Sans"/>
                        <w:color w:val="4D182A"/>
                        <w:sz w:val="13"/>
                        <w:szCs w:val="13"/>
                      </w:rPr>
                      <w:t xml:space="preserve">) </w:t>
                    </w:r>
                    <w:r>
                      <w:rPr>
                        <w:rFonts w:ascii="Noto Sans" w:hAnsi="Noto Sans" w:cs="Noto Sans"/>
                        <w:color w:val="4D182A"/>
                        <w:sz w:val="13"/>
                        <w:szCs w:val="13"/>
                      </w:rPr>
                      <w:t xml:space="preserve">674 9000. </w:t>
                    </w:r>
                  </w:p>
                  <w:p w14:paraId="4CD47A65" w14:textId="77777777" w:rsidR="00567A0F" w:rsidRDefault="00567A0F" w:rsidP="00567A0F">
                    <w:pPr>
                      <w:rPr>
                        <w:rFonts w:ascii="Noto Sans" w:hAnsi="Noto Sans" w:cs="Noto Sans"/>
                        <w:color w:val="4D182A"/>
                        <w:sz w:val="13"/>
                        <w:szCs w:val="13"/>
                      </w:rPr>
                    </w:pPr>
                  </w:p>
                  <w:p w14:paraId="0E685A26" w14:textId="77777777" w:rsidR="00567A0F" w:rsidRPr="00FB0F2B" w:rsidRDefault="00567A0F" w:rsidP="00567A0F">
                    <w:pPr>
                      <w:rPr>
                        <w:rFonts w:ascii="Geomanist Medium" w:hAnsi="Geomanist Medium"/>
                        <w:color w:val="FFFFFF" w:themeColor="background1"/>
                        <w:sz w:val="12"/>
                        <w:szCs w:val="12"/>
                      </w:rPr>
                    </w:pPr>
                    <w:r w:rsidRPr="00312C54">
                      <w:rPr>
                        <w:rFonts w:ascii="Noto Sans" w:hAnsi="Noto Sans" w:cs="Noto Sans"/>
                        <w:color w:val="4D182A"/>
                        <w:sz w:val="13"/>
                        <w:szCs w:val="13"/>
                      </w:rPr>
                      <w:t>www.ecosur.mx</w:t>
                    </w:r>
                  </w:p>
                  <w:p w14:paraId="54571508" w14:textId="77777777" w:rsidR="00567A0F" w:rsidRPr="00FB0F2B" w:rsidRDefault="00567A0F" w:rsidP="00567A0F">
                    <w:pPr>
                      <w:rPr>
                        <w:rFonts w:ascii="Geomanist Medium" w:hAnsi="Geomanist Medium"/>
                        <w:color w:val="FFFFFF" w:themeColor="background1"/>
                        <w:sz w:val="12"/>
                        <w:szCs w:val="12"/>
                      </w:rPr>
                    </w:pPr>
                  </w:p>
                  <w:p w14:paraId="1DF66BD5" w14:textId="77777777" w:rsidR="00BF379D" w:rsidRPr="0066676F" w:rsidRDefault="00BF379D" w:rsidP="00BF379D">
                    <w:pPr>
                      <w:rPr>
                        <w:rFonts w:ascii="Noto Sans Medium" w:hAnsi="Noto Sans Medium" w:cs="Noto Sans Medium"/>
                        <w:color w:val="4D182A"/>
                        <w:sz w:val="12"/>
                        <w:szCs w:val="12"/>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B9B46" w14:textId="096BA830" w:rsidR="00904CC6" w:rsidRDefault="00B67AB0">
    <w:pPr>
      <w:pStyle w:val="Piedepgina"/>
    </w:pPr>
    <w:r>
      <w:rPr>
        <w:noProof/>
      </w:rPr>
      <mc:AlternateContent>
        <mc:Choice Requires="wps">
          <w:drawing>
            <wp:anchor distT="0" distB="0" distL="114300" distR="114300" simplePos="0" relativeHeight="251658240" behindDoc="0" locked="0" layoutInCell="1" allowOverlap="1" wp14:anchorId="021FF935" wp14:editId="2FA7D8B4">
              <wp:simplePos x="0" y="0"/>
              <wp:positionH relativeFrom="column">
                <wp:posOffset>1162133</wp:posOffset>
              </wp:positionH>
              <wp:positionV relativeFrom="paragraph">
                <wp:posOffset>-429840</wp:posOffset>
              </wp:positionV>
              <wp:extent cx="5467020" cy="485030"/>
              <wp:effectExtent l="0" t="0" r="0" b="0"/>
              <wp:wrapNone/>
              <wp:docPr id="683274230" name="Cuadro de texto 3"/>
              <wp:cNvGraphicFramePr/>
              <a:graphic xmlns:a="http://schemas.openxmlformats.org/drawingml/2006/main">
                <a:graphicData uri="http://schemas.microsoft.com/office/word/2010/wordprocessingShape">
                  <wps:wsp>
                    <wps:cNvSpPr txBox="1"/>
                    <wps:spPr>
                      <a:xfrm>
                        <a:off x="0" y="0"/>
                        <a:ext cx="5467020" cy="485030"/>
                      </a:xfrm>
                      <a:prstGeom prst="rect">
                        <a:avLst/>
                      </a:prstGeom>
                      <a:noFill/>
                      <a:ln w="6350">
                        <a:noFill/>
                      </a:ln>
                    </wps:spPr>
                    <wps:txbx>
                      <w:txbxContent>
                        <w:p w14:paraId="6AD5C4DB" w14:textId="77777777" w:rsidR="00FA0287" w:rsidRDefault="00FA0287" w:rsidP="00FA0287">
                          <w:pPr>
                            <w:rPr>
                              <w:rFonts w:ascii="Noto Sans" w:hAnsi="Noto Sans" w:cs="Noto Sans"/>
                              <w:color w:val="4D182A"/>
                              <w:sz w:val="13"/>
                              <w:szCs w:val="13"/>
                            </w:rPr>
                          </w:pPr>
                          <w:proofErr w:type="spellStart"/>
                          <w:r>
                            <w:rPr>
                              <w:rFonts w:ascii="Noto Sans" w:hAnsi="Noto Sans" w:cs="Noto Sans"/>
                              <w:color w:val="4D182A"/>
                              <w:sz w:val="13"/>
                              <w:szCs w:val="13"/>
                            </w:rPr>
                            <w:t>Carr</w:t>
                          </w:r>
                          <w:proofErr w:type="spellEnd"/>
                          <w:r>
                            <w:rPr>
                              <w:rFonts w:ascii="Noto Sans" w:hAnsi="Noto Sans" w:cs="Noto Sans"/>
                              <w:color w:val="4D182A"/>
                              <w:sz w:val="13"/>
                              <w:szCs w:val="13"/>
                            </w:rPr>
                            <w:t>. Panamericana y Periférico Sur s/n</w:t>
                          </w:r>
                          <w:r w:rsidRPr="00312C54">
                            <w:rPr>
                              <w:rFonts w:ascii="Noto Sans" w:hAnsi="Noto Sans" w:cs="Noto Sans"/>
                              <w:color w:val="4D182A"/>
                              <w:sz w:val="13"/>
                              <w:szCs w:val="13"/>
                            </w:rPr>
                            <w:t xml:space="preserve">, CP. </w:t>
                          </w:r>
                          <w:r>
                            <w:rPr>
                              <w:rFonts w:ascii="Noto Sans" w:hAnsi="Noto Sans" w:cs="Noto Sans"/>
                              <w:color w:val="4D182A"/>
                              <w:sz w:val="13"/>
                              <w:szCs w:val="13"/>
                            </w:rPr>
                            <w:t>29290</w:t>
                          </w:r>
                          <w:r w:rsidRPr="00312C54">
                            <w:rPr>
                              <w:rFonts w:ascii="Noto Sans" w:hAnsi="Noto Sans" w:cs="Noto Sans"/>
                              <w:color w:val="4D182A"/>
                              <w:sz w:val="13"/>
                              <w:szCs w:val="13"/>
                            </w:rPr>
                            <w:t xml:space="preserve">, </w:t>
                          </w:r>
                          <w:r>
                            <w:rPr>
                              <w:rFonts w:ascii="Noto Sans" w:hAnsi="Noto Sans" w:cs="Noto Sans"/>
                              <w:color w:val="4D182A"/>
                              <w:sz w:val="13"/>
                              <w:szCs w:val="13"/>
                            </w:rPr>
                            <w:t>San Cristóbal de Las Casas, Chiapas</w:t>
                          </w:r>
                          <w:r w:rsidRPr="00312C54">
                            <w:rPr>
                              <w:rFonts w:ascii="Noto Sans" w:hAnsi="Noto Sans" w:cs="Noto Sans"/>
                              <w:color w:val="4D182A"/>
                              <w:sz w:val="13"/>
                              <w:szCs w:val="13"/>
                            </w:rPr>
                            <w:t>, México. Tel: (</w:t>
                          </w:r>
                          <w:r>
                            <w:rPr>
                              <w:rFonts w:ascii="Noto Sans" w:hAnsi="Noto Sans" w:cs="Noto Sans"/>
                              <w:color w:val="4D182A"/>
                              <w:sz w:val="13"/>
                              <w:szCs w:val="13"/>
                            </w:rPr>
                            <w:t>967</w:t>
                          </w:r>
                          <w:r w:rsidRPr="00312C54">
                            <w:rPr>
                              <w:rFonts w:ascii="Noto Sans" w:hAnsi="Noto Sans" w:cs="Noto Sans"/>
                              <w:color w:val="4D182A"/>
                              <w:sz w:val="13"/>
                              <w:szCs w:val="13"/>
                            </w:rPr>
                            <w:t xml:space="preserve">) </w:t>
                          </w:r>
                          <w:r>
                            <w:rPr>
                              <w:rFonts w:ascii="Noto Sans" w:hAnsi="Noto Sans" w:cs="Noto Sans"/>
                              <w:color w:val="4D182A"/>
                              <w:sz w:val="13"/>
                              <w:szCs w:val="13"/>
                            </w:rPr>
                            <w:t xml:space="preserve">674 9000. </w:t>
                          </w:r>
                        </w:p>
                        <w:p w14:paraId="25EDE9BD" w14:textId="77777777" w:rsidR="00FA0287" w:rsidRDefault="00FA0287" w:rsidP="00FA0287">
                          <w:pPr>
                            <w:rPr>
                              <w:rFonts w:ascii="Noto Sans" w:hAnsi="Noto Sans" w:cs="Noto Sans"/>
                              <w:color w:val="4D182A"/>
                              <w:sz w:val="13"/>
                              <w:szCs w:val="13"/>
                            </w:rPr>
                          </w:pPr>
                        </w:p>
                        <w:p w14:paraId="18D71277" w14:textId="122A2419" w:rsidR="00B87C85" w:rsidRPr="00FA0287" w:rsidRDefault="00FA0287" w:rsidP="00904CC6">
                          <w:pPr>
                            <w:rPr>
                              <w:rFonts w:ascii="Geomanist Medium" w:hAnsi="Geomanist Medium"/>
                              <w:color w:val="FFFFFF" w:themeColor="background1"/>
                              <w:sz w:val="12"/>
                              <w:szCs w:val="12"/>
                            </w:rPr>
                          </w:pPr>
                          <w:r w:rsidRPr="00312C54">
                            <w:rPr>
                              <w:rFonts w:ascii="Noto Sans" w:hAnsi="Noto Sans" w:cs="Noto Sans"/>
                              <w:color w:val="4D182A"/>
                              <w:sz w:val="13"/>
                              <w:szCs w:val="13"/>
                            </w:rPr>
                            <w:t>www.ecosur.mx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FF935" id="_x0000_t202" coordsize="21600,21600" o:spt="202" path="m,l,21600r21600,l21600,xe">
              <v:stroke joinstyle="miter"/>
              <v:path gradientshapeok="t" o:connecttype="rect"/>
            </v:shapetype>
            <v:shape id="_x0000_s1027" type="#_x0000_t202" style="position:absolute;margin-left:91.5pt;margin-top:-33.85pt;width:430.45pt;height:3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" filled="f" stroked="f" strokeweight=".5pt">
              <v:textbox>
                <w:txbxContent>
                  <w:p w14:paraId="6AD5C4DB" w14:textId="77777777" w:rsidR="00FA0287" w:rsidRDefault="00FA0287" w:rsidP="00FA0287">
                    <w:pPr>
                      <w:rPr>
                        <w:rFonts w:ascii="Noto Sans" w:hAnsi="Noto Sans" w:cs="Noto Sans"/>
                        <w:color w:val="4D182A"/>
                        <w:sz w:val="13"/>
                        <w:szCs w:val="13"/>
                      </w:rPr>
                    </w:pPr>
                    <w:proofErr w:type="spellStart"/>
                    <w:r>
                      <w:rPr>
                        <w:rFonts w:ascii="Noto Sans" w:hAnsi="Noto Sans" w:cs="Noto Sans"/>
                        <w:color w:val="4D182A"/>
                        <w:sz w:val="13"/>
                        <w:szCs w:val="13"/>
                      </w:rPr>
                      <w:t>Carr</w:t>
                    </w:r>
                    <w:proofErr w:type="spellEnd"/>
                    <w:r>
                      <w:rPr>
                        <w:rFonts w:ascii="Noto Sans" w:hAnsi="Noto Sans" w:cs="Noto Sans"/>
                        <w:color w:val="4D182A"/>
                        <w:sz w:val="13"/>
                        <w:szCs w:val="13"/>
                      </w:rPr>
                      <w:t>. Panamericana y Periférico Sur s/n</w:t>
                    </w:r>
                    <w:r w:rsidRPr="00312C54">
                      <w:rPr>
                        <w:rFonts w:ascii="Noto Sans" w:hAnsi="Noto Sans" w:cs="Noto Sans"/>
                        <w:color w:val="4D182A"/>
                        <w:sz w:val="13"/>
                        <w:szCs w:val="13"/>
                      </w:rPr>
                      <w:t xml:space="preserve">, CP. </w:t>
                    </w:r>
                    <w:r>
                      <w:rPr>
                        <w:rFonts w:ascii="Noto Sans" w:hAnsi="Noto Sans" w:cs="Noto Sans"/>
                        <w:color w:val="4D182A"/>
                        <w:sz w:val="13"/>
                        <w:szCs w:val="13"/>
                      </w:rPr>
                      <w:t>29290</w:t>
                    </w:r>
                    <w:r w:rsidRPr="00312C54">
                      <w:rPr>
                        <w:rFonts w:ascii="Noto Sans" w:hAnsi="Noto Sans" w:cs="Noto Sans"/>
                        <w:color w:val="4D182A"/>
                        <w:sz w:val="13"/>
                        <w:szCs w:val="13"/>
                      </w:rPr>
                      <w:t xml:space="preserve">, </w:t>
                    </w:r>
                    <w:r>
                      <w:rPr>
                        <w:rFonts w:ascii="Noto Sans" w:hAnsi="Noto Sans" w:cs="Noto Sans"/>
                        <w:color w:val="4D182A"/>
                        <w:sz w:val="13"/>
                        <w:szCs w:val="13"/>
                      </w:rPr>
                      <w:t>San Cristóbal de Las Casas, Chiapas</w:t>
                    </w:r>
                    <w:r w:rsidRPr="00312C54">
                      <w:rPr>
                        <w:rFonts w:ascii="Noto Sans" w:hAnsi="Noto Sans" w:cs="Noto Sans"/>
                        <w:color w:val="4D182A"/>
                        <w:sz w:val="13"/>
                        <w:szCs w:val="13"/>
                      </w:rPr>
                      <w:t>, México. Tel: (</w:t>
                    </w:r>
                    <w:r>
                      <w:rPr>
                        <w:rFonts w:ascii="Noto Sans" w:hAnsi="Noto Sans" w:cs="Noto Sans"/>
                        <w:color w:val="4D182A"/>
                        <w:sz w:val="13"/>
                        <w:szCs w:val="13"/>
                      </w:rPr>
                      <w:t>967</w:t>
                    </w:r>
                    <w:r w:rsidRPr="00312C54">
                      <w:rPr>
                        <w:rFonts w:ascii="Noto Sans" w:hAnsi="Noto Sans" w:cs="Noto Sans"/>
                        <w:color w:val="4D182A"/>
                        <w:sz w:val="13"/>
                        <w:szCs w:val="13"/>
                      </w:rPr>
                      <w:t xml:space="preserve">) </w:t>
                    </w:r>
                    <w:r>
                      <w:rPr>
                        <w:rFonts w:ascii="Noto Sans" w:hAnsi="Noto Sans" w:cs="Noto Sans"/>
                        <w:color w:val="4D182A"/>
                        <w:sz w:val="13"/>
                        <w:szCs w:val="13"/>
                      </w:rPr>
                      <w:t xml:space="preserve">674 9000. </w:t>
                    </w:r>
                  </w:p>
                  <w:p w14:paraId="25EDE9BD" w14:textId="77777777" w:rsidR="00FA0287" w:rsidRDefault="00FA0287" w:rsidP="00FA0287">
                    <w:pPr>
                      <w:rPr>
                        <w:rFonts w:ascii="Noto Sans" w:hAnsi="Noto Sans" w:cs="Noto Sans"/>
                        <w:color w:val="4D182A"/>
                        <w:sz w:val="13"/>
                        <w:szCs w:val="13"/>
                      </w:rPr>
                    </w:pPr>
                  </w:p>
                  <w:p w14:paraId="18D71277" w14:textId="122A2419" w:rsidR="00B87C85" w:rsidRPr="00FA0287" w:rsidRDefault="00FA0287" w:rsidP="00904CC6">
                    <w:pPr>
                      <w:rPr>
                        <w:rFonts w:ascii="Geomanist Medium" w:hAnsi="Geomanist Medium"/>
                        <w:color w:val="FFFFFF" w:themeColor="background1"/>
                        <w:sz w:val="12"/>
                        <w:szCs w:val="12"/>
                      </w:rPr>
                    </w:pPr>
                    <w:r w:rsidRPr="00312C54">
                      <w:rPr>
                        <w:rFonts w:ascii="Noto Sans" w:hAnsi="Noto Sans" w:cs="Noto Sans"/>
                        <w:color w:val="4D182A"/>
                        <w:sz w:val="13"/>
                        <w:szCs w:val="13"/>
                      </w:rPr>
                      <w:t>www.ecosur.mx</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D2D0A" w14:textId="77777777" w:rsidR="00567A0F" w:rsidRDefault="00567A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A9EF8" w14:textId="77777777" w:rsidR="001C017A" w:rsidRDefault="001C017A" w:rsidP="00A73D65">
      <w:r>
        <w:separator/>
      </w:r>
    </w:p>
  </w:footnote>
  <w:footnote w:type="continuationSeparator" w:id="0">
    <w:p w14:paraId="5875C8AB" w14:textId="77777777" w:rsidR="001C017A" w:rsidRDefault="001C017A" w:rsidP="00A73D65">
      <w:r>
        <w:continuationSeparator/>
      </w:r>
    </w:p>
  </w:footnote>
  <w:footnote w:type="continuationNotice" w:id="1">
    <w:p w14:paraId="5303C0D8" w14:textId="77777777" w:rsidR="001C017A" w:rsidRDefault="001C01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0B2E" w14:textId="1C968C15" w:rsidR="003F49A8" w:rsidRDefault="003F49A8">
    <w:pPr>
      <w:pStyle w:val="Encabezado"/>
    </w:pPr>
    <w:r>
      <w:rPr>
        <w:noProof/>
      </w:rPr>
      <w:drawing>
        <wp:anchor distT="0" distB="0" distL="114300" distR="114300" simplePos="0" relativeHeight="251658241" behindDoc="0" locked="0" layoutInCell="1" allowOverlap="1" wp14:anchorId="60E47F35" wp14:editId="35D36A2B">
          <wp:simplePos x="0" y="0"/>
          <wp:positionH relativeFrom="column">
            <wp:posOffset>-1060257</wp:posOffset>
          </wp:positionH>
          <wp:positionV relativeFrom="paragraph">
            <wp:posOffset>-449580</wp:posOffset>
          </wp:positionV>
          <wp:extent cx="7761605" cy="10044430"/>
          <wp:effectExtent l="0" t="0" r="0" b="1270"/>
          <wp:wrapNone/>
          <wp:docPr id="105169162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691621"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61605" cy="100444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5F525454" w:rsidR="00A73D65" w:rsidRPr="00B67AB0" w:rsidRDefault="00B67AB0" w:rsidP="00B67AB0">
    <w:pPr>
      <w:pStyle w:val="Encabezado"/>
    </w:pPr>
    <w:r>
      <w:rPr>
        <w:noProof/>
      </w:rPr>
      <w:drawing>
        <wp:anchor distT="0" distB="0" distL="114300" distR="114300" simplePos="0" relativeHeight="251658242" behindDoc="1" locked="0" layoutInCell="1" allowOverlap="1" wp14:anchorId="747A1638" wp14:editId="61B73CE0">
          <wp:simplePos x="0" y="0"/>
          <wp:positionH relativeFrom="column">
            <wp:posOffset>-1096038</wp:posOffset>
          </wp:positionH>
          <wp:positionV relativeFrom="paragraph">
            <wp:posOffset>-465483</wp:posOffset>
          </wp:positionV>
          <wp:extent cx="7800029" cy="10094155"/>
          <wp:effectExtent l="0" t="0" r="0" b="2540"/>
          <wp:wrapNone/>
          <wp:docPr id="83054233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800029" cy="1009415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DE2FC" w14:textId="77777777" w:rsidR="00567A0F" w:rsidRDefault="00567A0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6C2"/>
    <w:multiLevelType w:val="hybridMultilevel"/>
    <w:tmpl w:val="5270E9AC"/>
    <w:lvl w:ilvl="0" w:tplc="248C57F8">
      <w:start w:val="1"/>
      <w:numFmt w:val="decimalZero"/>
      <w:lvlText w:val="%1"/>
      <w:lvlJc w:val="left"/>
      <w:pPr>
        <w:ind w:left="855" w:hanging="49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77304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16F7"/>
    <w:rsid w:val="00001E65"/>
    <w:rsid w:val="000101A2"/>
    <w:rsid w:val="000211E5"/>
    <w:rsid w:val="00022CB2"/>
    <w:rsid w:val="00023AA0"/>
    <w:rsid w:val="00025266"/>
    <w:rsid w:val="00043A2A"/>
    <w:rsid w:val="00060F0A"/>
    <w:rsid w:val="0007153D"/>
    <w:rsid w:val="00087DCD"/>
    <w:rsid w:val="00091C0E"/>
    <w:rsid w:val="000B2CA3"/>
    <w:rsid w:val="000E7284"/>
    <w:rsid w:val="00102037"/>
    <w:rsid w:val="00131C8E"/>
    <w:rsid w:val="00134369"/>
    <w:rsid w:val="001429BB"/>
    <w:rsid w:val="00156A3E"/>
    <w:rsid w:val="00161740"/>
    <w:rsid w:val="00177031"/>
    <w:rsid w:val="00180A38"/>
    <w:rsid w:val="00184325"/>
    <w:rsid w:val="00190484"/>
    <w:rsid w:val="001C017A"/>
    <w:rsid w:val="001D3351"/>
    <w:rsid w:val="00205BD2"/>
    <w:rsid w:val="00231A0F"/>
    <w:rsid w:val="002329E1"/>
    <w:rsid w:val="002432D1"/>
    <w:rsid w:val="00245F66"/>
    <w:rsid w:val="00256B1D"/>
    <w:rsid w:val="0026251B"/>
    <w:rsid w:val="0027212B"/>
    <w:rsid w:val="0027753D"/>
    <w:rsid w:val="00283F23"/>
    <w:rsid w:val="002871E1"/>
    <w:rsid w:val="00287588"/>
    <w:rsid w:val="0029542D"/>
    <w:rsid w:val="00296BF9"/>
    <w:rsid w:val="002C293A"/>
    <w:rsid w:val="002D60F5"/>
    <w:rsid w:val="002E2142"/>
    <w:rsid w:val="002E2B5E"/>
    <w:rsid w:val="002F2A29"/>
    <w:rsid w:val="002F7B77"/>
    <w:rsid w:val="0030476A"/>
    <w:rsid w:val="00304D02"/>
    <w:rsid w:val="003250A4"/>
    <w:rsid w:val="00331C15"/>
    <w:rsid w:val="0034593D"/>
    <w:rsid w:val="00363222"/>
    <w:rsid w:val="00370465"/>
    <w:rsid w:val="00371A70"/>
    <w:rsid w:val="003A465D"/>
    <w:rsid w:val="003A631E"/>
    <w:rsid w:val="003D2393"/>
    <w:rsid w:val="003D416E"/>
    <w:rsid w:val="003E1335"/>
    <w:rsid w:val="003E3A05"/>
    <w:rsid w:val="003F49A8"/>
    <w:rsid w:val="0041316F"/>
    <w:rsid w:val="004318DD"/>
    <w:rsid w:val="00435924"/>
    <w:rsid w:val="004543B0"/>
    <w:rsid w:val="00454479"/>
    <w:rsid w:val="00460A14"/>
    <w:rsid w:val="004628FD"/>
    <w:rsid w:val="00463F54"/>
    <w:rsid w:val="00471532"/>
    <w:rsid w:val="00477F45"/>
    <w:rsid w:val="004810A8"/>
    <w:rsid w:val="00487A3F"/>
    <w:rsid w:val="00494E2E"/>
    <w:rsid w:val="004A4C4E"/>
    <w:rsid w:val="004A6CC4"/>
    <w:rsid w:val="004B07B0"/>
    <w:rsid w:val="004C0E5F"/>
    <w:rsid w:val="004D146C"/>
    <w:rsid w:val="004D6785"/>
    <w:rsid w:val="004D7390"/>
    <w:rsid w:val="005142CC"/>
    <w:rsid w:val="0052484E"/>
    <w:rsid w:val="00536A48"/>
    <w:rsid w:val="00567A0F"/>
    <w:rsid w:val="00570A33"/>
    <w:rsid w:val="005735B5"/>
    <w:rsid w:val="0057575C"/>
    <w:rsid w:val="00587D4F"/>
    <w:rsid w:val="00595A7D"/>
    <w:rsid w:val="005A6E25"/>
    <w:rsid w:val="005B3E03"/>
    <w:rsid w:val="005B50C9"/>
    <w:rsid w:val="005C1A7C"/>
    <w:rsid w:val="005D14D4"/>
    <w:rsid w:val="005D374C"/>
    <w:rsid w:val="005D7A20"/>
    <w:rsid w:val="005D7FF5"/>
    <w:rsid w:val="005E1772"/>
    <w:rsid w:val="005F3347"/>
    <w:rsid w:val="00626CE5"/>
    <w:rsid w:val="00626EE3"/>
    <w:rsid w:val="00631824"/>
    <w:rsid w:val="006322C1"/>
    <w:rsid w:val="00655563"/>
    <w:rsid w:val="006562E8"/>
    <w:rsid w:val="00660F3F"/>
    <w:rsid w:val="0066240B"/>
    <w:rsid w:val="0066370A"/>
    <w:rsid w:val="00665808"/>
    <w:rsid w:val="0066676F"/>
    <w:rsid w:val="00673014"/>
    <w:rsid w:val="00680A58"/>
    <w:rsid w:val="00681882"/>
    <w:rsid w:val="006932F1"/>
    <w:rsid w:val="006A0DFE"/>
    <w:rsid w:val="006B4D6B"/>
    <w:rsid w:val="006C0425"/>
    <w:rsid w:val="006C3B4E"/>
    <w:rsid w:val="006E18EC"/>
    <w:rsid w:val="00714C0D"/>
    <w:rsid w:val="00721BB9"/>
    <w:rsid w:val="00724126"/>
    <w:rsid w:val="00733712"/>
    <w:rsid w:val="00736D52"/>
    <w:rsid w:val="00740A77"/>
    <w:rsid w:val="007421E3"/>
    <w:rsid w:val="00762CB9"/>
    <w:rsid w:val="00766068"/>
    <w:rsid w:val="007738F7"/>
    <w:rsid w:val="007748E1"/>
    <w:rsid w:val="0078195E"/>
    <w:rsid w:val="00782758"/>
    <w:rsid w:val="007874C0"/>
    <w:rsid w:val="007A20A1"/>
    <w:rsid w:val="007A7910"/>
    <w:rsid w:val="007B00DF"/>
    <w:rsid w:val="007B04A1"/>
    <w:rsid w:val="007B09D7"/>
    <w:rsid w:val="007B74AD"/>
    <w:rsid w:val="007C1FAF"/>
    <w:rsid w:val="007D77D1"/>
    <w:rsid w:val="007E0C12"/>
    <w:rsid w:val="007E573F"/>
    <w:rsid w:val="007E5888"/>
    <w:rsid w:val="007F77B8"/>
    <w:rsid w:val="00825600"/>
    <w:rsid w:val="00827AD2"/>
    <w:rsid w:val="00831EE7"/>
    <w:rsid w:val="00834146"/>
    <w:rsid w:val="00834684"/>
    <w:rsid w:val="00862EEB"/>
    <w:rsid w:val="008636E4"/>
    <w:rsid w:val="00865276"/>
    <w:rsid w:val="00870032"/>
    <w:rsid w:val="00874CB2"/>
    <w:rsid w:val="00885E85"/>
    <w:rsid w:val="00895209"/>
    <w:rsid w:val="008A6638"/>
    <w:rsid w:val="008B4AD5"/>
    <w:rsid w:val="008B527D"/>
    <w:rsid w:val="008D0E60"/>
    <w:rsid w:val="008D127F"/>
    <w:rsid w:val="008D6FA2"/>
    <w:rsid w:val="008E73B1"/>
    <w:rsid w:val="00904CC6"/>
    <w:rsid w:val="009066A7"/>
    <w:rsid w:val="00907F1C"/>
    <w:rsid w:val="00910B20"/>
    <w:rsid w:val="00930E37"/>
    <w:rsid w:val="00932C27"/>
    <w:rsid w:val="0093494D"/>
    <w:rsid w:val="009352C9"/>
    <w:rsid w:val="00935609"/>
    <w:rsid w:val="00937C98"/>
    <w:rsid w:val="00942415"/>
    <w:rsid w:val="00947ABF"/>
    <w:rsid w:val="00955175"/>
    <w:rsid w:val="00973FB2"/>
    <w:rsid w:val="00976253"/>
    <w:rsid w:val="00977510"/>
    <w:rsid w:val="009871F2"/>
    <w:rsid w:val="00987D8F"/>
    <w:rsid w:val="00991DCF"/>
    <w:rsid w:val="009B217F"/>
    <w:rsid w:val="009B743E"/>
    <w:rsid w:val="009C12D6"/>
    <w:rsid w:val="009C387B"/>
    <w:rsid w:val="009D686A"/>
    <w:rsid w:val="009E1D1D"/>
    <w:rsid w:val="009E2F42"/>
    <w:rsid w:val="009F2BA1"/>
    <w:rsid w:val="00A0555C"/>
    <w:rsid w:val="00A07674"/>
    <w:rsid w:val="00A2021A"/>
    <w:rsid w:val="00A301D7"/>
    <w:rsid w:val="00A314BF"/>
    <w:rsid w:val="00A363E2"/>
    <w:rsid w:val="00A42C5D"/>
    <w:rsid w:val="00A45B98"/>
    <w:rsid w:val="00A50933"/>
    <w:rsid w:val="00A5108A"/>
    <w:rsid w:val="00A53FE3"/>
    <w:rsid w:val="00A57FF1"/>
    <w:rsid w:val="00A63BB0"/>
    <w:rsid w:val="00A73D65"/>
    <w:rsid w:val="00A765DB"/>
    <w:rsid w:val="00A94AF5"/>
    <w:rsid w:val="00A9662E"/>
    <w:rsid w:val="00AB125D"/>
    <w:rsid w:val="00AD173C"/>
    <w:rsid w:val="00AD57B2"/>
    <w:rsid w:val="00AD7FF8"/>
    <w:rsid w:val="00AF7AAD"/>
    <w:rsid w:val="00B07DE7"/>
    <w:rsid w:val="00B21938"/>
    <w:rsid w:val="00B43FC9"/>
    <w:rsid w:val="00B541BC"/>
    <w:rsid w:val="00B66130"/>
    <w:rsid w:val="00B67AB0"/>
    <w:rsid w:val="00B71039"/>
    <w:rsid w:val="00B72D65"/>
    <w:rsid w:val="00B87C85"/>
    <w:rsid w:val="00BB21A6"/>
    <w:rsid w:val="00BB2DFF"/>
    <w:rsid w:val="00BC43BD"/>
    <w:rsid w:val="00BC51E0"/>
    <w:rsid w:val="00BC7070"/>
    <w:rsid w:val="00BD47DE"/>
    <w:rsid w:val="00BD7E1A"/>
    <w:rsid w:val="00BE1413"/>
    <w:rsid w:val="00BE5B58"/>
    <w:rsid w:val="00BF2365"/>
    <w:rsid w:val="00BF379D"/>
    <w:rsid w:val="00BF731B"/>
    <w:rsid w:val="00C02E98"/>
    <w:rsid w:val="00C1416F"/>
    <w:rsid w:val="00C1599E"/>
    <w:rsid w:val="00C20984"/>
    <w:rsid w:val="00C23B9E"/>
    <w:rsid w:val="00C279A3"/>
    <w:rsid w:val="00C30849"/>
    <w:rsid w:val="00C465FE"/>
    <w:rsid w:val="00C62870"/>
    <w:rsid w:val="00C653B5"/>
    <w:rsid w:val="00C67047"/>
    <w:rsid w:val="00C90CED"/>
    <w:rsid w:val="00C94579"/>
    <w:rsid w:val="00C94B19"/>
    <w:rsid w:val="00CA2EDC"/>
    <w:rsid w:val="00CA6BED"/>
    <w:rsid w:val="00CB7D4F"/>
    <w:rsid w:val="00CB7FE6"/>
    <w:rsid w:val="00CE3E99"/>
    <w:rsid w:val="00CF3975"/>
    <w:rsid w:val="00D1354D"/>
    <w:rsid w:val="00D30C72"/>
    <w:rsid w:val="00D458F4"/>
    <w:rsid w:val="00D66B77"/>
    <w:rsid w:val="00D74F3F"/>
    <w:rsid w:val="00D84E05"/>
    <w:rsid w:val="00D863D5"/>
    <w:rsid w:val="00D933A2"/>
    <w:rsid w:val="00DA462B"/>
    <w:rsid w:val="00DB4A6A"/>
    <w:rsid w:val="00DB53A4"/>
    <w:rsid w:val="00DB5672"/>
    <w:rsid w:val="00DC18FA"/>
    <w:rsid w:val="00DC66EB"/>
    <w:rsid w:val="00DC7AC7"/>
    <w:rsid w:val="00DD154E"/>
    <w:rsid w:val="00DE3FEC"/>
    <w:rsid w:val="00E079B4"/>
    <w:rsid w:val="00E12948"/>
    <w:rsid w:val="00E155A4"/>
    <w:rsid w:val="00E17847"/>
    <w:rsid w:val="00E22177"/>
    <w:rsid w:val="00E2628A"/>
    <w:rsid w:val="00E50125"/>
    <w:rsid w:val="00E516AD"/>
    <w:rsid w:val="00E805E3"/>
    <w:rsid w:val="00E809E4"/>
    <w:rsid w:val="00E85B35"/>
    <w:rsid w:val="00E93867"/>
    <w:rsid w:val="00EA423B"/>
    <w:rsid w:val="00EA7087"/>
    <w:rsid w:val="00EB407F"/>
    <w:rsid w:val="00EB5876"/>
    <w:rsid w:val="00ED0FC9"/>
    <w:rsid w:val="00EE053F"/>
    <w:rsid w:val="00EF6A20"/>
    <w:rsid w:val="00F24124"/>
    <w:rsid w:val="00F24915"/>
    <w:rsid w:val="00F401F9"/>
    <w:rsid w:val="00F552C7"/>
    <w:rsid w:val="00F60849"/>
    <w:rsid w:val="00F66003"/>
    <w:rsid w:val="00F745B2"/>
    <w:rsid w:val="00F91937"/>
    <w:rsid w:val="00F91AC5"/>
    <w:rsid w:val="00F945F2"/>
    <w:rsid w:val="00FA0287"/>
    <w:rsid w:val="00FC34D9"/>
    <w:rsid w:val="00FD024C"/>
    <w:rsid w:val="00FD1854"/>
    <w:rsid w:val="00FD50F9"/>
    <w:rsid w:val="00FD66C9"/>
    <w:rsid w:val="00FD754F"/>
    <w:rsid w:val="00FD75E1"/>
    <w:rsid w:val="00FF06FA"/>
    <w:rsid w:val="3CB1F636"/>
    <w:rsid w:val="57347A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1EA0C"/>
  <w15:chartTrackingRefBased/>
  <w15:docId w15:val="{50A99196-DC9B-4494-98DE-03881B9AA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customStyle="1" w:styleId="Default">
    <w:name w:val="Default"/>
    <w:rsid w:val="008D0E60"/>
    <w:pPr>
      <w:autoSpaceDE w:val="0"/>
      <w:autoSpaceDN w:val="0"/>
      <w:adjustRightInd w:val="0"/>
    </w:pPr>
    <w:rPr>
      <w:rFonts w:ascii="Montserrat" w:hAnsi="Montserrat" w:cs="Montserrat"/>
      <w:color w:val="000000"/>
      <w14:ligatures w14:val="standardContextual"/>
    </w:rPr>
  </w:style>
  <w:style w:type="character" w:styleId="Hipervnculo">
    <w:name w:val="Hyperlink"/>
    <w:basedOn w:val="Fuentedeprrafopredeter"/>
    <w:uiPriority w:val="99"/>
    <w:unhideWhenUsed/>
    <w:rsid w:val="00A50933"/>
    <w:rPr>
      <w:color w:val="0563C1" w:themeColor="hyperlink"/>
      <w:u w:val="single"/>
    </w:rPr>
  </w:style>
  <w:style w:type="character" w:styleId="Mencinsinresolver">
    <w:name w:val="Unresolved Mention"/>
    <w:basedOn w:val="Fuentedeprrafopredeter"/>
    <w:uiPriority w:val="99"/>
    <w:semiHidden/>
    <w:unhideWhenUsed/>
    <w:rsid w:val="00A50933"/>
    <w:rPr>
      <w:color w:val="605E5C"/>
      <w:shd w:val="clear" w:color="auto" w:fill="E1DFDD"/>
    </w:rPr>
  </w:style>
  <w:style w:type="table" w:styleId="Tablaconcuadrcula">
    <w:name w:val="Table Grid"/>
    <w:basedOn w:val="Tablanormal"/>
    <w:uiPriority w:val="39"/>
    <w:rsid w:val="00536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769891">
      <w:bodyDiv w:val="1"/>
      <w:marLeft w:val="0"/>
      <w:marRight w:val="0"/>
      <w:marTop w:val="0"/>
      <w:marBottom w:val="0"/>
      <w:divBdr>
        <w:top w:val="none" w:sz="0" w:space="0" w:color="auto"/>
        <w:left w:val="none" w:sz="0" w:space="0" w:color="auto"/>
        <w:bottom w:val="none" w:sz="0" w:space="0" w:color="auto"/>
        <w:right w:val="none" w:sz="0" w:space="0" w:color="auto"/>
      </w:divBdr>
    </w:div>
    <w:div w:id="572735170">
      <w:bodyDiv w:val="1"/>
      <w:marLeft w:val="0"/>
      <w:marRight w:val="0"/>
      <w:marTop w:val="0"/>
      <w:marBottom w:val="0"/>
      <w:divBdr>
        <w:top w:val="none" w:sz="0" w:space="0" w:color="auto"/>
        <w:left w:val="none" w:sz="0" w:space="0" w:color="auto"/>
        <w:bottom w:val="none" w:sz="0" w:space="0" w:color="auto"/>
        <w:right w:val="none" w:sz="0" w:space="0" w:color="auto"/>
      </w:divBdr>
      <w:divsChild>
        <w:div w:id="926427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5453024">
      <w:bodyDiv w:val="1"/>
      <w:marLeft w:val="0"/>
      <w:marRight w:val="0"/>
      <w:marTop w:val="0"/>
      <w:marBottom w:val="0"/>
      <w:divBdr>
        <w:top w:val="none" w:sz="0" w:space="0" w:color="auto"/>
        <w:left w:val="none" w:sz="0" w:space="0" w:color="auto"/>
        <w:bottom w:val="none" w:sz="0" w:space="0" w:color="auto"/>
        <w:right w:val="none" w:sz="0" w:space="0" w:color="auto"/>
      </w:divBdr>
      <w:divsChild>
        <w:div w:id="133571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4724838">
      <w:bodyDiv w:val="1"/>
      <w:marLeft w:val="0"/>
      <w:marRight w:val="0"/>
      <w:marTop w:val="0"/>
      <w:marBottom w:val="0"/>
      <w:divBdr>
        <w:top w:val="none" w:sz="0" w:space="0" w:color="auto"/>
        <w:left w:val="none" w:sz="0" w:space="0" w:color="auto"/>
        <w:bottom w:val="none" w:sz="0" w:space="0" w:color="auto"/>
        <w:right w:val="none" w:sz="0" w:space="0" w:color="auto"/>
      </w:divBdr>
      <w:divsChild>
        <w:div w:id="1012221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9479621">
      <w:bodyDiv w:val="1"/>
      <w:marLeft w:val="0"/>
      <w:marRight w:val="0"/>
      <w:marTop w:val="0"/>
      <w:marBottom w:val="0"/>
      <w:divBdr>
        <w:top w:val="none" w:sz="0" w:space="0" w:color="auto"/>
        <w:left w:val="none" w:sz="0" w:space="0" w:color="auto"/>
        <w:bottom w:val="none" w:sz="0" w:space="0" w:color="auto"/>
        <w:right w:val="none" w:sz="0" w:space="0" w:color="auto"/>
      </w:divBdr>
      <w:divsChild>
        <w:div w:id="429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4241434">
      <w:bodyDiv w:val="1"/>
      <w:marLeft w:val="0"/>
      <w:marRight w:val="0"/>
      <w:marTop w:val="0"/>
      <w:marBottom w:val="0"/>
      <w:divBdr>
        <w:top w:val="none" w:sz="0" w:space="0" w:color="auto"/>
        <w:left w:val="none" w:sz="0" w:space="0" w:color="auto"/>
        <w:bottom w:val="none" w:sz="0" w:space="0" w:color="auto"/>
        <w:right w:val="none" w:sz="0" w:space="0" w:color="auto"/>
      </w:divBdr>
      <w:divsChild>
        <w:div w:id="1800149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6419346">
      <w:bodyDiv w:val="1"/>
      <w:marLeft w:val="0"/>
      <w:marRight w:val="0"/>
      <w:marTop w:val="0"/>
      <w:marBottom w:val="0"/>
      <w:divBdr>
        <w:top w:val="none" w:sz="0" w:space="0" w:color="auto"/>
        <w:left w:val="none" w:sz="0" w:space="0" w:color="auto"/>
        <w:bottom w:val="none" w:sz="0" w:space="0" w:color="auto"/>
        <w:right w:val="none" w:sz="0" w:space="0" w:color="auto"/>
      </w:divBdr>
    </w:div>
    <w:div w:id="1899433821">
      <w:bodyDiv w:val="1"/>
      <w:marLeft w:val="0"/>
      <w:marRight w:val="0"/>
      <w:marTop w:val="0"/>
      <w:marBottom w:val="0"/>
      <w:divBdr>
        <w:top w:val="none" w:sz="0" w:space="0" w:color="auto"/>
        <w:left w:val="none" w:sz="0" w:space="0" w:color="auto"/>
        <w:bottom w:val="none" w:sz="0" w:space="0" w:color="auto"/>
        <w:right w:val="none" w:sz="0" w:space="0" w:color="auto"/>
      </w:divBdr>
    </w:div>
    <w:div w:id="1956212379">
      <w:bodyDiv w:val="1"/>
      <w:marLeft w:val="0"/>
      <w:marRight w:val="0"/>
      <w:marTop w:val="0"/>
      <w:marBottom w:val="0"/>
      <w:divBdr>
        <w:top w:val="none" w:sz="0" w:space="0" w:color="auto"/>
        <w:left w:val="none" w:sz="0" w:space="0" w:color="auto"/>
        <w:bottom w:val="none" w:sz="0" w:space="0" w:color="auto"/>
        <w:right w:val="none" w:sz="0" w:space="0" w:color="auto"/>
      </w:divBdr>
    </w:div>
    <w:div w:id="2054573640">
      <w:bodyDiv w:val="1"/>
      <w:marLeft w:val="0"/>
      <w:marRight w:val="0"/>
      <w:marTop w:val="0"/>
      <w:marBottom w:val="0"/>
      <w:divBdr>
        <w:top w:val="none" w:sz="0" w:space="0" w:color="auto"/>
        <w:left w:val="none" w:sz="0" w:space="0" w:color="auto"/>
        <w:bottom w:val="none" w:sz="0" w:space="0" w:color="auto"/>
        <w:right w:val="none" w:sz="0" w:space="0" w:color="auto"/>
      </w:divBdr>
      <w:divsChild>
        <w:div w:id="1056472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661BC454D65AC43B68839C4B24746EB" ma:contentTypeVersion="4" ma:contentTypeDescription="Crear nuevo documento." ma:contentTypeScope="" ma:versionID="37204b834d8480a2ec4998f0a4c5f6be">
  <xsd:schema xmlns:xsd="http://www.w3.org/2001/XMLSchema" xmlns:xs="http://www.w3.org/2001/XMLSchema" xmlns:p="http://schemas.microsoft.com/office/2006/metadata/properties" xmlns:ns2="934de279-a636-46ad-b9b5-e1ceb6328101" targetNamespace="http://schemas.microsoft.com/office/2006/metadata/properties" ma:root="true" ma:fieldsID="5965d15457bb330b44db6d8a59c89870" ns2:_="">
    <xsd:import namespace="934de279-a636-46ad-b9b5-e1ceb63281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de279-a636-46ad-b9b5-e1ceb6328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B69A5E-4C25-487E-A861-A0C97C33CD16}"/>
</file>

<file path=customXml/itemProps2.xml><?xml version="1.0" encoding="utf-8"?>
<ds:datastoreItem xmlns:ds="http://schemas.openxmlformats.org/officeDocument/2006/customXml" ds:itemID="{40B3CA5F-6BE1-499A-8DF5-87AB9BEE1AE1}"/>
</file>

<file path=customXml/itemProps3.xml><?xml version="1.0" encoding="utf-8"?>
<ds:datastoreItem xmlns:ds="http://schemas.openxmlformats.org/officeDocument/2006/customXml" ds:itemID="{164191C2-EA0D-49B9-858D-93C4D85C0339}"/>
</file>

<file path=docProps/app.xml><?xml version="1.0" encoding="utf-8"?>
<Properties xmlns="http://schemas.openxmlformats.org/officeDocument/2006/extended-properties" xmlns:vt="http://schemas.openxmlformats.org/officeDocument/2006/docPropsVTypes">
  <Template>Normal</Template>
  <TotalTime>2</TotalTime>
  <Pages>3</Pages>
  <Words>736</Words>
  <Characters>4054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Uriel de Jesús Ramos Pérez</cp:lastModifiedBy>
  <cp:revision>3</cp:revision>
  <dcterms:created xsi:type="dcterms:W3CDTF">2025-05-28T23:17:00Z</dcterms:created>
  <dcterms:modified xsi:type="dcterms:W3CDTF">2025-05-29T19:33:00Z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0x010100C661BC454D65AC43B68839C4B24746EB</vt:lpwstr>
  </property>
</Properties>
</file>