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CACF" w14:textId="75049DB3" w:rsidR="00EB5D2E" w:rsidRPr="00EB5D2E" w:rsidRDefault="00986BA8" w:rsidP="00352605">
      <w:pPr>
        <w:pStyle w:val="Prrafodelista"/>
        <w:spacing w:after="0" w:line="240" w:lineRule="auto"/>
        <w:ind w:left="0"/>
        <w:jc w:val="both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7. </w:t>
      </w:r>
      <w:r w:rsidR="000343FB">
        <w:rPr>
          <w:rFonts w:ascii="Montserrat" w:hAnsi="Montserrat"/>
          <w:b/>
          <w:bCs/>
          <w:sz w:val="28"/>
          <w:szCs w:val="28"/>
        </w:rPr>
        <w:t>Presentaci</w:t>
      </w:r>
      <w:r w:rsidR="00092E0F">
        <w:rPr>
          <w:rFonts w:ascii="Montserrat" w:hAnsi="Montserrat"/>
          <w:b/>
          <w:bCs/>
          <w:sz w:val="28"/>
          <w:szCs w:val="28"/>
        </w:rPr>
        <w:t>ó</w:t>
      </w:r>
      <w:r w:rsidR="000343FB">
        <w:rPr>
          <w:rFonts w:ascii="Montserrat" w:hAnsi="Montserrat"/>
          <w:b/>
          <w:bCs/>
          <w:sz w:val="28"/>
          <w:szCs w:val="28"/>
        </w:rPr>
        <w:t>n por la persona Titular del Centro de los avances correspondientes al proceso de armonización normativa derivado de la implementación de la LGHCTI</w:t>
      </w:r>
    </w:p>
    <w:p w14:paraId="4B123861" w14:textId="77777777" w:rsidR="00EB5D2E" w:rsidRPr="00E34C67" w:rsidRDefault="00EB5D2E" w:rsidP="00EB5D2E">
      <w:pPr>
        <w:pStyle w:val="Prrafodelista"/>
        <w:spacing w:after="0"/>
        <w:ind w:left="0"/>
        <w:jc w:val="both"/>
        <w:rPr>
          <w:rFonts w:ascii="Montserrat" w:hAnsi="Montserrat"/>
          <w:b/>
          <w:bCs/>
        </w:rPr>
      </w:pPr>
    </w:p>
    <w:p w14:paraId="146ABABC" w14:textId="2BF0BA92" w:rsidR="002A66B8" w:rsidRDefault="001869E9" w:rsidP="00EB5D2E">
      <w:pPr>
        <w:spacing w:after="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 continuación</w:t>
      </w:r>
      <w:r w:rsidR="00401047">
        <w:rPr>
          <w:rFonts w:ascii="Montserrat" w:hAnsi="Montserrat"/>
        </w:rPr>
        <w:t>,</w:t>
      </w:r>
      <w:r>
        <w:rPr>
          <w:rFonts w:ascii="Montserrat" w:hAnsi="Montserrat"/>
        </w:rPr>
        <w:t xml:space="preserve"> se presentan </w:t>
      </w:r>
      <w:r w:rsidR="000E53A0">
        <w:rPr>
          <w:rFonts w:ascii="Montserrat" w:hAnsi="Montserrat"/>
        </w:rPr>
        <w:t xml:space="preserve">los </w:t>
      </w:r>
      <w:r>
        <w:rPr>
          <w:rFonts w:ascii="Montserrat" w:hAnsi="Montserrat"/>
        </w:rPr>
        <w:t>avances generales</w:t>
      </w:r>
      <w:r w:rsidR="000E53A0">
        <w:rPr>
          <w:rFonts w:ascii="Montserrat" w:hAnsi="Montserrat"/>
        </w:rPr>
        <w:t xml:space="preserve"> de</w:t>
      </w:r>
      <w:r w:rsidR="00DF52C4">
        <w:rPr>
          <w:rFonts w:ascii="Montserrat" w:hAnsi="Montserrat"/>
        </w:rPr>
        <w:t xml:space="preserve"> </w:t>
      </w:r>
      <w:r w:rsidR="000E53A0">
        <w:rPr>
          <w:rFonts w:ascii="Montserrat" w:hAnsi="Montserrat"/>
        </w:rPr>
        <w:t xml:space="preserve">ECOSUR en </w:t>
      </w:r>
      <w:r w:rsidR="007E02F8">
        <w:rPr>
          <w:rFonts w:ascii="Montserrat" w:hAnsi="Montserrat"/>
        </w:rPr>
        <w:t>los temas relacionados con la armonización normativa</w:t>
      </w:r>
      <w:r w:rsidR="004E7ACF">
        <w:rPr>
          <w:rFonts w:ascii="Montserrat" w:hAnsi="Montserrat"/>
        </w:rPr>
        <w:t xml:space="preserve"> con la LGHCTI</w:t>
      </w:r>
      <w:r w:rsidR="00EF7F2C">
        <w:rPr>
          <w:rFonts w:ascii="Montserrat" w:hAnsi="Montserrat"/>
        </w:rPr>
        <w:t>.</w:t>
      </w:r>
    </w:p>
    <w:p w14:paraId="75A46FA1" w14:textId="77777777" w:rsidR="00401047" w:rsidRDefault="00401047" w:rsidP="00EB5D2E">
      <w:pPr>
        <w:spacing w:after="0" w:line="276" w:lineRule="auto"/>
        <w:jc w:val="both"/>
        <w:rPr>
          <w:rFonts w:ascii="Montserrat" w:hAnsi="Montserrat"/>
        </w:rPr>
      </w:pPr>
    </w:p>
    <w:p w14:paraId="1017269D" w14:textId="0DB13C1E" w:rsidR="00F174A3" w:rsidRPr="00F174A3" w:rsidRDefault="009D6547" w:rsidP="00EB5D2E">
      <w:pPr>
        <w:spacing w:after="0" w:line="276" w:lineRule="auto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Asamblea</w:t>
      </w:r>
      <w:r w:rsidR="00F97B2B">
        <w:rPr>
          <w:rFonts w:ascii="Montserrat" w:hAnsi="Montserrat"/>
          <w:b/>
          <w:bCs/>
        </w:rPr>
        <w:t xml:space="preserve"> y</w:t>
      </w:r>
      <w:r>
        <w:rPr>
          <w:rFonts w:ascii="Montserrat" w:hAnsi="Montserrat"/>
          <w:b/>
          <w:bCs/>
        </w:rPr>
        <w:t xml:space="preserve"> </w:t>
      </w:r>
      <w:r w:rsidR="00F174A3" w:rsidRPr="00F174A3">
        <w:rPr>
          <w:rFonts w:ascii="Montserrat" w:hAnsi="Montserrat"/>
          <w:b/>
          <w:bCs/>
        </w:rPr>
        <w:t>Consejo Consultivo Interno (CGI)</w:t>
      </w:r>
      <w:r>
        <w:rPr>
          <w:rFonts w:ascii="Montserrat" w:hAnsi="Montserrat"/>
          <w:b/>
          <w:bCs/>
        </w:rPr>
        <w:t xml:space="preserve"> </w:t>
      </w:r>
    </w:p>
    <w:p w14:paraId="1CC65BC7" w14:textId="4023B884" w:rsidR="00F174A3" w:rsidRDefault="00567FDC" w:rsidP="00EB5D2E">
      <w:pPr>
        <w:spacing w:after="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Los días 22 y 23 de febrero de 2024, se realizó </w:t>
      </w:r>
      <w:r w:rsidR="00F622B6">
        <w:rPr>
          <w:rFonts w:ascii="Montserrat" w:hAnsi="Montserrat"/>
        </w:rPr>
        <w:t xml:space="preserve">la última sesión del Consejo Técnico Consultivo Interno (CTCI) de ECOSUR, </w:t>
      </w:r>
      <w:r w:rsidR="00320E8F">
        <w:rPr>
          <w:rFonts w:ascii="Montserrat" w:hAnsi="Montserrat"/>
        </w:rPr>
        <w:t>donde se tomó el siguiente Acuerdo:</w:t>
      </w:r>
    </w:p>
    <w:p w14:paraId="59CA8B19" w14:textId="77777777" w:rsidR="00F97B2B" w:rsidRDefault="00F97B2B" w:rsidP="00B57AC4">
      <w:pPr>
        <w:pStyle w:val="Default"/>
        <w:rPr>
          <w:b/>
          <w:bCs/>
          <w:color w:val="auto"/>
          <w:sz w:val="22"/>
          <w:szCs w:val="22"/>
        </w:rPr>
      </w:pPr>
    </w:p>
    <w:p w14:paraId="048F2303" w14:textId="635BF4C8" w:rsidR="00B57AC4" w:rsidRPr="000D3093" w:rsidRDefault="00B57AC4" w:rsidP="00B57AC4">
      <w:pPr>
        <w:pStyle w:val="Default"/>
        <w:rPr>
          <w:color w:val="auto"/>
          <w:sz w:val="22"/>
          <w:szCs w:val="22"/>
        </w:rPr>
      </w:pPr>
      <w:r w:rsidRPr="000D3093">
        <w:rPr>
          <w:color w:val="auto"/>
          <w:sz w:val="22"/>
          <w:szCs w:val="22"/>
        </w:rPr>
        <w:t xml:space="preserve">Acuerdo CTC-O-1-24-01 </w:t>
      </w:r>
    </w:p>
    <w:p w14:paraId="023ECA8A" w14:textId="77777777" w:rsidR="00B57AC4" w:rsidRPr="00B57AC4" w:rsidRDefault="00B57AC4" w:rsidP="00320E8F">
      <w:pPr>
        <w:pStyle w:val="Default"/>
        <w:numPr>
          <w:ilvl w:val="0"/>
          <w:numId w:val="2"/>
        </w:numPr>
        <w:ind w:left="567" w:hanging="284"/>
        <w:jc w:val="both"/>
        <w:rPr>
          <w:color w:val="auto"/>
          <w:sz w:val="23"/>
          <w:szCs w:val="23"/>
        </w:rPr>
      </w:pPr>
      <w:r w:rsidRPr="00B57AC4">
        <w:rPr>
          <w:color w:val="auto"/>
          <w:sz w:val="23"/>
          <w:szCs w:val="23"/>
        </w:rPr>
        <w:t xml:space="preserve">A partir de la creación de un Comité Académico, un Consejo Consultivo Interno y una Asamblea del personal de investigación, se disuelve el Consejo Técnico Consultivo Interno. </w:t>
      </w:r>
    </w:p>
    <w:p w14:paraId="3DECB632" w14:textId="77777777" w:rsidR="00B57AC4" w:rsidRPr="00B57AC4" w:rsidRDefault="00B57AC4" w:rsidP="00320E8F">
      <w:pPr>
        <w:pStyle w:val="Default"/>
        <w:numPr>
          <w:ilvl w:val="0"/>
          <w:numId w:val="2"/>
        </w:numPr>
        <w:ind w:left="567" w:hanging="284"/>
        <w:jc w:val="both"/>
        <w:rPr>
          <w:color w:val="auto"/>
          <w:sz w:val="23"/>
          <w:szCs w:val="23"/>
        </w:rPr>
      </w:pPr>
      <w:r w:rsidRPr="00B57AC4">
        <w:rPr>
          <w:color w:val="auto"/>
          <w:sz w:val="23"/>
          <w:szCs w:val="23"/>
        </w:rPr>
        <w:t xml:space="preserve">Se renueva un espacio de diálogo para las unidades a partir de la conformación de un Comité de las coordinaciones de unidad respaldado por la Coordinación de Desarrollo Organizacional. </w:t>
      </w:r>
    </w:p>
    <w:p w14:paraId="3D16807F" w14:textId="1508324E" w:rsidR="00B57AC4" w:rsidRPr="00B57AC4" w:rsidRDefault="00B57AC4" w:rsidP="00320E8F">
      <w:pPr>
        <w:pStyle w:val="Default"/>
        <w:numPr>
          <w:ilvl w:val="0"/>
          <w:numId w:val="2"/>
        </w:numPr>
        <w:ind w:left="567" w:hanging="284"/>
        <w:jc w:val="both"/>
        <w:rPr>
          <w:color w:val="auto"/>
          <w:sz w:val="23"/>
          <w:szCs w:val="23"/>
        </w:rPr>
      </w:pPr>
      <w:r w:rsidRPr="00B57AC4">
        <w:rPr>
          <w:color w:val="auto"/>
          <w:sz w:val="23"/>
          <w:szCs w:val="23"/>
        </w:rPr>
        <w:t xml:space="preserve">Se acotan las participaciones en el CCI a un periodo de 3 años correspondiente al periodo </w:t>
      </w:r>
      <w:r w:rsidR="00994869">
        <w:rPr>
          <w:color w:val="auto"/>
          <w:sz w:val="23"/>
          <w:szCs w:val="23"/>
        </w:rPr>
        <w:t xml:space="preserve">de gestión de </w:t>
      </w:r>
      <w:r w:rsidR="00AF6B00">
        <w:rPr>
          <w:color w:val="auto"/>
          <w:sz w:val="23"/>
          <w:szCs w:val="23"/>
        </w:rPr>
        <w:t>la Dirección General (</w:t>
      </w:r>
      <w:r w:rsidRPr="00B57AC4">
        <w:rPr>
          <w:color w:val="auto"/>
          <w:sz w:val="23"/>
          <w:szCs w:val="23"/>
        </w:rPr>
        <w:t>DG</w:t>
      </w:r>
      <w:r w:rsidR="00AF6B00">
        <w:rPr>
          <w:color w:val="auto"/>
          <w:sz w:val="23"/>
          <w:szCs w:val="23"/>
        </w:rPr>
        <w:t>)</w:t>
      </w:r>
      <w:r w:rsidRPr="00B57AC4">
        <w:rPr>
          <w:color w:val="auto"/>
          <w:sz w:val="23"/>
          <w:szCs w:val="23"/>
        </w:rPr>
        <w:t xml:space="preserve">. </w:t>
      </w:r>
    </w:p>
    <w:p w14:paraId="234C5AEF" w14:textId="464FFCA5" w:rsidR="00B57AC4" w:rsidRPr="00B57AC4" w:rsidRDefault="00B57AC4" w:rsidP="00320E8F">
      <w:pPr>
        <w:pStyle w:val="Default"/>
        <w:numPr>
          <w:ilvl w:val="0"/>
          <w:numId w:val="2"/>
        </w:numPr>
        <w:ind w:left="567" w:hanging="284"/>
        <w:jc w:val="both"/>
        <w:rPr>
          <w:color w:val="auto"/>
          <w:sz w:val="23"/>
          <w:szCs w:val="23"/>
        </w:rPr>
      </w:pPr>
      <w:r w:rsidRPr="00B57AC4">
        <w:rPr>
          <w:color w:val="auto"/>
          <w:sz w:val="23"/>
          <w:szCs w:val="23"/>
        </w:rPr>
        <w:t xml:space="preserve">La Dirección General convocará a </w:t>
      </w:r>
      <w:r w:rsidR="00240BCE">
        <w:rPr>
          <w:color w:val="auto"/>
          <w:sz w:val="23"/>
          <w:szCs w:val="23"/>
        </w:rPr>
        <w:t>las colectivas (</w:t>
      </w:r>
      <w:r w:rsidR="00F10BB4">
        <w:rPr>
          <w:color w:val="auto"/>
          <w:sz w:val="23"/>
          <w:szCs w:val="23"/>
        </w:rPr>
        <w:t>personal de investigación, personal técnico…) a</w:t>
      </w:r>
      <w:r w:rsidRPr="00B57AC4">
        <w:rPr>
          <w:color w:val="auto"/>
          <w:sz w:val="23"/>
          <w:szCs w:val="23"/>
        </w:rPr>
        <w:t xml:space="preserve"> nombrar a su(s) representante (s) en el CCI y cada área presentará su procedimiento de nombramiento. </w:t>
      </w:r>
    </w:p>
    <w:p w14:paraId="44791EA0" w14:textId="77777777" w:rsidR="00A629A8" w:rsidRDefault="00A629A8" w:rsidP="00EB5D2E">
      <w:pPr>
        <w:spacing w:after="0" w:line="276" w:lineRule="auto"/>
        <w:jc w:val="both"/>
        <w:rPr>
          <w:rFonts w:ascii="Montserrat" w:hAnsi="Montserrat"/>
        </w:rPr>
      </w:pPr>
    </w:p>
    <w:p w14:paraId="1EBCD83E" w14:textId="7B0A6D81" w:rsidR="00956D68" w:rsidRDefault="00A629A8" w:rsidP="00EB5D2E">
      <w:pPr>
        <w:spacing w:after="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seguimiento al Acuerdo, </w:t>
      </w:r>
      <w:r w:rsidR="00A74676">
        <w:rPr>
          <w:rFonts w:ascii="Montserrat" w:hAnsi="Montserrat"/>
        </w:rPr>
        <w:t xml:space="preserve">el 28 de febrero </w:t>
      </w:r>
      <w:r>
        <w:rPr>
          <w:rFonts w:ascii="Montserrat" w:hAnsi="Montserrat"/>
        </w:rPr>
        <w:t>la Dirección General convocó</w:t>
      </w:r>
      <w:r w:rsidR="00A74676">
        <w:rPr>
          <w:rFonts w:ascii="Montserrat" w:hAnsi="Montserrat"/>
        </w:rPr>
        <w:t xml:space="preserve"> a</w:t>
      </w:r>
      <w:r w:rsidR="001C0240">
        <w:rPr>
          <w:rFonts w:ascii="Montserrat" w:hAnsi="Montserrat"/>
        </w:rPr>
        <w:t xml:space="preserve">l personal académico </w:t>
      </w:r>
      <w:r w:rsidR="00C27908">
        <w:rPr>
          <w:rFonts w:ascii="Montserrat" w:hAnsi="Montserrat"/>
        </w:rPr>
        <w:t xml:space="preserve">a </w:t>
      </w:r>
      <w:r w:rsidR="004027BB">
        <w:rPr>
          <w:rFonts w:ascii="Montserrat" w:hAnsi="Montserrat"/>
        </w:rPr>
        <w:t>una sesión de información que debe</w:t>
      </w:r>
      <w:r w:rsidR="001C0240">
        <w:rPr>
          <w:rFonts w:ascii="Montserrat" w:hAnsi="Montserrat"/>
        </w:rPr>
        <w:t>rá</w:t>
      </w:r>
      <w:r w:rsidR="004027BB">
        <w:rPr>
          <w:rFonts w:ascii="Montserrat" w:hAnsi="Montserrat"/>
        </w:rPr>
        <w:t xml:space="preserve"> llevar a la conformación de </w:t>
      </w:r>
      <w:r w:rsidR="001144F8">
        <w:rPr>
          <w:rFonts w:ascii="Montserrat" w:hAnsi="Montserrat"/>
        </w:rPr>
        <w:t>la</w:t>
      </w:r>
      <w:r w:rsidR="00C27908">
        <w:rPr>
          <w:rFonts w:ascii="Montserrat" w:hAnsi="Montserrat"/>
        </w:rPr>
        <w:t xml:space="preserve"> Asamblea y</w:t>
      </w:r>
      <w:r w:rsidR="001065F0">
        <w:rPr>
          <w:rFonts w:ascii="Montserrat" w:hAnsi="Montserrat"/>
        </w:rPr>
        <w:t xml:space="preserve"> </w:t>
      </w:r>
      <w:r w:rsidR="004027BB">
        <w:rPr>
          <w:rFonts w:ascii="Montserrat" w:hAnsi="Montserrat"/>
        </w:rPr>
        <w:t xml:space="preserve">aportar elementos para la construcción del </w:t>
      </w:r>
      <w:r w:rsidR="001065F0">
        <w:rPr>
          <w:rFonts w:ascii="Montserrat" w:hAnsi="Montserrat"/>
        </w:rPr>
        <w:t>Consejo Consultivo Interno</w:t>
      </w:r>
      <w:r w:rsidR="004027BB">
        <w:rPr>
          <w:rFonts w:ascii="Montserrat" w:hAnsi="Montserrat"/>
        </w:rPr>
        <w:t xml:space="preserve"> (CCI)</w:t>
      </w:r>
      <w:r w:rsidR="001065F0">
        <w:rPr>
          <w:rFonts w:ascii="Montserrat" w:hAnsi="Montserrat"/>
        </w:rPr>
        <w:t xml:space="preserve">, de acuerdo </w:t>
      </w:r>
      <w:r w:rsidR="00D6256E">
        <w:rPr>
          <w:rFonts w:ascii="Montserrat" w:hAnsi="Montserrat"/>
        </w:rPr>
        <w:t xml:space="preserve">con </w:t>
      </w:r>
      <w:r w:rsidR="00F12E32">
        <w:rPr>
          <w:rFonts w:ascii="Montserrat" w:hAnsi="Montserrat"/>
        </w:rPr>
        <w:t>el artículo 92 de la LGHCTI</w:t>
      </w:r>
      <w:r w:rsidR="00951C9B">
        <w:rPr>
          <w:rFonts w:ascii="Montserrat" w:hAnsi="Montserrat"/>
        </w:rPr>
        <w:t>.</w:t>
      </w:r>
    </w:p>
    <w:p w14:paraId="1B53D035" w14:textId="77777777" w:rsidR="00D969BA" w:rsidRDefault="00D969BA" w:rsidP="00EB5D2E">
      <w:pPr>
        <w:spacing w:after="0" w:line="276" w:lineRule="auto"/>
        <w:jc w:val="both"/>
        <w:rPr>
          <w:rFonts w:ascii="Montserrat" w:hAnsi="Montserrat"/>
        </w:rPr>
      </w:pPr>
    </w:p>
    <w:p w14:paraId="4B9E6FBA" w14:textId="13FA1AA7" w:rsidR="004545A1" w:rsidRDefault="00E9317D" w:rsidP="00EB5D2E">
      <w:pPr>
        <w:spacing w:after="0" w:line="276" w:lineRule="auto"/>
        <w:jc w:val="both"/>
        <w:rPr>
          <w:rFonts w:ascii="Montserrat" w:eastAsia="Calibri" w:hAnsi="Montserrat" w:cs="Times New Roman"/>
        </w:rPr>
      </w:pPr>
      <w:r>
        <w:rPr>
          <w:rFonts w:ascii="Montserrat" w:hAnsi="Montserrat"/>
        </w:rPr>
        <w:t>Además de</w:t>
      </w:r>
      <w:r w:rsidR="00F406D9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plantear los objetivos de estos Órganos, recordó a la comunidad la consulta realizada en 2023 </w:t>
      </w:r>
      <w:r w:rsidR="00F406D9">
        <w:rPr>
          <w:rFonts w:ascii="Montserrat" w:hAnsi="Montserrat"/>
        </w:rPr>
        <w:t>como un primer paso de participación democrática</w:t>
      </w:r>
      <w:r w:rsidR="00711954">
        <w:rPr>
          <w:rFonts w:ascii="Montserrat" w:hAnsi="Montserrat"/>
        </w:rPr>
        <w:t xml:space="preserve"> y describió las características </w:t>
      </w:r>
      <w:r w:rsidR="001B1DF3">
        <w:rPr>
          <w:rFonts w:ascii="Montserrat" w:hAnsi="Montserrat"/>
        </w:rPr>
        <w:t>de una asamblea que son</w:t>
      </w:r>
      <w:r w:rsidR="001C0240">
        <w:rPr>
          <w:rFonts w:ascii="Montserrat" w:hAnsi="Montserrat"/>
        </w:rPr>
        <w:t>:</w:t>
      </w:r>
      <w:r w:rsidR="001B1DF3">
        <w:rPr>
          <w:rFonts w:ascii="Montserrat" w:hAnsi="Montserrat"/>
        </w:rPr>
        <w:t xml:space="preserve"> </w:t>
      </w:r>
      <w:r w:rsidR="005176EC">
        <w:rPr>
          <w:rFonts w:ascii="Montserrat" w:eastAsia="Calibri" w:hAnsi="Montserrat" w:cs="Times New Roman"/>
        </w:rPr>
        <w:t>tener</w:t>
      </w:r>
      <w:r w:rsidR="005176EC" w:rsidRPr="005176EC">
        <w:rPr>
          <w:rFonts w:ascii="Montserrat" w:eastAsia="Calibri" w:hAnsi="Montserrat" w:cs="Times New Roman"/>
        </w:rPr>
        <w:t xml:space="preserve"> representatividad de los diferentes sectores </w:t>
      </w:r>
      <w:r w:rsidR="00537A97">
        <w:rPr>
          <w:rFonts w:ascii="Montserrat" w:eastAsia="Calibri" w:hAnsi="Montserrat" w:cs="Times New Roman"/>
        </w:rPr>
        <w:t xml:space="preserve">que conforman </w:t>
      </w:r>
      <w:r w:rsidR="005176EC" w:rsidRPr="005176EC">
        <w:rPr>
          <w:rFonts w:ascii="Montserrat" w:eastAsia="Calibri" w:hAnsi="Montserrat" w:cs="Times New Roman"/>
        </w:rPr>
        <w:t xml:space="preserve"> la institución</w:t>
      </w:r>
      <w:r w:rsidR="005176EC">
        <w:rPr>
          <w:rFonts w:ascii="Montserrat" w:eastAsia="Calibri" w:hAnsi="Montserrat" w:cs="Times New Roman"/>
        </w:rPr>
        <w:t>;</w:t>
      </w:r>
      <w:r w:rsidR="005176EC" w:rsidRPr="005176EC">
        <w:rPr>
          <w:rFonts w:ascii="Montserrat" w:eastAsia="Calibri" w:hAnsi="Montserrat" w:cs="Times New Roman"/>
        </w:rPr>
        <w:t xml:space="preserve"> generar espacios de participación activa</w:t>
      </w:r>
      <w:r w:rsidR="005176EC">
        <w:rPr>
          <w:rFonts w:ascii="Montserrat" w:eastAsia="Calibri" w:hAnsi="Montserrat" w:cs="Times New Roman"/>
        </w:rPr>
        <w:t xml:space="preserve">: </w:t>
      </w:r>
      <w:r w:rsidR="005176EC" w:rsidRPr="005176EC">
        <w:rPr>
          <w:rFonts w:ascii="Montserrat" w:eastAsia="Calibri" w:hAnsi="Montserrat" w:cs="Times New Roman"/>
        </w:rPr>
        <w:t xml:space="preserve"> estar comprometid</w:t>
      </w:r>
      <w:r w:rsidR="005176EC">
        <w:rPr>
          <w:rFonts w:ascii="Montserrat" w:eastAsia="Calibri" w:hAnsi="Montserrat" w:cs="Times New Roman"/>
        </w:rPr>
        <w:t>a</w:t>
      </w:r>
      <w:r w:rsidR="005176EC" w:rsidRPr="005176EC">
        <w:rPr>
          <w:rFonts w:ascii="Montserrat" w:eastAsia="Calibri" w:hAnsi="Montserrat" w:cs="Times New Roman"/>
        </w:rPr>
        <w:t xml:space="preserve"> y participar activamente en la toma de decisiones en la construcción de propuestas; operar de manera transparente con procesos para la toma de decisiones y asignación de funciones, además de rendir cuentas a la comunidad académica </w:t>
      </w:r>
      <w:r w:rsidR="00433AAC">
        <w:rPr>
          <w:rFonts w:ascii="Montserrat" w:eastAsia="Calibri" w:hAnsi="Montserrat" w:cs="Times New Roman"/>
        </w:rPr>
        <w:t>y</w:t>
      </w:r>
      <w:r w:rsidR="005176EC" w:rsidRPr="005176EC">
        <w:rPr>
          <w:rFonts w:ascii="Montserrat" w:eastAsia="Calibri" w:hAnsi="Montserrat" w:cs="Times New Roman"/>
        </w:rPr>
        <w:t xml:space="preserve"> las autoridades pertinentes</w:t>
      </w:r>
      <w:r w:rsidR="00433AAC">
        <w:rPr>
          <w:rFonts w:ascii="Montserrat" w:eastAsia="Calibri" w:hAnsi="Montserrat" w:cs="Times New Roman"/>
        </w:rPr>
        <w:t>, así como</w:t>
      </w:r>
      <w:r w:rsidR="005176EC" w:rsidRPr="005176EC">
        <w:rPr>
          <w:rFonts w:ascii="Montserrat" w:eastAsia="Calibri" w:hAnsi="Montserrat" w:cs="Times New Roman"/>
        </w:rPr>
        <w:t xml:space="preserve"> promover la interdisciplinariedad.</w:t>
      </w:r>
    </w:p>
    <w:p w14:paraId="2CC9CBBE" w14:textId="77777777" w:rsidR="00461C33" w:rsidRDefault="00461C33" w:rsidP="00EB5D2E">
      <w:pPr>
        <w:spacing w:after="0" w:line="276" w:lineRule="auto"/>
        <w:jc w:val="both"/>
        <w:rPr>
          <w:rFonts w:ascii="Montserrat" w:eastAsia="Calibri" w:hAnsi="Montserrat" w:cs="Times New Roman"/>
        </w:rPr>
      </w:pPr>
    </w:p>
    <w:p w14:paraId="2B762530" w14:textId="77777777" w:rsidR="00F427B5" w:rsidRDefault="00F427B5" w:rsidP="00EB5D2E">
      <w:pPr>
        <w:spacing w:after="0" w:line="276" w:lineRule="auto"/>
        <w:jc w:val="both"/>
        <w:rPr>
          <w:rFonts w:ascii="Montserrat" w:eastAsia="Calibri" w:hAnsi="Montserrat" w:cs="Times New Roman"/>
        </w:rPr>
      </w:pPr>
    </w:p>
    <w:p w14:paraId="5C4F8168" w14:textId="77777777" w:rsidR="00F427B5" w:rsidRDefault="00F427B5" w:rsidP="00EB5D2E">
      <w:pPr>
        <w:spacing w:after="0" w:line="276" w:lineRule="auto"/>
        <w:jc w:val="both"/>
        <w:rPr>
          <w:rFonts w:ascii="Montserrat" w:eastAsia="Calibri" w:hAnsi="Montserrat" w:cs="Times New Roman"/>
        </w:rPr>
      </w:pPr>
    </w:p>
    <w:p w14:paraId="1F682C81" w14:textId="6E7D69C4" w:rsidR="00436E4D" w:rsidRDefault="00461C33" w:rsidP="00EB5D2E">
      <w:pPr>
        <w:spacing w:after="0" w:line="276" w:lineRule="auto"/>
        <w:jc w:val="both"/>
        <w:rPr>
          <w:rFonts w:ascii="Montserrat" w:eastAsia="Calibri" w:hAnsi="Montserrat" w:cs="Times New Roman"/>
        </w:rPr>
      </w:pPr>
      <w:r>
        <w:rPr>
          <w:rFonts w:ascii="Montserrat" w:eastAsia="Calibri" w:hAnsi="Montserrat" w:cs="Times New Roman"/>
        </w:rPr>
        <w:lastRenderedPageBreak/>
        <w:t xml:space="preserve">En cuanto al </w:t>
      </w:r>
      <w:r w:rsidRPr="001144F8">
        <w:rPr>
          <w:rFonts w:ascii="Montserrat" w:eastAsia="Calibri" w:hAnsi="Montserrat" w:cs="Times New Roman"/>
          <w:b/>
          <w:bCs/>
        </w:rPr>
        <w:t>Consejo Consultivo Interno</w:t>
      </w:r>
      <w:r>
        <w:rPr>
          <w:rFonts w:ascii="Montserrat" w:eastAsia="Calibri" w:hAnsi="Montserrat" w:cs="Times New Roman"/>
        </w:rPr>
        <w:t xml:space="preserve">, </w:t>
      </w:r>
      <w:r w:rsidR="00436E4D">
        <w:rPr>
          <w:rFonts w:ascii="Montserrat" w:eastAsia="Calibri" w:hAnsi="Montserrat" w:cs="Times New Roman"/>
        </w:rPr>
        <w:t>su objeto es</w:t>
      </w:r>
      <w:r w:rsidR="000D3093">
        <w:rPr>
          <w:rFonts w:ascii="Montserrat" w:eastAsia="Calibri" w:hAnsi="Montserrat" w:cs="Times New Roman"/>
        </w:rPr>
        <w:t>:</w:t>
      </w:r>
    </w:p>
    <w:p w14:paraId="5B5D15B5" w14:textId="77F8E7D8" w:rsidR="00B11281" w:rsidRPr="00B11281" w:rsidRDefault="00B11281" w:rsidP="00B1128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Montserrat" w:eastAsia="Calibri" w:hAnsi="Montserrat" w:cs="Times New Roman"/>
        </w:rPr>
      </w:pPr>
      <w:r w:rsidRPr="00B11281">
        <w:rPr>
          <w:rFonts w:ascii="Montserrat" w:eastAsia="Calibri" w:hAnsi="Montserrat" w:cs="Times New Roman"/>
        </w:rPr>
        <w:t xml:space="preserve">Opinar sobre los asuntos académicos, institucionales y laborales que le consulte la persona titular de la Dirección General. </w:t>
      </w:r>
    </w:p>
    <w:p w14:paraId="1D16AF80" w14:textId="77777777" w:rsidR="00B11281" w:rsidRPr="00B11281" w:rsidRDefault="00B11281" w:rsidP="00B11281">
      <w:pPr>
        <w:spacing w:after="0" w:line="276" w:lineRule="auto"/>
        <w:jc w:val="both"/>
        <w:rPr>
          <w:rFonts w:ascii="Montserrat" w:eastAsia="Calibri" w:hAnsi="Montserrat" w:cs="Times New Roman"/>
        </w:rPr>
      </w:pPr>
    </w:p>
    <w:p w14:paraId="27E9C370" w14:textId="711B4117" w:rsidR="00B11281" w:rsidRPr="00B11281" w:rsidRDefault="00B11281" w:rsidP="00B1128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Montserrat" w:eastAsia="Calibri" w:hAnsi="Montserrat" w:cs="Times New Roman"/>
        </w:rPr>
      </w:pPr>
      <w:r w:rsidRPr="00B11281">
        <w:rPr>
          <w:rFonts w:ascii="Montserrat" w:eastAsia="Calibri" w:hAnsi="Montserrat" w:cs="Times New Roman"/>
        </w:rPr>
        <w:t>Pod</w:t>
      </w:r>
      <w:r>
        <w:rPr>
          <w:rFonts w:ascii="Montserrat" w:eastAsia="Calibri" w:hAnsi="Montserrat" w:cs="Times New Roman"/>
        </w:rPr>
        <w:t>er</w:t>
      </w:r>
      <w:r w:rsidRPr="00B11281">
        <w:rPr>
          <w:rFonts w:ascii="Montserrat" w:eastAsia="Calibri" w:hAnsi="Montserrat" w:cs="Times New Roman"/>
        </w:rPr>
        <w:t xml:space="preserve"> opinar sobre los proyectos de Estatutos de Personal y los de Lineamientos de Estímulos, así como sobre sus reformas, con antelación a su presentación ante la Asamblea del Personal de Investigación Humanística y Científica, Desarrollo Tecnológico e Innovación, el Órgano de Gobierno y de conformidad con la normativa aplicable.</w:t>
      </w:r>
    </w:p>
    <w:p w14:paraId="697637A5" w14:textId="77777777" w:rsidR="000D3093" w:rsidRDefault="000D3093" w:rsidP="00EB5D2E">
      <w:pPr>
        <w:spacing w:after="0" w:line="276" w:lineRule="auto"/>
        <w:jc w:val="both"/>
        <w:rPr>
          <w:rFonts w:ascii="Montserrat" w:eastAsia="Calibri" w:hAnsi="Montserrat" w:cs="Times New Roman"/>
        </w:rPr>
      </w:pPr>
    </w:p>
    <w:p w14:paraId="1E260326" w14:textId="77777777" w:rsidR="0009730F" w:rsidRDefault="000105F1" w:rsidP="00EB5D2E">
      <w:pPr>
        <w:spacing w:after="0" w:line="276" w:lineRule="auto"/>
        <w:jc w:val="both"/>
        <w:rPr>
          <w:rFonts w:ascii="Montserrat" w:eastAsia="Calibri" w:hAnsi="Montserrat" w:cs="Times New Roman"/>
        </w:rPr>
      </w:pPr>
      <w:r>
        <w:rPr>
          <w:rFonts w:ascii="Montserrat" w:eastAsia="Calibri" w:hAnsi="Montserrat" w:cs="Times New Roman"/>
        </w:rPr>
        <w:t>E</w:t>
      </w:r>
      <w:r w:rsidR="00B11281">
        <w:rPr>
          <w:rFonts w:ascii="Montserrat" w:eastAsia="Calibri" w:hAnsi="Montserrat" w:cs="Times New Roman"/>
        </w:rPr>
        <w:t xml:space="preserve">n ECOSUR, </w:t>
      </w:r>
      <w:r>
        <w:rPr>
          <w:rFonts w:ascii="Montserrat" w:eastAsia="Calibri" w:hAnsi="Montserrat" w:cs="Times New Roman"/>
        </w:rPr>
        <w:t>s</w:t>
      </w:r>
      <w:r w:rsidR="00461C33">
        <w:rPr>
          <w:rFonts w:ascii="Montserrat" w:eastAsia="Calibri" w:hAnsi="Montserrat" w:cs="Times New Roman"/>
        </w:rPr>
        <w:t xml:space="preserve">e </w:t>
      </w:r>
      <w:r w:rsidR="00061FE5">
        <w:rPr>
          <w:rFonts w:ascii="Montserrat" w:eastAsia="Calibri" w:hAnsi="Montserrat" w:cs="Times New Roman"/>
        </w:rPr>
        <w:t>diseñó este Órgano con 14 miembros</w:t>
      </w:r>
      <w:r w:rsidR="000D3093">
        <w:rPr>
          <w:rFonts w:ascii="Montserrat" w:eastAsia="Calibri" w:hAnsi="Montserrat" w:cs="Times New Roman"/>
        </w:rPr>
        <w:t xml:space="preserve">, de acuerdo </w:t>
      </w:r>
      <w:r w:rsidR="00AF4724">
        <w:rPr>
          <w:rFonts w:ascii="Montserrat" w:eastAsia="Calibri" w:hAnsi="Montserrat" w:cs="Times New Roman"/>
        </w:rPr>
        <w:t>con</w:t>
      </w:r>
      <w:r w:rsidR="000D3093">
        <w:rPr>
          <w:rFonts w:ascii="Montserrat" w:eastAsia="Calibri" w:hAnsi="Montserrat" w:cs="Times New Roman"/>
        </w:rPr>
        <w:t xml:space="preserve"> la propuesta de Reglamento enviado a la Unidad de Articulación Sectorial y Regional del CONAHCYT</w:t>
      </w:r>
      <w:r w:rsidR="00AF4724">
        <w:rPr>
          <w:rFonts w:ascii="Montserrat" w:eastAsia="Calibri" w:hAnsi="Montserrat" w:cs="Times New Roman"/>
        </w:rPr>
        <w:t xml:space="preserve">. De estas 14 personas, la </w:t>
      </w:r>
      <w:r w:rsidR="00061FE5">
        <w:rPr>
          <w:rFonts w:ascii="Montserrat" w:eastAsia="Calibri" w:hAnsi="Montserrat" w:cs="Times New Roman"/>
        </w:rPr>
        <w:t xml:space="preserve">mitad </w:t>
      </w:r>
      <w:r w:rsidR="00AF4724">
        <w:rPr>
          <w:rFonts w:ascii="Montserrat" w:eastAsia="Calibri" w:hAnsi="Montserrat" w:cs="Times New Roman"/>
        </w:rPr>
        <w:t>son</w:t>
      </w:r>
      <w:r w:rsidR="00BA5D98">
        <w:rPr>
          <w:rFonts w:ascii="Montserrat" w:eastAsia="Calibri" w:hAnsi="Montserrat" w:cs="Times New Roman"/>
        </w:rPr>
        <w:t xml:space="preserve"> nombradas por la Dirección General</w:t>
      </w:r>
      <w:r w:rsidR="0009730F">
        <w:rPr>
          <w:rFonts w:ascii="Montserrat" w:eastAsia="Calibri" w:hAnsi="Montserrat" w:cs="Times New Roman"/>
        </w:rPr>
        <w:t xml:space="preserve">: </w:t>
      </w:r>
      <w:r w:rsidR="007749E6" w:rsidRPr="007749E6">
        <w:rPr>
          <w:rFonts w:ascii="Montserrat" w:eastAsia="Calibri" w:hAnsi="Montserrat" w:cs="Times New Roman"/>
        </w:rPr>
        <w:t xml:space="preserve">la Dirección de Administración, la Coordinación General Académica, la Coordinación General de Vinculación, la Coordinación General de Posgrado, la Coordinación General de Articulación y fortalecimiento Institucional, </w:t>
      </w:r>
      <w:r w:rsidR="007749E6">
        <w:rPr>
          <w:rFonts w:ascii="Montserrat" w:eastAsia="Calibri" w:hAnsi="Montserrat" w:cs="Times New Roman"/>
        </w:rPr>
        <w:t xml:space="preserve">una persona </w:t>
      </w:r>
      <w:r w:rsidR="007749E6" w:rsidRPr="007749E6">
        <w:rPr>
          <w:rFonts w:ascii="Montserrat" w:eastAsia="Calibri" w:hAnsi="Montserrat" w:cs="Times New Roman"/>
        </w:rPr>
        <w:t xml:space="preserve">representante de las coordinaciones de las cinco unidades, y </w:t>
      </w:r>
      <w:r w:rsidR="007749E6">
        <w:rPr>
          <w:rFonts w:ascii="Montserrat" w:eastAsia="Calibri" w:hAnsi="Montserrat" w:cs="Times New Roman"/>
        </w:rPr>
        <w:t xml:space="preserve">una persona </w:t>
      </w:r>
      <w:r w:rsidR="007749E6" w:rsidRPr="007749E6">
        <w:rPr>
          <w:rFonts w:ascii="Montserrat" w:eastAsia="Calibri" w:hAnsi="Montserrat" w:cs="Times New Roman"/>
        </w:rPr>
        <w:t>representante de las coordinaciones de departamento.</w:t>
      </w:r>
      <w:r w:rsidR="007749E6">
        <w:rPr>
          <w:rFonts w:ascii="Montserrat" w:eastAsia="Calibri" w:hAnsi="Montserrat" w:cs="Times New Roman"/>
        </w:rPr>
        <w:t xml:space="preserve"> </w:t>
      </w:r>
    </w:p>
    <w:p w14:paraId="2799A7E3" w14:textId="77777777" w:rsidR="0009730F" w:rsidRDefault="0009730F" w:rsidP="00EB5D2E">
      <w:pPr>
        <w:spacing w:after="0" w:line="276" w:lineRule="auto"/>
        <w:jc w:val="both"/>
        <w:rPr>
          <w:rFonts w:ascii="Montserrat" w:eastAsia="Calibri" w:hAnsi="Montserrat" w:cs="Times New Roman"/>
        </w:rPr>
      </w:pPr>
    </w:p>
    <w:p w14:paraId="36BD7C0A" w14:textId="125A5511" w:rsidR="00E04070" w:rsidRDefault="007749E6" w:rsidP="00EB5D2E">
      <w:pPr>
        <w:spacing w:after="0" w:line="276" w:lineRule="auto"/>
        <w:jc w:val="both"/>
        <w:rPr>
          <w:rFonts w:ascii="Montserrat" w:eastAsia="Calibri" w:hAnsi="Montserrat" w:cs="Times New Roman"/>
        </w:rPr>
      </w:pPr>
      <w:r>
        <w:rPr>
          <w:rFonts w:ascii="Montserrat" w:eastAsia="Calibri" w:hAnsi="Montserrat" w:cs="Times New Roman"/>
        </w:rPr>
        <w:t xml:space="preserve">La asamblea es quien debe </w:t>
      </w:r>
      <w:r w:rsidR="001C0240">
        <w:rPr>
          <w:rFonts w:ascii="Montserrat" w:eastAsia="Calibri" w:hAnsi="Montserrat" w:cs="Times New Roman"/>
        </w:rPr>
        <w:t>nombrar a las demás siete personas</w:t>
      </w:r>
      <w:r w:rsidR="006137D0">
        <w:rPr>
          <w:rFonts w:ascii="Montserrat" w:eastAsia="Calibri" w:hAnsi="Montserrat" w:cs="Times New Roman"/>
        </w:rPr>
        <w:t xml:space="preserve">, tomando en cuenta una representatividad de </w:t>
      </w:r>
      <w:r w:rsidR="009C787E">
        <w:rPr>
          <w:rFonts w:ascii="Montserrat" w:eastAsia="Calibri" w:hAnsi="Montserrat" w:cs="Times New Roman"/>
        </w:rPr>
        <w:t>todos los Departamentos y las Unidades</w:t>
      </w:r>
      <w:r w:rsidR="000D47EE">
        <w:rPr>
          <w:rFonts w:ascii="Montserrat" w:eastAsia="Calibri" w:hAnsi="Montserrat" w:cs="Times New Roman"/>
        </w:rPr>
        <w:t xml:space="preserve">, así como la </w:t>
      </w:r>
      <w:r w:rsidR="00F6265F">
        <w:rPr>
          <w:rFonts w:ascii="Montserrat" w:eastAsia="Calibri" w:hAnsi="Montserrat" w:cs="Times New Roman"/>
        </w:rPr>
        <w:t xml:space="preserve">paridad de género. La propuesta de Reglamento incluye, además de la </w:t>
      </w:r>
      <w:r w:rsidR="00F6265F">
        <w:rPr>
          <w:rFonts w:ascii="Montserrat" w:hAnsi="Montserrat"/>
        </w:rPr>
        <w:t>integración de 14 personas, sus atribuciones no delegables y su forma de organización</w:t>
      </w:r>
      <w:r w:rsidR="00D15574">
        <w:rPr>
          <w:rFonts w:ascii="Montserrat" w:hAnsi="Montserrat"/>
        </w:rPr>
        <w:t>.</w:t>
      </w:r>
    </w:p>
    <w:p w14:paraId="0B3EBF6B" w14:textId="77777777" w:rsidR="00096CCA" w:rsidRDefault="00096CCA" w:rsidP="00EB5D2E">
      <w:pPr>
        <w:spacing w:after="0" w:line="276" w:lineRule="auto"/>
        <w:jc w:val="both"/>
        <w:rPr>
          <w:rFonts w:ascii="Montserrat" w:eastAsia="Calibri" w:hAnsi="Montserrat" w:cs="Times New Roman"/>
        </w:rPr>
      </w:pPr>
    </w:p>
    <w:p w14:paraId="640964DA" w14:textId="0508A547" w:rsidR="00096CCA" w:rsidRDefault="00D13018" w:rsidP="00EB5D2E">
      <w:pPr>
        <w:spacing w:after="0" w:line="276" w:lineRule="auto"/>
        <w:jc w:val="both"/>
        <w:rPr>
          <w:rFonts w:ascii="Montserrat" w:eastAsia="Calibri" w:hAnsi="Montserrat" w:cs="Times New Roman"/>
        </w:rPr>
      </w:pPr>
      <w:r>
        <w:rPr>
          <w:rFonts w:ascii="Montserrat" w:eastAsia="Calibri" w:hAnsi="Montserrat" w:cs="Times New Roman"/>
        </w:rPr>
        <w:t>Al finalizar la discusión, s</w:t>
      </w:r>
      <w:r w:rsidR="00096CCA">
        <w:rPr>
          <w:rFonts w:ascii="Montserrat" w:eastAsia="Calibri" w:hAnsi="Montserrat" w:cs="Times New Roman"/>
        </w:rPr>
        <w:t>e tomaron los siguientes Acuerdos:</w:t>
      </w:r>
    </w:p>
    <w:p w14:paraId="06A330B9" w14:textId="77777777" w:rsidR="008A40BD" w:rsidRPr="008A40BD" w:rsidRDefault="008A40BD" w:rsidP="008A40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Montserrat" w:eastAsia="Calibri" w:hAnsi="Montserrat" w:cs="Times New Roman"/>
        </w:rPr>
      </w:pPr>
      <w:r w:rsidRPr="008A40BD">
        <w:rPr>
          <w:rFonts w:ascii="Montserrat" w:eastAsia="Calibri" w:hAnsi="Montserrat" w:cs="Times New Roman"/>
        </w:rPr>
        <w:t>El personal de la comunidad que participe será seleccionado por la misma comunidad a través de las formas que crean convenientes para la instalación de la Asamblea.</w:t>
      </w:r>
    </w:p>
    <w:p w14:paraId="3D90E5F9" w14:textId="48106DFE" w:rsidR="008A40BD" w:rsidRPr="008A40BD" w:rsidRDefault="008A40BD" w:rsidP="008A40BD">
      <w:pPr>
        <w:numPr>
          <w:ilvl w:val="0"/>
          <w:numId w:val="3"/>
        </w:numPr>
        <w:spacing w:after="0" w:line="240" w:lineRule="auto"/>
        <w:contextualSpacing/>
        <w:rPr>
          <w:rFonts w:ascii="Montserrat" w:eastAsia="Calibri" w:hAnsi="Montserrat" w:cs="Times New Roman"/>
        </w:rPr>
      </w:pPr>
      <w:r w:rsidRPr="008A40BD">
        <w:rPr>
          <w:rFonts w:ascii="Montserrat" w:eastAsia="Calibri" w:hAnsi="Montserrat" w:cs="Times New Roman"/>
        </w:rPr>
        <w:t>El grupo de estudios de Género hará una propuesta para lograr la paridad en la creación del Consejo Consultivo Interno</w:t>
      </w:r>
      <w:r w:rsidR="00AF6B00">
        <w:rPr>
          <w:rFonts w:ascii="Montserrat" w:eastAsia="Calibri" w:hAnsi="Montserrat" w:cs="Times New Roman"/>
        </w:rPr>
        <w:t>, la cual será revisa</w:t>
      </w:r>
      <w:r w:rsidR="00F20414">
        <w:rPr>
          <w:rFonts w:ascii="Montserrat" w:eastAsia="Calibri" w:hAnsi="Montserrat" w:cs="Times New Roman"/>
        </w:rPr>
        <w:t>da por la Unidad de Igualdad de Género e Inclu</w:t>
      </w:r>
      <w:r w:rsidR="006E29E3">
        <w:rPr>
          <w:rFonts w:ascii="Montserrat" w:eastAsia="Calibri" w:hAnsi="Montserrat" w:cs="Times New Roman"/>
        </w:rPr>
        <w:t>sión</w:t>
      </w:r>
      <w:r w:rsidRPr="008A40BD">
        <w:rPr>
          <w:rFonts w:ascii="Montserrat" w:eastAsia="Calibri" w:hAnsi="Montserrat" w:cs="Times New Roman"/>
        </w:rPr>
        <w:t>.</w:t>
      </w:r>
    </w:p>
    <w:p w14:paraId="72DABD74" w14:textId="77777777" w:rsidR="004711BF" w:rsidRDefault="004711BF" w:rsidP="00EB5D2E">
      <w:pPr>
        <w:spacing w:after="0" w:line="276" w:lineRule="auto"/>
        <w:jc w:val="both"/>
        <w:rPr>
          <w:rFonts w:ascii="Montserrat" w:hAnsi="Montserrat"/>
        </w:rPr>
      </w:pPr>
    </w:p>
    <w:p w14:paraId="019D4828" w14:textId="5E1EFD6D" w:rsidR="00096CCA" w:rsidRPr="00096CCA" w:rsidRDefault="00096CCA" w:rsidP="00EB5D2E">
      <w:pPr>
        <w:spacing w:after="0" w:line="276" w:lineRule="auto"/>
        <w:jc w:val="both"/>
        <w:rPr>
          <w:rFonts w:ascii="Montserrat" w:hAnsi="Montserrat"/>
          <w:b/>
          <w:bCs/>
        </w:rPr>
      </w:pPr>
      <w:r w:rsidRPr="00096CCA">
        <w:rPr>
          <w:rFonts w:ascii="Montserrat" w:hAnsi="Montserrat"/>
          <w:b/>
          <w:bCs/>
        </w:rPr>
        <w:t>Estatuto del Personal Académico</w:t>
      </w:r>
      <w:r w:rsidR="00166976">
        <w:rPr>
          <w:rFonts w:ascii="Montserrat" w:hAnsi="Montserrat"/>
          <w:b/>
          <w:bCs/>
        </w:rPr>
        <w:t xml:space="preserve"> (EPA)</w:t>
      </w:r>
    </w:p>
    <w:p w14:paraId="4206238D" w14:textId="0DA14448" w:rsidR="00372B08" w:rsidRPr="00372B08" w:rsidRDefault="00CC773A" w:rsidP="00372B08">
      <w:pPr>
        <w:jc w:val="both"/>
        <w:rPr>
          <w:rFonts w:ascii="Montserrat" w:eastAsia="Calibri" w:hAnsi="Montserrat" w:cs="Times New Roman"/>
        </w:rPr>
      </w:pPr>
      <w:r>
        <w:rPr>
          <w:rFonts w:ascii="Montserrat" w:hAnsi="Montserrat"/>
        </w:rPr>
        <w:t xml:space="preserve">En esta misma reunión del 28 de febrero, se </w:t>
      </w:r>
      <w:r w:rsidR="00372B08">
        <w:rPr>
          <w:rFonts w:ascii="Montserrat" w:hAnsi="Montserrat"/>
        </w:rPr>
        <w:t>reiteró</w:t>
      </w:r>
      <w:r>
        <w:rPr>
          <w:rFonts w:ascii="Montserrat" w:hAnsi="Montserrat"/>
        </w:rPr>
        <w:t xml:space="preserve"> la necesidad de actualizar </w:t>
      </w:r>
      <w:r w:rsidR="00166976">
        <w:rPr>
          <w:rFonts w:ascii="Montserrat" w:hAnsi="Montserrat"/>
        </w:rPr>
        <w:t>el EPA</w:t>
      </w:r>
      <w:r w:rsidR="00372B08">
        <w:rPr>
          <w:rFonts w:ascii="Montserrat" w:hAnsi="Montserrat"/>
        </w:rPr>
        <w:t xml:space="preserve">, </w:t>
      </w:r>
      <w:r w:rsidR="00372B08" w:rsidRPr="00372B08">
        <w:rPr>
          <w:rFonts w:ascii="Montserrat" w:eastAsia="Calibri" w:hAnsi="Montserrat" w:cs="Times New Roman"/>
        </w:rPr>
        <w:t>mejorar las disposiciones que rigen los derechos, compromisos y responsabilidades de la comunidad académica en ECOSUR, buscar establecer una cultura de respeto</w:t>
      </w:r>
      <w:r w:rsidR="00C91A04">
        <w:rPr>
          <w:rFonts w:ascii="Montserrat" w:eastAsia="Calibri" w:hAnsi="Montserrat" w:cs="Times New Roman"/>
        </w:rPr>
        <w:t>,</w:t>
      </w:r>
      <w:r w:rsidR="00372B08" w:rsidRPr="00372B08">
        <w:rPr>
          <w:rFonts w:ascii="Montserrat" w:eastAsia="Calibri" w:hAnsi="Montserrat" w:cs="Times New Roman"/>
        </w:rPr>
        <w:t xml:space="preserve"> inclusión e Igualdad para todas las personas, garantizando la transparencia en los procesos de contratación, evaluación, promoción, permanencia y jubilación. Adaptar el EPA a las necesidades cambiantes de la institución y la comunidad académica considerando prácticas innovadoras y mejores estándares internacionales, y alinear las normas del </w:t>
      </w:r>
      <w:r w:rsidR="00372B08" w:rsidRPr="00372B08">
        <w:rPr>
          <w:rFonts w:ascii="Montserrat" w:eastAsia="Calibri" w:hAnsi="Montserrat" w:cs="Times New Roman"/>
        </w:rPr>
        <w:lastRenderedPageBreak/>
        <w:t>documento a las modificaciones legales recientes y el nuevo entorno regulatorio federal.</w:t>
      </w:r>
    </w:p>
    <w:p w14:paraId="62DCBEF5" w14:textId="7AC1273D" w:rsidR="00897005" w:rsidRPr="00897005" w:rsidRDefault="00586A87" w:rsidP="00897005">
      <w:pPr>
        <w:spacing w:after="0" w:line="300" w:lineRule="atLeast"/>
        <w:jc w:val="both"/>
        <w:rPr>
          <w:rFonts w:ascii="Montserrat" w:eastAsia="Calibri" w:hAnsi="Montserrat" w:cs="Times New Roman"/>
        </w:rPr>
      </w:pPr>
      <w:r>
        <w:rPr>
          <w:rFonts w:ascii="Montserrat" w:hAnsi="Montserrat"/>
        </w:rPr>
        <w:t>Se informó a la comunidad sobre la creación de una plataforma en línea</w:t>
      </w:r>
      <w:r w:rsidR="009A181D">
        <w:rPr>
          <w:rFonts w:ascii="Montserrat" w:hAnsi="Montserrat"/>
        </w:rPr>
        <w:t xml:space="preserve">, un micrositio </w:t>
      </w:r>
      <w:r w:rsidR="00897005">
        <w:rPr>
          <w:rFonts w:ascii="Montserrat" w:eastAsia="Calibri" w:hAnsi="Montserrat" w:cs="Times New Roman"/>
        </w:rPr>
        <w:t>que ofrece</w:t>
      </w:r>
      <w:r w:rsidR="00897005" w:rsidRPr="00897005">
        <w:rPr>
          <w:rFonts w:ascii="Montserrat" w:eastAsia="Calibri" w:hAnsi="Montserrat" w:cs="Times New Roman"/>
        </w:rPr>
        <w:t xml:space="preserve"> una guía de procedimientos </w:t>
      </w:r>
      <w:r w:rsidR="007D7DE9">
        <w:rPr>
          <w:rFonts w:ascii="Montserrat" w:eastAsia="Calibri" w:hAnsi="Montserrat" w:cs="Times New Roman"/>
        </w:rPr>
        <w:t>para</w:t>
      </w:r>
      <w:r w:rsidR="00897005" w:rsidRPr="00897005">
        <w:rPr>
          <w:rFonts w:ascii="Montserrat" w:eastAsia="Calibri" w:hAnsi="Montserrat" w:cs="Times New Roman"/>
        </w:rPr>
        <w:t xml:space="preserve"> participar en la revisión y propuesta de mejora del EPA. </w:t>
      </w:r>
      <w:r w:rsidR="007D7DE9">
        <w:rPr>
          <w:rFonts w:ascii="Montserrat" w:eastAsia="Calibri" w:hAnsi="Montserrat" w:cs="Times New Roman"/>
        </w:rPr>
        <w:t>Se solicitó al personal revisar el EPA</w:t>
      </w:r>
      <w:r w:rsidR="00194F82">
        <w:rPr>
          <w:rFonts w:ascii="Montserrat" w:eastAsia="Calibri" w:hAnsi="Montserrat" w:cs="Times New Roman"/>
        </w:rPr>
        <w:t xml:space="preserve"> de preferencia</w:t>
      </w:r>
      <w:r w:rsidR="007D7DE9">
        <w:rPr>
          <w:rFonts w:ascii="Montserrat" w:eastAsia="Calibri" w:hAnsi="Montserrat" w:cs="Times New Roman"/>
        </w:rPr>
        <w:t xml:space="preserve"> </w:t>
      </w:r>
      <w:r w:rsidR="00194F82">
        <w:rPr>
          <w:rFonts w:ascii="Montserrat" w:eastAsia="Calibri" w:hAnsi="Montserrat" w:cs="Times New Roman"/>
        </w:rPr>
        <w:t>de forma colaborativa</w:t>
      </w:r>
      <w:r w:rsidR="00C45147">
        <w:rPr>
          <w:rFonts w:ascii="Montserrat" w:eastAsia="Calibri" w:hAnsi="Montserrat" w:cs="Times New Roman"/>
        </w:rPr>
        <w:t xml:space="preserve">, para después sistematizar las respuestas y conformar un grupo representativo para analizar </w:t>
      </w:r>
      <w:r w:rsidR="00C603CA">
        <w:rPr>
          <w:rFonts w:ascii="Montserrat" w:eastAsia="Calibri" w:hAnsi="Montserrat" w:cs="Times New Roman"/>
        </w:rPr>
        <w:t>los resultados y realizar una propuesta de EPA</w:t>
      </w:r>
      <w:r w:rsidR="001A70A8">
        <w:rPr>
          <w:rFonts w:ascii="Montserrat" w:eastAsia="Calibri" w:hAnsi="Montserrat" w:cs="Times New Roman"/>
        </w:rPr>
        <w:t xml:space="preserve"> que se someterá a la Asamblea</w:t>
      </w:r>
      <w:r w:rsidR="00C603CA">
        <w:rPr>
          <w:rFonts w:ascii="Montserrat" w:eastAsia="Calibri" w:hAnsi="Montserrat" w:cs="Times New Roman"/>
        </w:rPr>
        <w:t>.</w:t>
      </w:r>
    </w:p>
    <w:p w14:paraId="50AD1EA0" w14:textId="77777777" w:rsidR="00096CCA" w:rsidRDefault="00096CCA" w:rsidP="00EB5D2E">
      <w:pPr>
        <w:spacing w:after="0" w:line="276" w:lineRule="auto"/>
        <w:jc w:val="both"/>
        <w:rPr>
          <w:rFonts w:ascii="Montserrat" w:hAnsi="Montserrat"/>
        </w:rPr>
      </w:pPr>
    </w:p>
    <w:p w14:paraId="6C0A0126" w14:textId="77777777" w:rsidR="00545D50" w:rsidRDefault="00545D50" w:rsidP="00545D50">
      <w:pPr>
        <w:spacing w:after="0" w:line="276" w:lineRule="auto"/>
        <w:jc w:val="both"/>
        <w:rPr>
          <w:rFonts w:ascii="Montserrat" w:eastAsia="Calibri" w:hAnsi="Montserrat" w:cs="Times New Roman"/>
        </w:rPr>
      </w:pPr>
      <w:r>
        <w:rPr>
          <w:rFonts w:ascii="Montserrat" w:eastAsia="Calibri" w:hAnsi="Montserrat" w:cs="Times New Roman"/>
        </w:rPr>
        <w:t>Al finalizar la discusión, se tomó el siguiente Acuerdo:</w:t>
      </w:r>
    </w:p>
    <w:p w14:paraId="56DB014B" w14:textId="625B8356" w:rsidR="00545D50" w:rsidRPr="008A40BD" w:rsidRDefault="00545D50" w:rsidP="00545D5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Montserrat" w:eastAsia="Calibri" w:hAnsi="Montserrat" w:cs="Times New Roman"/>
        </w:rPr>
      </w:pPr>
      <w:r w:rsidRPr="008A40BD">
        <w:rPr>
          <w:rFonts w:ascii="Montserrat" w:eastAsia="Calibri" w:hAnsi="Montserrat" w:cs="Times New Roman"/>
        </w:rPr>
        <w:t>La Dirección General a través de la Coordinación de Desarrollo Organizaci</w:t>
      </w:r>
      <w:r>
        <w:rPr>
          <w:rFonts w:ascii="Montserrat" w:eastAsia="Calibri" w:hAnsi="Montserrat" w:cs="Times New Roman"/>
        </w:rPr>
        <w:t xml:space="preserve">onal </w:t>
      </w:r>
      <w:r w:rsidRPr="008A40BD">
        <w:rPr>
          <w:rFonts w:ascii="Montserrat" w:eastAsia="Calibri" w:hAnsi="Montserrat" w:cs="Times New Roman"/>
        </w:rPr>
        <w:t xml:space="preserve">emitirá una consulta pública a nivel de colectivos e individual para participar en un formato en línea para </w:t>
      </w:r>
      <w:r>
        <w:rPr>
          <w:rFonts w:ascii="Montserrat" w:eastAsia="Calibri" w:hAnsi="Montserrat" w:cs="Times New Roman"/>
        </w:rPr>
        <w:t xml:space="preserve">envío de propuestas </w:t>
      </w:r>
      <w:r w:rsidRPr="008A40BD">
        <w:rPr>
          <w:rFonts w:ascii="Montserrat" w:eastAsia="Calibri" w:hAnsi="Montserrat" w:cs="Times New Roman"/>
        </w:rPr>
        <w:t>de elementos de creación y ajustes de</w:t>
      </w:r>
      <w:r>
        <w:rPr>
          <w:rFonts w:ascii="Montserrat" w:eastAsia="Calibri" w:hAnsi="Montserrat" w:cs="Times New Roman"/>
        </w:rPr>
        <w:t xml:space="preserve"> artículos de</w:t>
      </w:r>
      <w:r w:rsidRPr="008A40BD">
        <w:rPr>
          <w:rFonts w:ascii="Montserrat" w:eastAsia="Calibri" w:hAnsi="Montserrat" w:cs="Times New Roman"/>
        </w:rPr>
        <w:t>l E</w:t>
      </w:r>
      <w:r>
        <w:rPr>
          <w:rFonts w:ascii="Montserrat" w:eastAsia="Calibri" w:hAnsi="Montserrat" w:cs="Times New Roman"/>
        </w:rPr>
        <w:t xml:space="preserve">statuto del </w:t>
      </w:r>
      <w:r w:rsidRPr="008A40BD">
        <w:rPr>
          <w:rFonts w:ascii="Montserrat" w:eastAsia="Calibri" w:hAnsi="Montserrat" w:cs="Times New Roman"/>
        </w:rPr>
        <w:t>P</w:t>
      </w:r>
      <w:r>
        <w:rPr>
          <w:rFonts w:ascii="Montserrat" w:eastAsia="Calibri" w:hAnsi="Montserrat" w:cs="Times New Roman"/>
        </w:rPr>
        <w:t xml:space="preserve">ersonal </w:t>
      </w:r>
      <w:r w:rsidRPr="008A40BD">
        <w:rPr>
          <w:rFonts w:ascii="Montserrat" w:eastAsia="Calibri" w:hAnsi="Montserrat" w:cs="Times New Roman"/>
        </w:rPr>
        <w:t>A</w:t>
      </w:r>
      <w:r>
        <w:rPr>
          <w:rFonts w:ascii="Montserrat" w:eastAsia="Calibri" w:hAnsi="Montserrat" w:cs="Times New Roman"/>
        </w:rPr>
        <w:t>cadémico (EPA)</w:t>
      </w:r>
      <w:r w:rsidRPr="008A40BD">
        <w:rPr>
          <w:rFonts w:ascii="Montserrat" w:eastAsia="Calibri" w:hAnsi="Montserrat" w:cs="Times New Roman"/>
        </w:rPr>
        <w:t xml:space="preserve">. </w:t>
      </w:r>
    </w:p>
    <w:p w14:paraId="5900C2A6" w14:textId="77777777" w:rsidR="00545D50" w:rsidRDefault="00545D50" w:rsidP="00EB5D2E">
      <w:pPr>
        <w:spacing w:after="0" w:line="276" w:lineRule="auto"/>
        <w:jc w:val="both"/>
        <w:rPr>
          <w:rFonts w:ascii="Montserrat" w:hAnsi="Montserrat"/>
        </w:rPr>
      </w:pPr>
    </w:p>
    <w:p w14:paraId="057EFD7A" w14:textId="77777777" w:rsidR="00480A45" w:rsidRDefault="00352ED4" w:rsidP="00480A45">
      <w:pPr>
        <w:spacing w:after="0" w:line="276" w:lineRule="auto"/>
        <w:jc w:val="both"/>
        <w:rPr>
          <w:rFonts w:ascii="Montserrat" w:eastAsia="Aptos" w:hAnsi="Montserrat" w:cs="Segoe UI"/>
          <w:b/>
          <w:bCs/>
        </w:rPr>
      </w:pPr>
      <w:r w:rsidRPr="00B53C67">
        <w:rPr>
          <w:rFonts w:ascii="Montserrat" w:eastAsia="Aptos" w:hAnsi="Montserrat" w:cs="Segoe UI"/>
          <w:b/>
          <w:bCs/>
        </w:rPr>
        <w:t>Creación del</w:t>
      </w:r>
      <w:r w:rsidR="00D62A9B">
        <w:rPr>
          <w:rFonts w:ascii="Montserrat" w:eastAsia="Aptos" w:hAnsi="Montserrat" w:cs="Segoe UI"/>
          <w:b/>
          <w:bCs/>
        </w:rPr>
        <w:t xml:space="preserve"> Reglamento Interno </w:t>
      </w:r>
      <w:r w:rsidR="00480A45">
        <w:rPr>
          <w:rFonts w:ascii="Montserrat" w:eastAsia="Aptos" w:hAnsi="Montserrat" w:cs="Segoe UI"/>
          <w:b/>
          <w:bCs/>
        </w:rPr>
        <w:t xml:space="preserve">del Comité Académico </w:t>
      </w:r>
    </w:p>
    <w:p w14:paraId="7D448A4C" w14:textId="4926EFE4" w:rsidR="00B53C67" w:rsidRDefault="00B53C67" w:rsidP="00480A45">
      <w:pPr>
        <w:spacing w:after="0" w:line="276" w:lineRule="auto"/>
        <w:jc w:val="both"/>
        <w:rPr>
          <w:rFonts w:ascii="Montserrat" w:eastAsia="Aptos" w:hAnsi="Montserrat" w:cs="Segoe UI"/>
        </w:rPr>
      </w:pPr>
      <w:r>
        <w:rPr>
          <w:rFonts w:ascii="Montserrat" w:eastAsia="Aptos" w:hAnsi="Montserrat" w:cs="Segoe UI"/>
        </w:rPr>
        <w:t>En</w:t>
      </w:r>
      <w:r w:rsidR="00480A45">
        <w:rPr>
          <w:rFonts w:ascii="Montserrat" w:eastAsia="Aptos" w:hAnsi="Montserrat" w:cs="Segoe UI"/>
        </w:rPr>
        <w:t xml:space="preserve"> la segunda sesión ordinaria 2023 de la Junta de Gobierno</w:t>
      </w:r>
      <w:r>
        <w:rPr>
          <w:rFonts w:ascii="Montserrat" w:eastAsia="Aptos" w:hAnsi="Montserrat" w:cs="Segoe UI"/>
        </w:rPr>
        <w:t xml:space="preserve"> </w:t>
      </w:r>
      <w:r w:rsidR="00480A45">
        <w:rPr>
          <w:rFonts w:ascii="Montserrat" w:eastAsia="Aptos" w:hAnsi="Montserrat" w:cs="Segoe UI"/>
        </w:rPr>
        <w:t>de ECOSUR</w:t>
      </w:r>
      <w:r>
        <w:rPr>
          <w:rFonts w:ascii="Montserrat" w:eastAsia="Aptos" w:hAnsi="Montserrat" w:cs="Segoe UI"/>
        </w:rPr>
        <w:t xml:space="preserve">, se aprobó el Reglamento Interno del Comité Académico de El Colegio de la Frontera Sur, que concentra la regulación de </w:t>
      </w:r>
      <w:r w:rsidR="00480A45">
        <w:rPr>
          <w:rFonts w:ascii="Montserrat" w:eastAsia="Aptos" w:hAnsi="Montserrat" w:cs="Segoe UI"/>
        </w:rPr>
        <w:t xml:space="preserve">los siguientes Comités: </w:t>
      </w:r>
      <w:r>
        <w:rPr>
          <w:rFonts w:ascii="Montserrat" w:eastAsia="Aptos" w:hAnsi="Montserrat" w:cs="Segoe UI"/>
        </w:rPr>
        <w:t xml:space="preserve">Comité de Investigación, </w:t>
      </w:r>
      <w:r w:rsidR="00480A45">
        <w:rPr>
          <w:rFonts w:ascii="Montserrat" w:eastAsia="Aptos" w:hAnsi="Montserrat" w:cs="Segoe UI"/>
        </w:rPr>
        <w:t xml:space="preserve">creado </w:t>
      </w:r>
      <w:r w:rsidR="004E3EEB">
        <w:rPr>
          <w:rFonts w:ascii="Montserrat" w:eastAsia="Aptos" w:hAnsi="Montserrat" w:cs="Segoe UI"/>
        </w:rPr>
        <w:t>en el primer trimestre 2024; actualización de</w:t>
      </w:r>
      <w:r w:rsidR="0043561A">
        <w:rPr>
          <w:rFonts w:ascii="Montserrat" w:eastAsia="Aptos" w:hAnsi="Montserrat" w:cs="Segoe UI"/>
        </w:rPr>
        <w:t xml:space="preserve">l Reglamento de la Comisión Dictaminadora Interna (CDI); </w:t>
      </w:r>
      <w:r w:rsidR="00E2435A">
        <w:rPr>
          <w:rFonts w:ascii="Montserrat" w:eastAsia="Aptos" w:hAnsi="Montserrat" w:cs="Segoe UI"/>
        </w:rPr>
        <w:t>a</w:t>
      </w:r>
      <w:r w:rsidR="0043561A">
        <w:rPr>
          <w:rFonts w:ascii="Montserrat" w:eastAsia="Aptos" w:hAnsi="Montserrat" w:cs="Segoe UI"/>
        </w:rPr>
        <w:t xml:space="preserve">ctualización del Reglamento del Comité Evaluador de </w:t>
      </w:r>
      <w:proofErr w:type="gramStart"/>
      <w:r w:rsidR="0043561A">
        <w:rPr>
          <w:rFonts w:ascii="Montserrat" w:eastAsia="Aptos" w:hAnsi="Montserrat" w:cs="Segoe UI"/>
        </w:rPr>
        <w:t>Técnicos y Técnicas</w:t>
      </w:r>
      <w:proofErr w:type="gramEnd"/>
      <w:r w:rsidR="0043561A">
        <w:rPr>
          <w:rFonts w:ascii="Montserrat" w:eastAsia="Aptos" w:hAnsi="Montserrat" w:cs="Segoe UI"/>
        </w:rPr>
        <w:t xml:space="preserve"> (CETT); y actualización del Reglamento del Comité de Docencia.</w:t>
      </w:r>
    </w:p>
    <w:p w14:paraId="4A943F6A" w14:textId="77777777" w:rsidR="00947154" w:rsidRDefault="00947154" w:rsidP="00947154">
      <w:pPr>
        <w:spacing w:after="0" w:line="276" w:lineRule="auto"/>
        <w:jc w:val="both"/>
        <w:rPr>
          <w:rFonts w:ascii="Montserrat" w:hAnsi="Montserrat"/>
          <w:b/>
          <w:bCs/>
        </w:rPr>
      </w:pPr>
    </w:p>
    <w:p w14:paraId="07A65279" w14:textId="5B07855E" w:rsidR="00947154" w:rsidRPr="007A64AF" w:rsidRDefault="00947154" w:rsidP="00947154">
      <w:pPr>
        <w:spacing w:after="0" w:line="276" w:lineRule="auto"/>
        <w:jc w:val="both"/>
        <w:rPr>
          <w:rFonts w:ascii="Montserrat" w:hAnsi="Montserrat"/>
          <w:b/>
          <w:bCs/>
        </w:rPr>
      </w:pPr>
      <w:r w:rsidRPr="007A64AF">
        <w:rPr>
          <w:rFonts w:ascii="Montserrat" w:hAnsi="Montserrat"/>
          <w:b/>
          <w:bCs/>
        </w:rPr>
        <w:t>Elaboración de una propuesta para actualizar el Decreto que reestructura a El Colegio de la Frontera Sur</w:t>
      </w:r>
    </w:p>
    <w:p w14:paraId="12B69BFD" w14:textId="32ED367D" w:rsidR="00947154" w:rsidRDefault="00947154" w:rsidP="00947154">
      <w:pPr>
        <w:spacing w:after="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El 18 de enero de 2024, se envió a la Unidad de Articulación Sectorial y Regional </w:t>
      </w:r>
      <w:r w:rsidR="00437E41">
        <w:rPr>
          <w:rFonts w:ascii="Montserrat" w:hAnsi="Montserrat"/>
        </w:rPr>
        <w:t>del CONAHCYT el oficio</w:t>
      </w:r>
      <w:r w:rsidR="002528CE" w:rsidRPr="002528CE">
        <w:t xml:space="preserve"> </w:t>
      </w:r>
      <w:r w:rsidR="002528CE" w:rsidRPr="002528CE">
        <w:rPr>
          <w:rFonts w:ascii="Montserrat" w:hAnsi="Montserrat"/>
        </w:rPr>
        <w:t>DG-O-131/2024</w:t>
      </w:r>
      <w:r w:rsidR="002528CE">
        <w:rPr>
          <w:rFonts w:ascii="Montserrat" w:hAnsi="Montserrat"/>
        </w:rPr>
        <w:t xml:space="preserve"> para presentar </w:t>
      </w:r>
      <w:r>
        <w:rPr>
          <w:rFonts w:ascii="Montserrat" w:hAnsi="Montserrat"/>
        </w:rPr>
        <w:t xml:space="preserve">una propuesta de actualización del Decreto que reestructura a El Colegio de la Frontera Sur. Se espera </w:t>
      </w:r>
      <w:r w:rsidR="00545D50">
        <w:rPr>
          <w:rFonts w:ascii="Montserrat" w:hAnsi="Montserrat"/>
        </w:rPr>
        <w:t xml:space="preserve">el </w:t>
      </w:r>
      <w:r>
        <w:rPr>
          <w:rFonts w:ascii="Montserrat" w:hAnsi="Montserrat"/>
        </w:rPr>
        <w:t>envío del formato que está realizando el CONAHCYT para enriquecer la propuesta.</w:t>
      </w:r>
    </w:p>
    <w:p w14:paraId="20D5B357" w14:textId="77777777" w:rsidR="0044514F" w:rsidRDefault="0044514F" w:rsidP="008D6E81">
      <w:pPr>
        <w:tabs>
          <w:tab w:val="left" w:pos="1063"/>
        </w:tabs>
        <w:spacing w:after="0" w:line="240" w:lineRule="auto"/>
        <w:ind w:right="-20"/>
        <w:jc w:val="both"/>
        <w:rPr>
          <w:rFonts w:ascii="Montserrat" w:eastAsia="Montserrat" w:hAnsi="Montserrat" w:cs="Montserrat"/>
        </w:rPr>
      </w:pPr>
    </w:p>
    <w:p w14:paraId="4CA80905" w14:textId="5828327C" w:rsidR="007518CB" w:rsidRPr="00D1058C" w:rsidRDefault="0001612B" w:rsidP="008D6E81">
      <w:pPr>
        <w:tabs>
          <w:tab w:val="left" w:pos="1063"/>
        </w:tabs>
        <w:spacing w:after="0" w:line="240" w:lineRule="auto"/>
        <w:ind w:right="-20"/>
        <w:jc w:val="both"/>
        <w:rPr>
          <w:rFonts w:ascii="Montserrat" w:eastAsia="Aptos" w:hAnsi="Montserrat" w:cs="Segoe UI"/>
          <w:b/>
          <w:bCs/>
        </w:rPr>
      </w:pPr>
      <w:r w:rsidRPr="00D1058C">
        <w:rPr>
          <w:rFonts w:ascii="Montserrat" w:eastAsia="Aptos" w:hAnsi="Montserrat" w:cs="Segoe UI"/>
          <w:b/>
          <w:bCs/>
        </w:rPr>
        <w:t xml:space="preserve">Elaboración de una propuesta para actualizar los </w:t>
      </w:r>
      <w:r w:rsidR="00831AD4" w:rsidRPr="00D1058C">
        <w:rPr>
          <w:rFonts w:ascii="Montserrat" w:eastAsia="Aptos" w:hAnsi="Montserrat" w:cs="Segoe UI"/>
          <w:b/>
          <w:bCs/>
        </w:rPr>
        <w:t>Li</w:t>
      </w:r>
      <w:r w:rsidR="00233D7D" w:rsidRPr="00D1058C">
        <w:rPr>
          <w:rFonts w:ascii="Montserrat" w:eastAsia="Aptos" w:hAnsi="Montserrat" w:cs="Segoe UI"/>
          <w:b/>
          <w:bCs/>
        </w:rPr>
        <w:t xml:space="preserve">neamientos para el </w:t>
      </w:r>
      <w:r w:rsidR="00D1058C" w:rsidRPr="00D1058C">
        <w:rPr>
          <w:rFonts w:ascii="Montserrat" w:eastAsia="Aptos" w:hAnsi="Montserrat" w:cs="Segoe UI"/>
          <w:b/>
          <w:bCs/>
        </w:rPr>
        <w:t>Otorgamiento</w:t>
      </w:r>
      <w:r w:rsidR="00233D7D" w:rsidRPr="00D1058C">
        <w:rPr>
          <w:rFonts w:ascii="Montserrat" w:eastAsia="Aptos" w:hAnsi="Montserrat" w:cs="Segoe UI"/>
          <w:b/>
          <w:bCs/>
        </w:rPr>
        <w:t xml:space="preserve"> de Estímulos del Personal Académico</w:t>
      </w:r>
    </w:p>
    <w:p w14:paraId="5466B71E" w14:textId="079D3C0D" w:rsidR="00D1058C" w:rsidRDefault="00D1058C" w:rsidP="008D6E81">
      <w:pPr>
        <w:tabs>
          <w:tab w:val="left" w:pos="1063"/>
        </w:tabs>
        <w:spacing w:after="0" w:line="240" w:lineRule="auto"/>
        <w:ind w:right="-20"/>
        <w:jc w:val="both"/>
        <w:rPr>
          <w:rFonts w:ascii="Montserrat" w:eastAsia="Aptos" w:hAnsi="Montserrat" w:cs="Segoe UI"/>
        </w:rPr>
      </w:pPr>
      <w:r>
        <w:rPr>
          <w:rFonts w:ascii="Montserrat" w:eastAsia="Aptos" w:hAnsi="Montserrat" w:cs="Segoe UI"/>
        </w:rPr>
        <w:t>El 22 de enero se envió a la Unidad de Articulación Sectorial y Regional del CONAHCYT</w:t>
      </w:r>
      <w:r w:rsidR="002528CE">
        <w:rPr>
          <w:rFonts w:ascii="Montserrat" w:eastAsia="Aptos" w:hAnsi="Montserrat" w:cs="Segoe UI"/>
        </w:rPr>
        <w:t xml:space="preserve"> el oficio</w:t>
      </w:r>
      <w:r w:rsidR="00962382">
        <w:rPr>
          <w:rFonts w:ascii="Montserrat" w:eastAsia="Aptos" w:hAnsi="Montserrat" w:cs="Segoe UI"/>
        </w:rPr>
        <w:t xml:space="preserve"> </w:t>
      </w:r>
      <w:r w:rsidR="00962382" w:rsidRPr="00962382">
        <w:rPr>
          <w:rFonts w:ascii="Montserrat" w:eastAsia="Aptos" w:hAnsi="Montserrat" w:cs="Segoe UI"/>
        </w:rPr>
        <w:t>DG-O-153/2024</w:t>
      </w:r>
      <w:r w:rsidR="00E30EE0">
        <w:rPr>
          <w:rFonts w:ascii="Montserrat" w:eastAsia="Aptos" w:hAnsi="Montserrat" w:cs="Segoe UI"/>
        </w:rPr>
        <w:t xml:space="preserve"> para presentar una propuesta de Lineamientos para el Otorgamiento de Estímulos del Personal Académico de El Colegio de la Frontera Sur</w:t>
      </w:r>
      <w:r w:rsidR="00145F02">
        <w:rPr>
          <w:rFonts w:ascii="Montserrat" w:eastAsia="Aptos" w:hAnsi="Montserrat" w:cs="Segoe UI"/>
        </w:rPr>
        <w:t>, para su revisión y validación por la Unidad Jurídica.</w:t>
      </w:r>
    </w:p>
    <w:p w14:paraId="6BA26AB5" w14:textId="32C18247" w:rsidR="007518CB" w:rsidRPr="008D6E81" w:rsidRDefault="000C3825" w:rsidP="008D6E81">
      <w:pPr>
        <w:tabs>
          <w:tab w:val="left" w:pos="1063"/>
        </w:tabs>
        <w:spacing w:after="0" w:line="240" w:lineRule="auto"/>
        <w:ind w:right="-20"/>
        <w:jc w:val="both"/>
        <w:rPr>
          <w:rFonts w:ascii="Montserrat" w:eastAsia="Montserrat" w:hAnsi="Montserrat" w:cs="Montserrat"/>
        </w:rPr>
      </w:pPr>
      <w:r>
        <w:rPr>
          <w:rFonts w:ascii="Montserrat" w:eastAsia="Aptos" w:hAnsi="Montserrat" w:cs="Segoe UI"/>
        </w:rPr>
        <w:t xml:space="preserve"> </w:t>
      </w:r>
      <w:r w:rsidR="001D5A8C">
        <w:rPr>
          <w:rFonts w:ascii="Montserrat" w:eastAsia="Aptos" w:hAnsi="Montserrat" w:cs="Segoe UI"/>
        </w:rPr>
        <w:t xml:space="preserve"> </w:t>
      </w:r>
    </w:p>
    <w:p w14:paraId="084A43C9" w14:textId="77777777" w:rsidR="00545D50" w:rsidRDefault="00545D50" w:rsidP="00E14B31">
      <w:pPr>
        <w:spacing w:after="0" w:line="276" w:lineRule="auto"/>
        <w:jc w:val="both"/>
        <w:rPr>
          <w:rFonts w:ascii="Montserrat" w:hAnsi="Montserrat"/>
          <w:b/>
          <w:bCs/>
        </w:rPr>
      </w:pPr>
    </w:p>
    <w:p w14:paraId="27FE9A8B" w14:textId="77777777" w:rsidR="00545D50" w:rsidRDefault="00545D50" w:rsidP="00E14B31">
      <w:pPr>
        <w:spacing w:after="0" w:line="276" w:lineRule="auto"/>
        <w:jc w:val="both"/>
        <w:rPr>
          <w:rFonts w:ascii="Montserrat" w:hAnsi="Montserrat"/>
          <w:b/>
          <w:bCs/>
        </w:rPr>
      </w:pPr>
    </w:p>
    <w:p w14:paraId="5B66551D" w14:textId="24172BF8" w:rsidR="00E14B31" w:rsidRPr="00F50F3A" w:rsidRDefault="00E14B31" w:rsidP="00E14B31">
      <w:pPr>
        <w:spacing w:after="0" w:line="276" w:lineRule="auto"/>
        <w:jc w:val="both"/>
        <w:rPr>
          <w:rFonts w:ascii="Montserrat" w:hAnsi="Montserrat"/>
          <w:b/>
          <w:bCs/>
        </w:rPr>
      </w:pPr>
      <w:r w:rsidRPr="00F50F3A">
        <w:rPr>
          <w:rFonts w:ascii="Montserrat" w:hAnsi="Montserrat"/>
          <w:b/>
          <w:bCs/>
        </w:rPr>
        <w:lastRenderedPageBreak/>
        <w:t>Actualización de la normativa de Posgrado</w:t>
      </w:r>
      <w:r>
        <w:rPr>
          <w:rFonts w:ascii="Montserrat" w:hAnsi="Montserrat"/>
          <w:b/>
          <w:bCs/>
        </w:rPr>
        <w:t xml:space="preserve"> y validación de programas</w:t>
      </w:r>
    </w:p>
    <w:p w14:paraId="7FDC1984" w14:textId="77777777" w:rsidR="00E14B31" w:rsidRDefault="00E14B31" w:rsidP="00E14B31">
      <w:pPr>
        <w:tabs>
          <w:tab w:val="left" w:pos="1063"/>
        </w:tabs>
        <w:spacing w:after="0" w:line="240" w:lineRule="auto"/>
        <w:ind w:right="-20"/>
        <w:jc w:val="both"/>
        <w:rPr>
          <w:rFonts w:ascii="Montserrat" w:eastAsia="Montserrat" w:hAnsi="Montserrat" w:cs="Montserrat"/>
        </w:rPr>
      </w:pPr>
      <w:r w:rsidRPr="008D6E81">
        <w:rPr>
          <w:rFonts w:ascii="Montserrat" w:eastAsia="Aptos" w:hAnsi="Montserrat" w:cs="Segoe UI"/>
        </w:rPr>
        <w:t xml:space="preserve">El nuevo Reglamento General de Posgrado, validado por el CONAHCYT en 2023 y aprobado por la Junta de Gobierno a principios de 2024 </w:t>
      </w:r>
      <w:r w:rsidRPr="008D6E81">
        <w:rPr>
          <w:rFonts w:ascii="Montserrat" w:eastAsia="Montserrat" w:hAnsi="Montserrat" w:cs="Montserrat"/>
        </w:rPr>
        <w:t>establece la formación de las personas como un derecho fundamental para el alcance de un mayor bienestar. Logra integrar en un mismo documento los derechos, obligaciones y sanciones del estudiantado y personal vinculado al posgrado. Además, presenta las diferentes instancias que regulan su funcionamiento, promoviendo los principios de igualdad, no discriminación y prevención de la violencia de género y docente.</w:t>
      </w:r>
      <w:r>
        <w:rPr>
          <w:rFonts w:ascii="Montserrat" w:eastAsia="Montserrat" w:hAnsi="Montserrat" w:cs="Montserrat"/>
        </w:rPr>
        <w:t xml:space="preserve"> </w:t>
      </w:r>
    </w:p>
    <w:p w14:paraId="39CBD0F1" w14:textId="77777777" w:rsidR="00E14B31" w:rsidRDefault="00E14B31" w:rsidP="00E14B31">
      <w:pPr>
        <w:tabs>
          <w:tab w:val="left" w:pos="1063"/>
        </w:tabs>
        <w:spacing w:after="0" w:line="240" w:lineRule="auto"/>
        <w:ind w:right="-20"/>
        <w:jc w:val="both"/>
        <w:rPr>
          <w:rFonts w:ascii="Montserrat" w:eastAsia="Montserrat" w:hAnsi="Montserrat" w:cs="Montserrat"/>
        </w:rPr>
      </w:pPr>
    </w:p>
    <w:p w14:paraId="5B1B8E48" w14:textId="4E3BCE45" w:rsidR="00E14B31" w:rsidRDefault="00E14B31" w:rsidP="00E14B31">
      <w:pPr>
        <w:tabs>
          <w:tab w:val="left" w:pos="1063"/>
        </w:tabs>
        <w:spacing w:after="0" w:line="240" w:lineRule="auto"/>
        <w:ind w:right="-20"/>
        <w:jc w:val="both"/>
        <w:rPr>
          <w:rFonts w:ascii="Montserrat" w:eastAsia="Aptos" w:hAnsi="Montserrat" w:cs="Segoe UI"/>
        </w:rPr>
      </w:pPr>
      <w:r>
        <w:rPr>
          <w:rFonts w:ascii="Montserrat" w:eastAsia="Montserrat" w:hAnsi="Montserrat" w:cs="Montserrat"/>
        </w:rPr>
        <w:t>En otro ámbito</w:t>
      </w:r>
      <w:r w:rsidR="00545D50"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</w:rPr>
        <w:t xml:space="preserve"> permite que la institución lleve a cabo Especialidades; en particular se inició con la Especialidad para el Bienestar Comunitario en tres opciones terminales: </w:t>
      </w:r>
      <w:r w:rsidRPr="006F215A">
        <w:rPr>
          <w:rFonts w:ascii="Montserrat" w:eastAsia="Aptos" w:hAnsi="Montserrat" w:cs="Segoe UI"/>
        </w:rPr>
        <w:t>agroecologías y soberanías agroalimentarias, salud comunitaria y manejo de zonas costeras</w:t>
      </w:r>
      <w:r>
        <w:rPr>
          <w:rFonts w:ascii="Montserrat" w:eastAsia="Aptos" w:hAnsi="Montserrat" w:cs="Segoe UI"/>
        </w:rPr>
        <w:t>, junto con otras instituciones del S</w:t>
      </w:r>
      <w:r w:rsidR="00545D50">
        <w:rPr>
          <w:rFonts w:ascii="Montserrat" w:eastAsia="Aptos" w:hAnsi="Montserrat" w:cs="Segoe UI"/>
        </w:rPr>
        <w:t>istema Nacional de Centros Públicos (S</w:t>
      </w:r>
      <w:r>
        <w:rPr>
          <w:rFonts w:ascii="Montserrat" w:eastAsia="Aptos" w:hAnsi="Montserrat" w:cs="Segoe UI"/>
        </w:rPr>
        <w:t>NCP</w:t>
      </w:r>
      <w:r w:rsidR="00545D50">
        <w:rPr>
          <w:rFonts w:ascii="Montserrat" w:eastAsia="Aptos" w:hAnsi="Montserrat" w:cs="Segoe UI"/>
        </w:rPr>
        <w:t>)</w:t>
      </w:r>
      <w:r>
        <w:rPr>
          <w:rFonts w:ascii="Montserrat" w:eastAsia="Aptos" w:hAnsi="Montserrat" w:cs="Segoe UI"/>
        </w:rPr>
        <w:t>.</w:t>
      </w:r>
    </w:p>
    <w:p w14:paraId="4B2E4D1A" w14:textId="77777777" w:rsidR="00E14B31" w:rsidRDefault="00E14B31" w:rsidP="00E14B31">
      <w:pPr>
        <w:tabs>
          <w:tab w:val="left" w:pos="1063"/>
        </w:tabs>
        <w:spacing w:after="0" w:line="240" w:lineRule="auto"/>
        <w:ind w:right="-20"/>
        <w:jc w:val="both"/>
        <w:rPr>
          <w:rFonts w:ascii="Montserrat" w:eastAsia="Aptos" w:hAnsi="Montserrat" w:cs="Segoe UI"/>
        </w:rPr>
      </w:pPr>
    </w:p>
    <w:p w14:paraId="4A50BC55" w14:textId="00BB070C" w:rsidR="00E14B31" w:rsidRDefault="00E14B31" w:rsidP="00E14B31">
      <w:pPr>
        <w:tabs>
          <w:tab w:val="left" w:pos="1063"/>
        </w:tabs>
        <w:spacing w:after="0" w:line="240" w:lineRule="auto"/>
        <w:ind w:right="-20"/>
        <w:jc w:val="both"/>
        <w:rPr>
          <w:rFonts w:ascii="Montserrat" w:eastAsia="Aptos" w:hAnsi="Montserrat" w:cs="Segoe UI"/>
        </w:rPr>
      </w:pPr>
      <w:r>
        <w:rPr>
          <w:rFonts w:ascii="Montserrat" w:eastAsia="Aptos" w:hAnsi="Montserrat" w:cs="Segoe UI"/>
        </w:rPr>
        <w:t xml:space="preserve">El Doctorado Nacional en Agroecología, resultado de la colaboración de nueve Centros Públicos, fue aprobado por la Junta de Gobierno de ECOSUR en 2023 y está en proceso de registro en </w:t>
      </w:r>
      <w:proofErr w:type="gramStart"/>
      <w:r>
        <w:rPr>
          <w:rFonts w:ascii="Montserrat" w:eastAsia="Aptos" w:hAnsi="Montserrat" w:cs="Segoe UI"/>
        </w:rPr>
        <w:t xml:space="preserve">la </w:t>
      </w:r>
      <w:r w:rsidR="00545D50">
        <w:rPr>
          <w:rFonts w:ascii="Montserrat" w:eastAsia="Aptos" w:hAnsi="Montserrat" w:cs="Segoe UI"/>
        </w:rPr>
        <w:t xml:space="preserve"> Secretaría</w:t>
      </w:r>
      <w:proofErr w:type="gramEnd"/>
      <w:r w:rsidR="00545D50">
        <w:rPr>
          <w:rFonts w:ascii="Montserrat" w:eastAsia="Aptos" w:hAnsi="Montserrat" w:cs="Segoe UI"/>
        </w:rPr>
        <w:t xml:space="preserve"> de Educación Pública (</w:t>
      </w:r>
      <w:r>
        <w:rPr>
          <w:rFonts w:ascii="Montserrat" w:eastAsia="Aptos" w:hAnsi="Montserrat" w:cs="Segoe UI"/>
        </w:rPr>
        <w:t>SEP</w:t>
      </w:r>
      <w:r w:rsidR="00545D50">
        <w:rPr>
          <w:rFonts w:ascii="Montserrat" w:eastAsia="Aptos" w:hAnsi="Montserrat" w:cs="Segoe UI"/>
        </w:rPr>
        <w:t>)</w:t>
      </w:r>
      <w:r>
        <w:rPr>
          <w:rFonts w:ascii="Montserrat" w:eastAsia="Aptos" w:hAnsi="Montserrat" w:cs="Segoe UI"/>
        </w:rPr>
        <w:t>.</w:t>
      </w:r>
    </w:p>
    <w:p w14:paraId="10E5CB81" w14:textId="77777777" w:rsidR="008D6E81" w:rsidRDefault="008D6E81" w:rsidP="008D6E81">
      <w:pPr>
        <w:tabs>
          <w:tab w:val="left" w:pos="1063"/>
        </w:tabs>
        <w:spacing w:after="0" w:line="240" w:lineRule="auto"/>
        <w:ind w:right="-20"/>
        <w:jc w:val="both"/>
        <w:rPr>
          <w:rFonts w:ascii="Montserrat" w:eastAsia="Montserrat" w:hAnsi="Montserrat" w:cs="Montserrat"/>
        </w:rPr>
      </w:pPr>
    </w:p>
    <w:p w14:paraId="06694855" w14:textId="56EBE703" w:rsidR="000441AF" w:rsidRPr="008D6E81" w:rsidRDefault="000441AF" w:rsidP="008D6E81">
      <w:pPr>
        <w:tabs>
          <w:tab w:val="left" w:pos="1063"/>
        </w:tabs>
        <w:spacing w:after="0" w:line="240" w:lineRule="auto"/>
        <w:ind w:right="-20"/>
        <w:jc w:val="both"/>
        <w:rPr>
          <w:rFonts w:ascii="Montserrat" w:eastAsia="Montserrat" w:hAnsi="Montserrat" w:cs="Montserrat"/>
          <w:b/>
          <w:bCs/>
        </w:rPr>
      </w:pPr>
      <w:r w:rsidRPr="000441AF">
        <w:rPr>
          <w:rFonts w:ascii="Montserrat" w:eastAsia="Montserrat" w:hAnsi="Montserrat" w:cs="Montserrat"/>
          <w:b/>
          <w:bCs/>
        </w:rPr>
        <w:t>Gratuidad de los estudios de posgrado</w:t>
      </w:r>
    </w:p>
    <w:p w14:paraId="67BBAC03" w14:textId="4C360596" w:rsidR="00EF7F2C" w:rsidRDefault="000441AF" w:rsidP="00EB5D2E">
      <w:pPr>
        <w:spacing w:after="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Se mencionó </w:t>
      </w:r>
      <w:r w:rsidR="00895134">
        <w:rPr>
          <w:rFonts w:ascii="Montserrat" w:hAnsi="Montserrat"/>
        </w:rPr>
        <w:t xml:space="preserve">la gratuidad de todos los posgrados de ECOSUR en </w:t>
      </w:r>
      <w:r w:rsidR="00943FCA">
        <w:rPr>
          <w:rFonts w:ascii="Montserrat" w:hAnsi="Montserrat"/>
        </w:rPr>
        <w:t>sus</w:t>
      </w:r>
      <w:r w:rsidR="00895134">
        <w:rPr>
          <w:rFonts w:ascii="Montserrat" w:hAnsi="Montserrat"/>
        </w:rPr>
        <w:t xml:space="preserve"> </w:t>
      </w:r>
      <w:r w:rsidR="00537A97">
        <w:rPr>
          <w:rFonts w:ascii="Montserrat" w:hAnsi="Montserrat"/>
        </w:rPr>
        <w:t>registros en</w:t>
      </w:r>
      <w:r w:rsidR="00895134">
        <w:rPr>
          <w:rFonts w:ascii="Montserrat" w:hAnsi="Montserrat"/>
        </w:rPr>
        <w:t xml:space="preserve"> el Sistema Nacional de Posgrado (SNP)</w:t>
      </w:r>
      <w:r w:rsidR="00474ABA">
        <w:rPr>
          <w:rFonts w:ascii="Montserrat" w:hAnsi="Montserrat"/>
        </w:rPr>
        <w:t>.</w:t>
      </w:r>
    </w:p>
    <w:p w14:paraId="656B4925" w14:textId="77777777" w:rsidR="00474ABA" w:rsidRDefault="00474ABA" w:rsidP="00EB5D2E">
      <w:pPr>
        <w:spacing w:after="0" w:line="276" w:lineRule="auto"/>
        <w:jc w:val="both"/>
        <w:rPr>
          <w:rFonts w:ascii="Montserrat" w:hAnsi="Montserrat"/>
        </w:rPr>
      </w:pPr>
    </w:p>
    <w:p w14:paraId="7D1B8D54" w14:textId="13A6AC1E" w:rsidR="00474ABA" w:rsidRPr="000603D0" w:rsidRDefault="00950C1E" w:rsidP="00EB5D2E">
      <w:pPr>
        <w:spacing w:after="0" w:line="276" w:lineRule="auto"/>
        <w:jc w:val="both"/>
        <w:rPr>
          <w:rFonts w:ascii="Montserrat" w:hAnsi="Montserrat"/>
          <w:b/>
          <w:bCs/>
        </w:rPr>
      </w:pPr>
      <w:r w:rsidRPr="000603D0">
        <w:rPr>
          <w:rFonts w:ascii="Montserrat" w:hAnsi="Montserrat"/>
          <w:b/>
          <w:bCs/>
        </w:rPr>
        <w:t>Análisis de la representación</w:t>
      </w:r>
      <w:r w:rsidR="000603D0" w:rsidRPr="000603D0">
        <w:rPr>
          <w:rFonts w:ascii="Montserrat" w:hAnsi="Montserrat"/>
          <w:b/>
          <w:bCs/>
        </w:rPr>
        <w:t xml:space="preserve"> mayoritaria de la Administración Pública Federal</w:t>
      </w:r>
      <w:r w:rsidR="00545D50">
        <w:rPr>
          <w:rFonts w:ascii="Montserrat" w:hAnsi="Montserrat"/>
          <w:b/>
          <w:bCs/>
        </w:rPr>
        <w:t xml:space="preserve"> (APF)</w:t>
      </w:r>
      <w:r w:rsidR="000603D0" w:rsidRPr="000603D0">
        <w:rPr>
          <w:rFonts w:ascii="Montserrat" w:hAnsi="Montserrat"/>
          <w:b/>
          <w:bCs/>
        </w:rPr>
        <w:t xml:space="preserve"> en la Junta de Gobierno de ECOSUR</w:t>
      </w:r>
    </w:p>
    <w:p w14:paraId="62E69645" w14:textId="4F036BF0" w:rsidR="000603D0" w:rsidRDefault="00DE5E97" w:rsidP="00EB5D2E">
      <w:pPr>
        <w:spacing w:after="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composición de la Junta de Gobierno de ECOSUR en términos de </w:t>
      </w:r>
      <w:r w:rsidR="009E0875">
        <w:rPr>
          <w:rFonts w:ascii="Montserrat" w:hAnsi="Montserrat"/>
        </w:rPr>
        <w:t>pertenencia o no a la Administración Pública Federal es la siguiente</w:t>
      </w:r>
    </w:p>
    <w:p w14:paraId="6037AB87" w14:textId="77777777" w:rsidR="00D07F01" w:rsidRDefault="00D07F01" w:rsidP="00EB5D2E">
      <w:pPr>
        <w:spacing w:after="0" w:line="276" w:lineRule="auto"/>
        <w:jc w:val="both"/>
        <w:rPr>
          <w:rFonts w:ascii="Montserrat" w:hAnsi="Montserra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531"/>
      </w:tblGrid>
      <w:tr w:rsidR="00D07F01" w:rsidRPr="00D07F01" w14:paraId="6661537E" w14:textId="77777777" w:rsidTr="00F10BB4">
        <w:trPr>
          <w:jc w:val="center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0D656" w14:textId="77777777" w:rsidR="00D07F01" w:rsidRPr="00D07F01" w:rsidRDefault="00D07F01" w:rsidP="00D07F01">
            <w:pPr>
              <w:spacing w:after="0" w:line="240" w:lineRule="auto"/>
              <w:jc w:val="center"/>
              <w:rPr>
                <w:rFonts w:ascii="Montserrat" w:eastAsia="Aptos" w:hAnsi="Montserrat" w:cs="Aptos"/>
                <w:b/>
                <w:bCs/>
                <w:kern w:val="0"/>
              </w:rPr>
            </w:pPr>
            <w:r w:rsidRPr="00D07F01">
              <w:rPr>
                <w:rFonts w:ascii="Montserrat" w:eastAsia="Aptos" w:hAnsi="Montserrat" w:cs="Aptos"/>
                <w:b/>
                <w:bCs/>
                <w:kern w:val="0"/>
              </w:rPr>
              <w:t>APF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8605" w14:textId="77777777" w:rsidR="00D07F01" w:rsidRPr="00D07F01" w:rsidRDefault="00D07F01" w:rsidP="00D07F01">
            <w:pPr>
              <w:spacing w:after="0" w:line="240" w:lineRule="auto"/>
              <w:jc w:val="center"/>
              <w:rPr>
                <w:rFonts w:ascii="Montserrat" w:eastAsia="Aptos" w:hAnsi="Montserrat" w:cs="Aptos"/>
                <w:b/>
                <w:bCs/>
                <w:kern w:val="0"/>
              </w:rPr>
            </w:pPr>
            <w:r w:rsidRPr="00D07F01">
              <w:rPr>
                <w:rFonts w:ascii="Montserrat" w:eastAsia="Aptos" w:hAnsi="Montserrat" w:cs="Aptos"/>
                <w:b/>
                <w:bCs/>
                <w:kern w:val="0"/>
              </w:rPr>
              <w:t>No APF</w:t>
            </w:r>
          </w:p>
        </w:tc>
      </w:tr>
      <w:tr w:rsidR="00D07F01" w:rsidRPr="00D07F01" w14:paraId="4EA061EB" w14:textId="77777777" w:rsidTr="00F10BB4">
        <w:trPr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F545" w14:textId="77777777" w:rsidR="00D07F01" w:rsidRPr="00D07F01" w:rsidRDefault="00D07F01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 w:rsidRPr="00D07F01">
              <w:rPr>
                <w:rFonts w:ascii="Montserrat" w:eastAsia="Aptos" w:hAnsi="Montserrat" w:cs="Aptos"/>
                <w:kern w:val="0"/>
              </w:rPr>
              <w:t>CONAHCYT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A3281" w14:textId="77777777" w:rsidR="00D07F01" w:rsidRPr="00D07F01" w:rsidRDefault="00D07F01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 w:rsidRPr="00D07F01">
              <w:rPr>
                <w:rFonts w:ascii="Montserrat" w:eastAsia="Aptos" w:hAnsi="Montserrat" w:cs="Aptos"/>
                <w:kern w:val="0"/>
              </w:rPr>
              <w:t>COLMEX</w:t>
            </w:r>
          </w:p>
        </w:tc>
      </w:tr>
      <w:tr w:rsidR="00D07F01" w:rsidRPr="00D07F01" w14:paraId="46A2200E" w14:textId="77777777" w:rsidTr="00F10BB4">
        <w:trPr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5327" w14:textId="77777777" w:rsidR="00D07F01" w:rsidRPr="00D07F01" w:rsidRDefault="00D07F01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 w:rsidRPr="00D07F01">
              <w:rPr>
                <w:rFonts w:ascii="Montserrat" w:eastAsia="Aptos" w:hAnsi="Montserrat" w:cs="Aptos"/>
                <w:kern w:val="0"/>
              </w:rPr>
              <w:t>SEP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F6C1" w14:textId="77777777" w:rsidR="00D07F01" w:rsidRPr="00D07F01" w:rsidRDefault="00D07F01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 w:rsidRPr="00D07F01">
              <w:rPr>
                <w:rFonts w:ascii="Montserrat" w:eastAsia="Aptos" w:hAnsi="Montserrat" w:cs="Aptos"/>
                <w:kern w:val="0"/>
              </w:rPr>
              <w:t>UNAM</w:t>
            </w:r>
          </w:p>
        </w:tc>
      </w:tr>
      <w:tr w:rsidR="00D07F01" w:rsidRPr="00D07F01" w14:paraId="4A0A44D2" w14:textId="77777777" w:rsidTr="00F10BB4">
        <w:trPr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A009" w14:textId="4BF17649" w:rsidR="00D07F01" w:rsidRPr="00D07F01" w:rsidRDefault="00F10BB4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>
              <w:rPr>
                <w:rFonts w:ascii="Montserrat" w:eastAsia="Aptos" w:hAnsi="Montserrat" w:cs="Aptos"/>
                <w:kern w:val="0"/>
              </w:rPr>
              <w:t>SRE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6924" w14:textId="77777777" w:rsidR="00D07F01" w:rsidRPr="00D07F01" w:rsidRDefault="00D07F01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 w:rsidRPr="00D07F01">
              <w:rPr>
                <w:rFonts w:ascii="Montserrat" w:eastAsia="Aptos" w:hAnsi="Montserrat" w:cs="Aptos"/>
                <w:kern w:val="0"/>
              </w:rPr>
              <w:t>Gobierno Campeche</w:t>
            </w:r>
          </w:p>
        </w:tc>
      </w:tr>
      <w:tr w:rsidR="00D07F01" w:rsidRPr="00D07F01" w14:paraId="6C6BC30A" w14:textId="77777777" w:rsidTr="00F10BB4">
        <w:trPr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15B8" w14:textId="77777777" w:rsidR="00D07F01" w:rsidRPr="00D07F01" w:rsidRDefault="00D07F01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 w:rsidRPr="00D07F01">
              <w:rPr>
                <w:rFonts w:ascii="Montserrat" w:eastAsia="Aptos" w:hAnsi="Montserrat" w:cs="Aptos"/>
                <w:kern w:val="0"/>
              </w:rPr>
              <w:t>SEMARNAT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D6C4" w14:textId="77777777" w:rsidR="00D07F01" w:rsidRPr="00D07F01" w:rsidRDefault="00D07F01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 w:rsidRPr="00D07F01">
              <w:rPr>
                <w:rFonts w:ascii="Montserrat" w:eastAsia="Aptos" w:hAnsi="Montserrat" w:cs="Aptos"/>
                <w:kern w:val="0"/>
              </w:rPr>
              <w:t>Gobierno Quintana Roo</w:t>
            </w:r>
          </w:p>
        </w:tc>
      </w:tr>
      <w:tr w:rsidR="00D07F01" w:rsidRPr="00D07F01" w14:paraId="01EE9257" w14:textId="77777777" w:rsidTr="00F10BB4">
        <w:trPr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4C6B" w14:textId="77777777" w:rsidR="00D07F01" w:rsidRPr="00D07F01" w:rsidRDefault="00D07F01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 w:rsidRPr="00D07F01">
              <w:rPr>
                <w:rFonts w:ascii="Montserrat" w:eastAsia="Aptos" w:hAnsi="Montserrat" w:cs="Aptos"/>
                <w:kern w:val="0"/>
              </w:rPr>
              <w:t>SHCP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EAA78" w14:textId="77777777" w:rsidR="00D07F01" w:rsidRPr="00D07F01" w:rsidRDefault="00D07F01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 w:rsidRPr="00D07F01">
              <w:rPr>
                <w:rFonts w:ascii="Montserrat" w:eastAsia="Aptos" w:hAnsi="Montserrat" w:cs="Aptos"/>
                <w:kern w:val="0"/>
              </w:rPr>
              <w:t>Gobierno Chiapas</w:t>
            </w:r>
          </w:p>
        </w:tc>
      </w:tr>
      <w:tr w:rsidR="00D07F01" w:rsidRPr="00D07F01" w14:paraId="6A5CB1FB" w14:textId="77777777" w:rsidTr="00F10BB4">
        <w:trPr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D7CA" w14:textId="061B8A82" w:rsidR="00D07F01" w:rsidRPr="00D07F01" w:rsidRDefault="00AC7649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>
              <w:rPr>
                <w:rFonts w:ascii="Montserrat" w:eastAsia="Aptos" w:hAnsi="Montserrat" w:cs="Aptos"/>
                <w:kern w:val="0"/>
              </w:rPr>
              <w:t>CICY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4576" w14:textId="77777777" w:rsidR="00D07F01" w:rsidRPr="00D07F01" w:rsidRDefault="00D07F01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 w:rsidRPr="00D07F01">
              <w:rPr>
                <w:rFonts w:ascii="Montserrat" w:eastAsia="Aptos" w:hAnsi="Montserrat" w:cs="Aptos"/>
                <w:kern w:val="0"/>
              </w:rPr>
              <w:t>Gobierno Tabasco</w:t>
            </w:r>
          </w:p>
        </w:tc>
      </w:tr>
      <w:tr w:rsidR="00D07F01" w:rsidRPr="00D07F01" w14:paraId="1AD625D6" w14:textId="77777777" w:rsidTr="00F10BB4">
        <w:trPr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DC87" w14:textId="094E8DBC" w:rsidR="00D07F01" w:rsidRPr="00D07F01" w:rsidRDefault="00AC7649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>
              <w:rPr>
                <w:rFonts w:ascii="Montserrat" w:eastAsia="Aptos" w:hAnsi="Montserrat" w:cs="Aptos"/>
                <w:kern w:val="0"/>
              </w:rPr>
              <w:t>INECOL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E18F" w14:textId="77777777" w:rsidR="00D07F01" w:rsidRPr="00D07F01" w:rsidRDefault="00D07F01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 w:rsidRPr="00D07F01">
              <w:rPr>
                <w:rFonts w:ascii="Montserrat" w:eastAsia="Aptos" w:hAnsi="Montserrat" w:cs="Aptos"/>
                <w:kern w:val="0"/>
              </w:rPr>
              <w:t>A título personal</w:t>
            </w:r>
          </w:p>
        </w:tc>
      </w:tr>
      <w:tr w:rsidR="00D07F01" w:rsidRPr="00D07F01" w14:paraId="7F690020" w14:textId="77777777" w:rsidTr="00F10BB4"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3D90" w14:textId="77777777" w:rsidR="00D07F01" w:rsidRPr="00D07F01" w:rsidRDefault="00D07F01" w:rsidP="00D07F01">
            <w:pPr>
              <w:spacing w:after="0" w:line="240" w:lineRule="auto"/>
              <w:jc w:val="center"/>
              <w:rPr>
                <w:rFonts w:ascii="Montserrat" w:eastAsia="Aptos" w:hAnsi="Montserrat" w:cs="Aptos"/>
                <w:kern w:val="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8757" w14:textId="77777777" w:rsidR="00D07F01" w:rsidRPr="00D07F01" w:rsidRDefault="00D07F01" w:rsidP="00D07F01">
            <w:pPr>
              <w:spacing w:after="0" w:line="240" w:lineRule="auto"/>
              <w:rPr>
                <w:rFonts w:ascii="Montserrat" w:eastAsia="Aptos" w:hAnsi="Montserrat" w:cs="Aptos"/>
                <w:kern w:val="0"/>
              </w:rPr>
            </w:pPr>
            <w:r w:rsidRPr="00D07F01">
              <w:rPr>
                <w:rFonts w:ascii="Montserrat" w:eastAsia="Aptos" w:hAnsi="Montserrat" w:cs="Aptos"/>
                <w:kern w:val="0"/>
              </w:rPr>
              <w:t>A título personal</w:t>
            </w:r>
          </w:p>
        </w:tc>
      </w:tr>
      <w:tr w:rsidR="00F33D0A" w:rsidRPr="00D07F01" w14:paraId="23ED477D" w14:textId="77777777" w:rsidTr="00F10BB4"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CBA4" w14:textId="4E16C3FA" w:rsidR="00F33D0A" w:rsidRPr="00F10BB4" w:rsidRDefault="00F33D0A" w:rsidP="00D07F01">
            <w:pPr>
              <w:spacing w:after="0" w:line="240" w:lineRule="auto"/>
              <w:jc w:val="center"/>
              <w:rPr>
                <w:rFonts w:ascii="Montserrat" w:eastAsia="Aptos" w:hAnsi="Montserrat" w:cs="Aptos"/>
                <w:b/>
                <w:bCs/>
                <w:kern w:val="0"/>
              </w:rPr>
            </w:pPr>
            <w:r w:rsidRPr="00F10BB4">
              <w:rPr>
                <w:rFonts w:ascii="Montserrat" w:eastAsia="Aptos" w:hAnsi="Montserrat" w:cs="Aptos"/>
                <w:b/>
                <w:bCs/>
                <w:kern w:val="0"/>
              </w:rPr>
              <w:t>7 personas de APF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229A" w14:textId="01E777B6" w:rsidR="00F33D0A" w:rsidRPr="00F10BB4" w:rsidRDefault="00F33D0A" w:rsidP="00F10BB4">
            <w:pPr>
              <w:spacing w:after="0" w:line="240" w:lineRule="auto"/>
              <w:jc w:val="center"/>
              <w:rPr>
                <w:rFonts w:ascii="Montserrat" w:eastAsia="Aptos" w:hAnsi="Montserrat" w:cs="Aptos"/>
                <w:b/>
                <w:bCs/>
                <w:kern w:val="0"/>
              </w:rPr>
            </w:pPr>
            <w:r w:rsidRPr="00F10BB4">
              <w:rPr>
                <w:rFonts w:ascii="Montserrat" w:eastAsia="Aptos" w:hAnsi="Montserrat" w:cs="Aptos"/>
                <w:b/>
                <w:bCs/>
                <w:kern w:val="0"/>
              </w:rPr>
              <w:t>8 personas no APF</w:t>
            </w:r>
          </w:p>
        </w:tc>
      </w:tr>
    </w:tbl>
    <w:p w14:paraId="1C5271EB" w14:textId="77777777" w:rsidR="00D07F01" w:rsidRDefault="00D07F01" w:rsidP="00AC7649">
      <w:pPr>
        <w:spacing w:after="0" w:line="276" w:lineRule="auto"/>
        <w:rPr>
          <w:rFonts w:ascii="Montserrat" w:hAnsi="Montserrat"/>
        </w:rPr>
      </w:pPr>
    </w:p>
    <w:p w14:paraId="0FBA5C05" w14:textId="064C0FA6" w:rsidR="00241017" w:rsidRDefault="005001BC" w:rsidP="00241017">
      <w:pPr>
        <w:spacing w:after="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Ante la representación mayoritaria de perso</w:t>
      </w:r>
      <w:r w:rsidR="00B256AD">
        <w:rPr>
          <w:rFonts w:ascii="Montserrat" w:hAnsi="Montserrat"/>
        </w:rPr>
        <w:t xml:space="preserve">nas no pertenecientes a la Administración Pública Federal, se propone como alternativa la posibilidad de añadir algunas Secretarías o instituciones </w:t>
      </w:r>
      <w:r w:rsidR="000E382E">
        <w:rPr>
          <w:rFonts w:ascii="Montserrat" w:hAnsi="Montserrat"/>
        </w:rPr>
        <w:t>del sector gubernamental federal que se relacionan con el quehacer de ECOSUR</w:t>
      </w:r>
      <w:r w:rsidR="00241017">
        <w:rPr>
          <w:rFonts w:ascii="Montserrat" w:hAnsi="Montserrat"/>
        </w:rPr>
        <w:t xml:space="preserve">, entre las cuales </w:t>
      </w:r>
      <w:r w:rsidR="00BF1007">
        <w:rPr>
          <w:rFonts w:ascii="Montserrat" w:hAnsi="Montserrat"/>
        </w:rPr>
        <w:t>destacan</w:t>
      </w:r>
      <w:r w:rsidR="00241017">
        <w:rPr>
          <w:rFonts w:ascii="Montserrat" w:hAnsi="Montserrat"/>
        </w:rPr>
        <w:t>:</w:t>
      </w:r>
    </w:p>
    <w:p w14:paraId="5289CCCD" w14:textId="6DCE277D" w:rsidR="00241017" w:rsidRDefault="00241017" w:rsidP="00241017">
      <w:pPr>
        <w:spacing w:after="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- Secretaría de Salud</w:t>
      </w:r>
    </w:p>
    <w:p w14:paraId="2B6E854E" w14:textId="18A5CBC8" w:rsidR="00241017" w:rsidRDefault="00241017" w:rsidP="00241017">
      <w:pPr>
        <w:spacing w:after="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- </w:t>
      </w:r>
      <w:r w:rsidR="00423BE3">
        <w:rPr>
          <w:rFonts w:ascii="Montserrat" w:hAnsi="Montserrat"/>
        </w:rPr>
        <w:t>Secretaría de Agricultura y Desarrollo Rural (SADER)</w:t>
      </w:r>
    </w:p>
    <w:p w14:paraId="0522E928" w14:textId="2503C0DA" w:rsidR="00423BE3" w:rsidRDefault="00423BE3" w:rsidP="00241017">
      <w:pPr>
        <w:spacing w:after="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- I</w:t>
      </w:r>
      <w:r w:rsidR="00323874">
        <w:rPr>
          <w:rFonts w:ascii="Montserrat" w:hAnsi="Montserrat"/>
        </w:rPr>
        <w:t>nstituto Nacional de Pueblos Indígenas (INPI)</w:t>
      </w:r>
    </w:p>
    <w:p w14:paraId="4D6105F9" w14:textId="6DDDFE3D" w:rsidR="00323874" w:rsidRDefault="00BF1007" w:rsidP="00241017">
      <w:pPr>
        <w:spacing w:after="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- Secretaría de Bienestar</w:t>
      </w:r>
    </w:p>
    <w:p w14:paraId="631FBCAC" w14:textId="24DC3FF0" w:rsidR="00BF1007" w:rsidRDefault="00BF1007" w:rsidP="00241017">
      <w:pPr>
        <w:spacing w:after="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- Instituto Nacional de las Mujeres (INMUJERES)</w:t>
      </w:r>
    </w:p>
    <w:p w14:paraId="2211AFFC" w14:textId="77777777" w:rsidR="0002688D" w:rsidRDefault="0002688D" w:rsidP="00241017">
      <w:pPr>
        <w:spacing w:after="0" w:line="276" w:lineRule="auto"/>
        <w:jc w:val="both"/>
        <w:rPr>
          <w:rFonts w:ascii="Montserrat" w:hAnsi="Montserrat"/>
        </w:rPr>
      </w:pPr>
    </w:p>
    <w:p w14:paraId="59DD3172" w14:textId="669BDBD4" w:rsidR="0002688D" w:rsidRPr="00241017" w:rsidRDefault="00DF43F7" w:rsidP="00241017">
      <w:pPr>
        <w:spacing w:after="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Otra opción sería analizar la pertinencia de eliminar algunas dependencias </w:t>
      </w:r>
      <w:r w:rsidR="003727F4">
        <w:rPr>
          <w:rFonts w:ascii="Montserrat" w:hAnsi="Montserrat"/>
        </w:rPr>
        <w:t>que no pertenecen al sector público federal.</w:t>
      </w:r>
    </w:p>
    <w:sectPr w:rsidR="0002688D" w:rsidRPr="0024101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E9B3" w14:textId="77777777" w:rsidR="0097459D" w:rsidRDefault="0097459D" w:rsidP="00EB5D2E">
      <w:pPr>
        <w:spacing w:after="0" w:line="240" w:lineRule="auto"/>
      </w:pPr>
      <w:r>
        <w:separator/>
      </w:r>
    </w:p>
  </w:endnote>
  <w:endnote w:type="continuationSeparator" w:id="0">
    <w:p w14:paraId="225ACCF3" w14:textId="77777777" w:rsidR="0097459D" w:rsidRDefault="0097459D" w:rsidP="00EB5D2E">
      <w:pPr>
        <w:spacing w:after="0" w:line="240" w:lineRule="auto"/>
      </w:pPr>
      <w:r>
        <w:continuationSeparator/>
      </w:r>
    </w:p>
  </w:endnote>
  <w:endnote w:type="continuationNotice" w:id="1">
    <w:p w14:paraId="7E887803" w14:textId="77777777" w:rsidR="0097459D" w:rsidRDefault="00974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37995"/>
      <w:docPartObj>
        <w:docPartGallery w:val="Page Numbers (Bottom of Page)"/>
        <w:docPartUnique/>
      </w:docPartObj>
    </w:sdtPr>
    <w:sdtEndPr/>
    <w:sdtContent>
      <w:p w14:paraId="210B09C7" w14:textId="1B0DD22F" w:rsidR="00EB5D2E" w:rsidRDefault="00EB5D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6CBD003" w14:textId="46CC9423" w:rsidR="00EB5D2E" w:rsidRPr="00EB5D2E" w:rsidRDefault="00EB5D2E" w:rsidP="00EB5D2E">
    <w:pPr>
      <w:tabs>
        <w:tab w:val="center" w:pos="4419"/>
        <w:tab w:val="right" w:pos="8838"/>
      </w:tabs>
      <w:spacing w:after="0" w:line="240" w:lineRule="auto"/>
      <w:jc w:val="center"/>
      <w:rPr>
        <w:rFonts w:ascii="Montserrat" w:eastAsia="Times New Roman" w:hAnsi="Montserrat" w:cs="Times New Roman"/>
        <w:kern w:val="0"/>
        <w:sz w:val="20"/>
        <w:szCs w:val="20"/>
        <w:lang w:val="es-ES" w:eastAsia="es-MX"/>
        <w14:ligatures w14:val="none"/>
      </w:rPr>
    </w:pPr>
    <w:r w:rsidRPr="00EB5D2E">
      <w:rPr>
        <w:rFonts w:ascii="Montserrat" w:eastAsia="Times New Roman" w:hAnsi="Montserrat" w:cs="Times New Roman"/>
        <w:kern w:val="0"/>
        <w:sz w:val="20"/>
        <w:szCs w:val="20"/>
        <w:lang w:val="es-ES" w:eastAsia="es-MX"/>
        <w14:ligatures w14:val="none"/>
      </w:rPr>
      <w:t>Primera Sesión Ordinaria de Órgano de Gobierno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765F" w14:textId="77777777" w:rsidR="0097459D" w:rsidRDefault="0097459D" w:rsidP="00EB5D2E">
      <w:pPr>
        <w:spacing w:after="0" w:line="240" w:lineRule="auto"/>
      </w:pPr>
      <w:r>
        <w:separator/>
      </w:r>
    </w:p>
  </w:footnote>
  <w:footnote w:type="continuationSeparator" w:id="0">
    <w:p w14:paraId="7887FCC4" w14:textId="77777777" w:rsidR="0097459D" w:rsidRDefault="0097459D" w:rsidP="00EB5D2E">
      <w:pPr>
        <w:spacing w:after="0" w:line="240" w:lineRule="auto"/>
      </w:pPr>
      <w:r>
        <w:continuationSeparator/>
      </w:r>
    </w:p>
  </w:footnote>
  <w:footnote w:type="continuationNotice" w:id="1">
    <w:p w14:paraId="4FB3A338" w14:textId="77777777" w:rsidR="0097459D" w:rsidRDefault="009745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3AA7" w14:textId="556D45E0" w:rsidR="00EB5D2E" w:rsidRDefault="00EB5D2E">
    <w:pPr>
      <w:pStyle w:val="Encabezado"/>
    </w:pPr>
    <w:r>
      <w:rPr>
        <w:noProof/>
      </w:rPr>
      <w:drawing>
        <wp:inline distT="0" distB="0" distL="0" distR="0" wp14:anchorId="605D9F9B" wp14:editId="588DDD3D">
          <wp:extent cx="5755005" cy="567055"/>
          <wp:effectExtent l="0" t="0" r="0" b="4445"/>
          <wp:docPr id="21458381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4EEB8F" w14:textId="77777777" w:rsidR="00EB5D2E" w:rsidRDefault="00EB5D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60"/>
    <w:multiLevelType w:val="hybridMultilevel"/>
    <w:tmpl w:val="B5B67F96"/>
    <w:lvl w:ilvl="0" w:tplc="4D9A7A34">
      <w:start w:val="8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9E4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EF3F99"/>
    <w:multiLevelType w:val="hybridMultilevel"/>
    <w:tmpl w:val="6C462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B2EE3"/>
    <w:multiLevelType w:val="hybridMultilevel"/>
    <w:tmpl w:val="B7581E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51D0C"/>
    <w:multiLevelType w:val="hybridMultilevel"/>
    <w:tmpl w:val="6C462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734888">
    <w:abstractNumId w:val="0"/>
  </w:num>
  <w:num w:numId="2" w16cid:durableId="273756966">
    <w:abstractNumId w:val="1"/>
  </w:num>
  <w:num w:numId="3" w16cid:durableId="1677537517">
    <w:abstractNumId w:val="4"/>
  </w:num>
  <w:num w:numId="4" w16cid:durableId="176384956">
    <w:abstractNumId w:val="3"/>
  </w:num>
  <w:num w:numId="5" w16cid:durableId="16706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E"/>
    <w:rsid w:val="000105F1"/>
    <w:rsid w:val="0001612B"/>
    <w:rsid w:val="0002688D"/>
    <w:rsid w:val="000343FB"/>
    <w:rsid w:val="000406CD"/>
    <w:rsid w:val="00042C38"/>
    <w:rsid w:val="000441AF"/>
    <w:rsid w:val="000603D0"/>
    <w:rsid w:val="00061FE5"/>
    <w:rsid w:val="000677E1"/>
    <w:rsid w:val="00087DD6"/>
    <w:rsid w:val="00092E0F"/>
    <w:rsid w:val="00096CCA"/>
    <w:rsid w:val="0009730F"/>
    <w:rsid w:val="000C3825"/>
    <w:rsid w:val="000D3093"/>
    <w:rsid w:val="000D47EE"/>
    <w:rsid w:val="000E382E"/>
    <w:rsid w:val="000E53A0"/>
    <w:rsid w:val="001065F0"/>
    <w:rsid w:val="001144F8"/>
    <w:rsid w:val="00145F02"/>
    <w:rsid w:val="00166976"/>
    <w:rsid w:val="0017736D"/>
    <w:rsid w:val="001834C7"/>
    <w:rsid w:val="001869E9"/>
    <w:rsid w:val="00194F82"/>
    <w:rsid w:val="001A70A8"/>
    <w:rsid w:val="001B1DF3"/>
    <w:rsid w:val="001C0240"/>
    <w:rsid w:val="001C421E"/>
    <w:rsid w:val="001D5A8C"/>
    <w:rsid w:val="001F0D10"/>
    <w:rsid w:val="00233D7D"/>
    <w:rsid w:val="00240BCE"/>
    <w:rsid w:val="00241017"/>
    <w:rsid w:val="002528CE"/>
    <w:rsid w:val="002A66B8"/>
    <w:rsid w:val="00320E8F"/>
    <w:rsid w:val="00323874"/>
    <w:rsid w:val="00352605"/>
    <w:rsid w:val="00352ED4"/>
    <w:rsid w:val="003727F4"/>
    <w:rsid w:val="00372B08"/>
    <w:rsid w:val="00381DC1"/>
    <w:rsid w:val="00385CD2"/>
    <w:rsid w:val="003B6643"/>
    <w:rsid w:val="003D38BB"/>
    <w:rsid w:val="003E294D"/>
    <w:rsid w:val="003F1BD4"/>
    <w:rsid w:val="00401047"/>
    <w:rsid w:val="004027BB"/>
    <w:rsid w:val="004207D5"/>
    <w:rsid w:val="00423BE3"/>
    <w:rsid w:val="00433AAC"/>
    <w:rsid w:val="0043561A"/>
    <w:rsid w:val="00436E4D"/>
    <w:rsid w:val="00437E41"/>
    <w:rsid w:val="0044514F"/>
    <w:rsid w:val="004545A1"/>
    <w:rsid w:val="00461C33"/>
    <w:rsid w:val="004711BF"/>
    <w:rsid w:val="00474ABA"/>
    <w:rsid w:val="00480A45"/>
    <w:rsid w:val="004E3EEB"/>
    <w:rsid w:val="004E7ACF"/>
    <w:rsid w:val="004F260D"/>
    <w:rsid w:val="005001BC"/>
    <w:rsid w:val="00512E19"/>
    <w:rsid w:val="005176EC"/>
    <w:rsid w:val="005200DF"/>
    <w:rsid w:val="00537A97"/>
    <w:rsid w:val="00545D50"/>
    <w:rsid w:val="00567FDC"/>
    <w:rsid w:val="00586A87"/>
    <w:rsid w:val="005A5D5B"/>
    <w:rsid w:val="005B2D87"/>
    <w:rsid w:val="005D6DE9"/>
    <w:rsid w:val="006137D0"/>
    <w:rsid w:val="00660142"/>
    <w:rsid w:val="006931DA"/>
    <w:rsid w:val="006E29E3"/>
    <w:rsid w:val="006F215A"/>
    <w:rsid w:val="00711954"/>
    <w:rsid w:val="00733AB9"/>
    <w:rsid w:val="007518CB"/>
    <w:rsid w:val="007749E6"/>
    <w:rsid w:val="007863BF"/>
    <w:rsid w:val="007A64AF"/>
    <w:rsid w:val="007D7DE9"/>
    <w:rsid w:val="007E02F8"/>
    <w:rsid w:val="007F4A4F"/>
    <w:rsid w:val="00831AD4"/>
    <w:rsid w:val="0085453F"/>
    <w:rsid w:val="00895134"/>
    <w:rsid w:val="00897005"/>
    <w:rsid w:val="008A40BD"/>
    <w:rsid w:val="008C2C44"/>
    <w:rsid w:val="008D6E81"/>
    <w:rsid w:val="00943FCA"/>
    <w:rsid w:val="00947154"/>
    <w:rsid w:val="00950C1E"/>
    <w:rsid w:val="00951C9B"/>
    <w:rsid w:val="00956D68"/>
    <w:rsid w:val="00962382"/>
    <w:rsid w:val="00966DE2"/>
    <w:rsid w:val="0097459D"/>
    <w:rsid w:val="00985FB2"/>
    <w:rsid w:val="00986BA8"/>
    <w:rsid w:val="00994869"/>
    <w:rsid w:val="009A181D"/>
    <w:rsid w:val="009A5991"/>
    <w:rsid w:val="009C787E"/>
    <w:rsid w:val="009D6547"/>
    <w:rsid w:val="009E0875"/>
    <w:rsid w:val="00A629A8"/>
    <w:rsid w:val="00A74676"/>
    <w:rsid w:val="00AC7649"/>
    <w:rsid w:val="00AF4724"/>
    <w:rsid w:val="00AF6B00"/>
    <w:rsid w:val="00B11281"/>
    <w:rsid w:val="00B256AD"/>
    <w:rsid w:val="00B53C67"/>
    <w:rsid w:val="00B57AC4"/>
    <w:rsid w:val="00B74D77"/>
    <w:rsid w:val="00B8542B"/>
    <w:rsid w:val="00BA5D98"/>
    <w:rsid w:val="00BF1007"/>
    <w:rsid w:val="00BF2F86"/>
    <w:rsid w:val="00C27908"/>
    <w:rsid w:val="00C45147"/>
    <w:rsid w:val="00C603CA"/>
    <w:rsid w:val="00C64B25"/>
    <w:rsid w:val="00C91A04"/>
    <w:rsid w:val="00CC773A"/>
    <w:rsid w:val="00D06DE8"/>
    <w:rsid w:val="00D07F01"/>
    <w:rsid w:val="00D1058C"/>
    <w:rsid w:val="00D13018"/>
    <w:rsid w:val="00D15574"/>
    <w:rsid w:val="00D24661"/>
    <w:rsid w:val="00D6256E"/>
    <w:rsid w:val="00D62A9B"/>
    <w:rsid w:val="00D63030"/>
    <w:rsid w:val="00D969BA"/>
    <w:rsid w:val="00DB39DB"/>
    <w:rsid w:val="00DE5E97"/>
    <w:rsid w:val="00DF43F7"/>
    <w:rsid w:val="00DF52C4"/>
    <w:rsid w:val="00E04070"/>
    <w:rsid w:val="00E14B31"/>
    <w:rsid w:val="00E16461"/>
    <w:rsid w:val="00E2435A"/>
    <w:rsid w:val="00E30EE0"/>
    <w:rsid w:val="00E74BE6"/>
    <w:rsid w:val="00E86809"/>
    <w:rsid w:val="00E9317D"/>
    <w:rsid w:val="00EB5D2E"/>
    <w:rsid w:val="00EF7F2C"/>
    <w:rsid w:val="00F10BB4"/>
    <w:rsid w:val="00F12E32"/>
    <w:rsid w:val="00F13D85"/>
    <w:rsid w:val="00F174A3"/>
    <w:rsid w:val="00F20414"/>
    <w:rsid w:val="00F278B9"/>
    <w:rsid w:val="00F33D0A"/>
    <w:rsid w:val="00F406D9"/>
    <w:rsid w:val="00F427B5"/>
    <w:rsid w:val="00F50F3A"/>
    <w:rsid w:val="00F622B6"/>
    <w:rsid w:val="00F6265F"/>
    <w:rsid w:val="00F97B2B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38FC6"/>
  <w15:chartTrackingRefBased/>
  <w15:docId w15:val="{1B0CDB83-0B5B-463D-8C32-5A09FB9E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2E"/>
  </w:style>
  <w:style w:type="paragraph" w:styleId="Ttulo1">
    <w:name w:val="heading 1"/>
    <w:basedOn w:val="Normal"/>
    <w:next w:val="Normal"/>
    <w:link w:val="Ttulo1Car"/>
    <w:uiPriority w:val="9"/>
    <w:qFormat/>
    <w:rsid w:val="00EB5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5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5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5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5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5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5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5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5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5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5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5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5D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5D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5D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5D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5D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5D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5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5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5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5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5D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5D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5D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5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5D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5D2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5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D2E"/>
  </w:style>
  <w:style w:type="paragraph" w:styleId="Piedepgina">
    <w:name w:val="footer"/>
    <w:basedOn w:val="Normal"/>
    <w:link w:val="PiedepginaCar"/>
    <w:uiPriority w:val="99"/>
    <w:unhideWhenUsed/>
    <w:rsid w:val="00EB5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D2E"/>
  </w:style>
  <w:style w:type="paragraph" w:customStyle="1" w:styleId="Default">
    <w:name w:val="Default"/>
    <w:rsid w:val="00B57AC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</w:rPr>
  </w:style>
  <w:style w:type="paragraph" w:styleId="Revisin">
    <w:name w:val="Revision"/>
    <w:hidden/>
    <w:uiPriority w:val="99"/>
    <w:semiHidden/>
    <w:rsid w:val="00537A9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37A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7A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7A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7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996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121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C618665DA3F8479CC92AE8FA3A1E52" ma:contentTypeVersion="34" ma:contentTypeDescription="Crear nuevo documento." ma:contentTypeScope="" ma:versionID="74c3eda379344cbeba482dd3fc30e1d2">
  <xsd:schema xmlns:xsd="http://www.w3.org/2001/XMLSchema" xmlns:xs="http://www.w3.org/2001/XMLSchema" xmlns:p="http://schemas.microsoft.com/office/2006/metadata/properties" xmlns:ns2="98874ee6-6345-4583-9d11-61c8fac31dae" xmlns:ns3="30306dc2-8229-4440-aa65-d8dc0d01aedb" targetNamespace="http://schemas.microsoft.com/office/2006/metadata/properties" ma:root="true" ma:fieldsID="92c246040f734260cb72a3d6e9912961" ns2:_="" ns3:_="">
    <xsd:import namespace="98874ee6-6345-4583-9d11-61c8fac31dae"/>
    <xsd:import namespace="30306dc2-8229-4440-aa65-d8dc0d01a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nform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4ee6-6345-4583-9d11-61c8fac3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rme" ma:index="18" nillable="true" ma:displayName="Informe" ma:description="prueba" ma:format="Dropdown" ma:internalName="Inform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6dc2-8229-4440-aa65-d8dc0d01a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f9afdb-6797-4977-b6c5-4f71c292898d}" ma:internalName="TaxCatchAll" ma:showField="CatchAllData" ma:web="30306dc2-8229-4440-aa65-d8dc0d01a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74ee6-6345-4583-9d11-61c8fac31dae">
      <Terms xmlns="http://schemas.microsoft.com/office/infopath/2007/PartnerControls"/>
    </lcf76f155ced4ddcb4097134ff3c332f>
    <TaxCatchAll xmlns="30306dc2-8229-4440-aa65-d8dc0d01aedb" xsi:nil="true"/>
    <Informe xmlns="98874ee6-6345-4583-9d11-61c8fac31dae" xsi:nil="true"/>
  </documentManagement>
</p:properties>
</file>

<file path=customXml/itemProps1.xml><?xml version="1.0" encoding="utf-8"?>
<ds:datastoreItem xmlns:ds="http://schemas.openxmlformats.org/officeDocument/2006/customXml" ds:itemID="{7FEE1E9C-90A7-4813-A184-544ED1401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691CA-F8CE-42E3-A692-0C2768128601}"/>
</file>

<file path=customXml/itemProps3.xml><?xml version="1.0" encoding="utf-8"?>
<ds:datastoreItem xmlns:ds="http://schemas.openxmlformats.org/officeDocument/2006/customXml" ds:itemID="{04BAFB31-601D-4C6D-91A3-E963CA8CF03D}">
  <ds:schemaRefs>
    <ds:schemaRef ds:uri="http://schemas.microsoft.com/office/2006/metadata/properties"/>
    <ds:schemaRef ds:uri="http://schemas.microsoft.com/office/infopath/2007/PartnerControls"/>
    <ds:schemaRef ds:uri="98874ee6-6345-4583-9d11-61c8fac31dae"/>
    <ds:schemaRef ds:uri="30306dc2-8229-4440-aa65-d8dc0d01a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1438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Claude Brunel Manse</dc:creator>
  <cp:keywords/>
  <dc:description/>
  <cp:lastModifiedBy>Marie Claude Brunel Manse</cp:lastModifiedBy>
  <cp:revision>11</cp:revision>
  <dcterms:created xsi:type="dcterms:W3CDTF">2024-04-22T20:24:00Z</dcterms:created>
  <dcterms:modified xsi:type="dcterms:W3CDTF">2024-04-23T19:24:00Z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0x01010060C618665DA3F8479CC92AE8FA3A1E52</vt:lpwstr>
  </property>
  <property fmtid="{D5CDD505-2E9C-101B-9397-08002B2CF9AE}" pid="3" name="MediaServiceImageTags">
    <vt:lpwstr/>
  </property>
</Properties>
</file>