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74A8" w14:textId="77777777" w:rsidR="004467D4" w:rsidRDefault="004467D4" w:rsidP="004467D4">
      <w:pPr>
        <w:jc w:val="center"/>
        <w:rPr>
          <w:rFonts w:ascii="Montserrat" w:hAnsi="Montserrat"/>
          <w:b/>
          <w:i/>
          <w:szCs w:val="20"/>
        </w:rPr>
      </w:pPr>
    </w:p>
    <w:p w14:paraId="54ADD06F" w14:textId="1F03AD1F" w:rsidR="004467D4" w:rsidRPr="004467D4" w:rsidRDefault="00CC34F6" w:rsidP="004467D4">
      <w:pPr>
        <w:jc w:val="center"/>
        <w:rPr>
          <w:rFonts w:ascii="Montserrat" w:hAnsi="Montserrat"/>
          <w:b/>
          <w:i/>
          <w:szCs w:val="22"/>
        </w:rPr>
      </w:pPr>
      <w:r>
        <w:rPr>
          <w:rFonts w:ascii="Montserrat" w:hAnsi="Montserrat"/>
          <w:b/>
          <w:i/>
          <w:szCs w:val="22"/>
        </w:rPr>
        <w:t>5</w:t>
      </w:r>
      <w:r w:rsidR="00443AEC">
        <w:rPr>
          <w:rFonts w:ascii="Montserrat" w:hAnsi="Montserrat"/>
          <w:b/>
          <w:i/>
          <w:szCs w:val="22"/>
        </w:rPr>
        <w:t>.</w:t>
      </w:r>
      <w:r w:rsidR="007E7837">
        <w:rPr>
          <w:rFonts w:ascii="Montserrat" w:hAnsi="Montserrat"/>
          <w:b/>
          <w:i/>
          <w:szCs w:val="22"/>
        </w:rPr>
        <w:t>6</w:t>
      </w:r>
      <w:r w:rsidR="004467D4" w:rsidRPr="004467D4">
        <w:rPr>
          <w:rFonts w:ascii="Montserrat" w:hAnsi="Montserrat"/>
          <w:b/>
          <w:i/>
          <w:szCs w:val="22"/>
        </w:rPr>
        <w:t xml:space="preserve"> Informe de Avance y Medidas para la Consolidación de la Armonización Contable</w:t>
      </w:r>
    </w:p>
    <w:p w14:paraId="2B2212FC" w14:textId="77777777" w:rsidR="004467D4" w:rsidRPr="004467D4" w:rsidRDefault="004467D4" w:rsidP="004467D4">
      <w:pPr>
        <w:pStyle w:val="Prrafodelista"/>
        <w:ind w:left="567"/>
        <w:jc w:val="both"/>
        <w:rPr>
          <w:rFonts w:ascii="Montserrat" w:hAnsi="Montserrat"/>
          <w:szCs w:val="22"/>
        </w:rPr>
      </w:pPr>
    </w:p>
    <w:p w14:paraId="553F0D29" w14:textId="7E52C20E"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El sistema Net-Multix registra de conformidad con los artículos 19, 23, 24, 27-29, 34-38 y 47 de la Ley General de Contabilidad Gubernamental de manera armónica, delimitada y específica los procedimientos derivados de las operaciones de E</w:t>
      </w:r>
      <w:r w:rsidR="008F0A6C">
        <w:rPr>
          <w:rFonts w:ascii="Montserrat" w:hAnsi="Montserrat"/>
          <w:szCs w:val="22"/>
        </w:rPr>
        <w:t>l</w:t>
      </w:r>
      <w:r w:rsidRPr="004467D4">
        <w:rPr>
          <w:rFonts w:ascii="Montserrat" w:hAnsi="Montserrat"/>
          <w:szCs w:val="22"/>
        </w:rPr>
        <w:t xml:space="preserve"> Colegio, así como otros flujos económicos. Asimismo, genera estados financieros, confiables, oportunos, comprensibles, periódicos y comparables, los cuales son expresados en términos monetarios.</w:t>
      </w:r>
    </w:p>
    <w:p w14:paraId="6EE8BFE6" w14:textId="77777777" w:rsidR="004467D4" w:rsidRPr="004467D4" w:rsidRDefault="004467D4" w:rsidP="004467D4">
      <w:pPr>
        <w:pStyle w:val="Prrafodelista"/>
        <w:ind w:left="426" w:hanging="284"/>
        <w:jc w:val="both"/>
        <w:rPr>
          <w:rFonts w:ascii="Montserrat" w:hAnsi="Montserrat"/>
          <w:szCs w:val="22"/>
        </w:rPr>
      </w:pPr>
    </w:p>
    <w:p w14:paraId="7216CADF"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Con relación al artículo 42 de la LGCG, El Colegio se respalda con la documentación original que comprueba y justifica los registros que efectúa.</w:t>
      </w:r>
    </w:p>
    <w:p w14:paraId="6F71B1A3" w14:textId="77777777" w:rsidR="004467D4" w:rsidRPr="004467D4" w:rsidRDefault="004467D4" w:rsidP="004467D4">
      <w:pPr>
        <w:pStyle w:val="Prrafodelista"/>
        <w:ind w:left="426" w:hanging="284"/>
        <w:jc w:val="both"/>
        <w:rPr>
          <w:rFonts w:ascii="Montserrat" w:hAnsi="Montserrat"/>
          <w:szCs w:val="22"/>
        </w:rPr>
      </w:pPr>
    </w:p>
    <w:p w14:paraId="77B8B851"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De conformidad con el artículo 27, párrafo segundo, de la LGCG, el cual menciona la difusión a través de internet del inventario de los bienes que se adquieran, por lo menos, cada seis meses, por lo anterior se ha realizado la difusión para dar cumplimiento a dicha Ley.</w:t>
      </w:r>
    </w:p>
    <w:p w14:paraId="0483F03E" w14:textId="77777777" w:rsidR="004467D4" w:rsidRPr="004467D4" w:rsidRDefault="004467D4" w:rsidP="004467D4">
      <w:pPr>
        <w:pStyle w:val="Prrafodelista"/>
        <w:ind w:left="426" w:hanging="284"/>
        <w:jc w:val="both"/>
        <w:rPr>
          <w:rFonts w:ascii="Montserrat" w:hAnsi="Montserrat"/>
          <w:szCs w:val="22"/>
        </w:rPr>
      </w:pPr>
    </w:p>
    <w:p w14:paraId="54A434E4"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Y el artículo 51 de LGCG, el cual menciona la difusión a través de las respectivas páginas de internet, la información financiera que se genere, por lo menos, trimestralmente, en atención a dicho artículo, la difusión del primer trimestre se encuentra en la página respectiva y se está elaborando el segundo trimestre para dar cumplimiento a dicha Ley.</w:t>
      </w:r>
    </w:p>
    <w:p w14:paraId="3A8DFBC6" w14:textId="77777777" w:rsidR="004467D4" w:rsidRPr="004467D4" w:rsidRDefault="004467D4" w:rsidP="004467D4">
      <w:pPr>
        <w:pStyle w:val="Prrafodelista"/>
        <w:ind w:left="426" w:hanging="284"/>
        <w:rPr>
          <w:rFonts w:ascii="Montserrat" w:hAnsi="Montserrat"/>
          <w:szCs w:val="22"/>
        </w:rPr>
      </w:pPr>
    </w:p>
    <w:p w14:paraId="7400B8D0"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De conformidad con el capítulo II, del contenido de la cuenta pública de la LGCG, el colegio elabora los estados financieros y demás información presupuestaria, programática y contable que emanan de los registros, que son la base para la formulación de la cuenta pública anual.</w:t>
      </w:r>
    </w:p>
    <w:p w14:paraId="5ABEF441" w14:textId="77777777" w:rsidR="004467D4" w:rsidRPr="004467D4" w:rsidRDefault="004467D4" w:rsidP="004467D4">
      <w:pPr>
        <w:pStyle w:val="Prrafodelista"/>
        <w:ind w:left="426" w:hanging="284"/>
        <w:rPr>
          <w:rFonts w:ascii="Montserrat" w:hAnsi="Montserrat"/>
          <w:szCs w:val="22"/>
        </w:rPr>
      </w:pPr>
    </w:p>
    <w:p w14:paraId="6AAD42A5"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 xml:space="preserve">El Colegio utiliza los manuales de contabilidad Gubernamental de Centros Públicos de Investigación, que tiene por objeto establecer los criterios generales que rigen el registro de las operaciones contables. </w:t>
      </w:r>
    </w:p>
    <w:p w14:paraId="13E29666" w14:textId="77777777" w:rsidR="004467D4" w:rsidRPr="004467D4" w:rsidRDefault="004467D4" w:rsidP="004467D4">
      <w:pPr>
        <w:pStyle w:val="Prrafodelista"/>
        <w:rPr>
          <w:rFonts w:ascii="Montserrat" w:hAnsi="Montserrat"/>
          <w:szCs w:val="22"/>
        </w:rPr>
      </w:pPr>
    </w:p>
    <w:p w14:paraId="76B09474"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En el marco de la ley general de contabilidad gubernamental, El Colegio de la Frontera Sur se encuentra incorporado al 100% así también dicha ley contiene múltiples disposiciones que representan un cambio sustantivo en la forma que se debe de llevar la contabilidad gubernamental, estableciendo disposiciones transitorias, para una implementación progresiva de las obligaciones que deben desarrollar El Colegio.</w:t>
      </w:r>
    </w:p>
    <w:p w14:paraId="6F3C1854" w14:textId="77777777" w:rsidR="004467D4" w:rsidRPr="004467D4" w:rsidRDefault="004467D4" w:rsidP="004467D4">
      <w:pPr>
        <w:rPr>
          <w:rFonts w:ascii="Montserrat" w:hAnsi="Montserrat"/>
          <w:szCs w:val="22"/>
        </w:rPr>
      </w:pPr>
    </w:p>
    <w:p w14:paraId="6F7E47D2" w14:textId="77777777" w:rsidR="004467D4" w:rsidRPr="004467D4" w:rsidRDefault="004467D4" w:rsidP="004467D4">
      <w:pPr>
        <w:rPr>
          <w:rFonts w:ascii="Montserrat" w:hAnsi="Montserrat"/>
          <w:szCs w:val="22"/>
        </w:rPr>
      </w:pPr>
    </w:p>
    <w:p w14:paraId="5A96467D" w14:textId="77777777" w:rsidR="004467D4" w:rsidRPr="004467D4" w:rsidRDefault="004467D4" w:rsidP="004467D4">
      <w:pPr>
        <w:rPr>
          <w:rFonts w:ascii="Montserrat" w:hAnsi="Montserrat"/>
          <w:szCs w:val="22"/>
        </w:rPr>
      </w:pPr>
    </w:p>
    <w:p w14:paraId="5A3CD7E9" w14:textId="77777777" w:rsidR="004467D4" w:rsidRDefault="004467D4" w:rsidP="004467D4">
      <w:pPr>
        <w:rPr>
          <w:rFonts w:ascii="Montserrat" w:hAnsi="Montserrat"/>
          <w:szCs w:val="22"/>
        </w:rPr>
      </w:pPr>
    </w:p>
    <w:p w14:paraId="521B0559" w14:textId="5F17CC9D" w:rsidR="004467D4" w:rsidRPr="004467D4" w:rsidRDefault="004467D4" w:rsidP="004467D4">
      <w:pPr>
        <w:jc w:val="both"/>
        <w:rPr>
          <w:rFonts w:ascii="Montserrat" w:hAnsi="Montserrat"/>
          <w:szCs w:val="22"/>
        </w:rPr>
      </w:pPr>
      <w:r w:rsidRPr="004467D4">
        <w:rPr>
          <w:rFonts w:ascii="Montserrat" w:hAnsi="Montserrat"/>
          <w:szCs w:val="22"/>
        </w:rPr>
        <w:t>La Ley incorporó los estándares más avanzados en la contabilidad gubernamental el cual su objetivo es contribuir a un mejor control de los recursos financieros, patrimonio y transparentar el ejercicio de los recursos públicos, que para tal efecto El Colegio cuenta con el sistema</w:t>
      </w:r>
      <w:r w:rsidR="00434ACE">
        <w:rPr>
          <w:rFonts w:ascii="Montserrat" w:hAnsi="Montserrat"/>
          <w:szCs w:val="22"/>
        </w:rPr>
        <w:t xml:space="preserve"> GRP</w:t>
      </w:r>
      <w:r w:rsidRPr="004467D4">
        <w:rPr>
          <w:rFonts w:ascii="Montserrat" w:hAnsi="Montserrat"/>
          <w:szCs w:val="22"/>
        </w:rPr>
        <w:t xml:space="preserve"> Net-Multix que registra puntualmente las operaciones presupuestarias, contable y que se utiliza para la mejor toma de decisiones; además transparenta los movimientos que se realizan con los recursos y el patrimonio público.</w:t>
      </w:r>
    </w:p>
    <w:p w14:paraId="71A8FC4C" w14:textId="77777777" w:rsidR="004467D4" w:rsidRPr="004467D4" w:rsidRDefault="004467D4" w:rsidP="004467D4">
      <w:pPr>
        <w:jc w:val="both"/>
        <w:rPr>
          <w:rFonts w:ascii="Montserrat" w:hAnsi="Montserrat"/>
          <w:szCs w:val="22"/>
        </w:rPr>
      </w:pPr>
    </w:p>
    <w:p w14:paraId="7AE3EF0F" w14:textId="0CBAFCFE" w:rsidR="004467D4" w:rsidRPr="004467D4" w:rsidRDefault="004467D4" w:rsidP="004467D4">
      <w:pPr>
        <w:jc w:val="both"/>
        <w:rPr>
          <w:rFonts w:ascii="Montserrat" w:hAnsi="Montserrat"/>
          <w:szCs w:val="22"/>
        </w:rPr>
      </w:pPr>
      <w:r w:rsidRPr="004467D4">
        <w:rPr>
          <w:rFonts w:ascii="Montserrat" w:hAnsi="Montserrat"/>
          <w:szCs w:val="22"/>
        </w:rPr>
        <w:t xml:space="preserve">La CONAC sigue fortaleciendo las medidas de armonización progresiva para alcanzar la plenitud de sus objetivos, el cual, El Colegio evalúa el nivel de desarrollo de la norma en los sistemas, a efecto de determinar el grado de implementación para dar cabal cumplimiento a dicha la Ley. </w:t>
      </w:r>
      <w:r>
        <w:rPr>
          <w:rFonts w:ascii="Montserrat" w:hAnsi="Montserrat"/>
          <w:szCs w:val="22"/>
        </w:rPr>
        <w:t xml:space="preserve"> En la evaluación realizada en el mes de noviembre 202</w:t>
      </w:r>
      <w:r w:rsidR="00D464F4">
        <w:rPr>
          <w:rFonts w:ascii="Montserrat" w:hAnsi="Montserrat"/>
          <w:szCs w:val="22"/>
        </w:rPr>
        <w:t>3</w:t>
      </w:r>
      <w:r>
        <w:rPr>
          <w:rFonts w:ascii="Montserrat" w:hAnsi="Montserrat"/>
          <w:szCs w:val="22"/>
        </w:rPr>
        <w:t xml:space="preserve">, a través del </w:t>
      </w:r>
      <w:r w:rsidRPr="004467D4">
        <w:rPr>
          <w:rFonts w:ascii="Montserrat" w:hAnsi="Montserrat"/>
          <w:szCs w:val="22"/>
        </w:rPr>
        <w:t>Sistema de Evaluaciones de la Armonización Contable</w:t>
      </w:r>
      <w:r>
        <w:rPr>
          <w:rFonts w:ascii="Montserrat" w:hAnsi="Montserrat"/>
          <w:szCs w:val="22"/>
        </w:rPr>
        <w:t xml:space="preserve"> SEvAC, El Colegio de la Frontera Sur, alcanzó un grado de cumplimiento del </w:t>
      </w:r>
      <w:r w:rsidR="00D464F4">
        <w:rPr>
          <w:rFonts w:ascii="Montserrat" w:hAnsi="Montserrat"/>
          <w:szCs w:val="22"/>
        </w:rPr>
        <w:t>100</w:t>
      </w:r>
      <w:r>
        <w:rPr>
          <w:rFonts w:ascii="Montserrat" w:hAnsi="Montserrat"/>
          <w:szCs w:val="22"/>
        </w:rPr>
        <w:t>%.</w:t>
      </w:r>
    </w:p>
    <w:p w14:paraId="1557119B" w14:textId="77777777" w:rsidR="004467D4" w:rsidRPr="004467D4" w:rsidRDefault="004467D4" w:rsidP="004467D4">
      <w:pPr>
        <w:jc w:val="both"/>
        <w:rPr>
          <w:rFonts w:ascii="Montserrat" w:hAnsi="Montserrat"/>
          <w:szCs w:val="22"/>
        </w:rPr>
      </w:pPr>
    </w:p>
    <w:p w14:paraId="484B243A" w14:textId="77777777" w:rsidR="004467D4" w:rsidRPr="004467D4" w:rsidRDefault="004467D4" w:rsidP="004467D4">
      <w:pPr>
        <w:rPr>
          <w:rFonts w:ascii="Montserrat" w:hAnsi="Montserrat" w:cs="Arial"/>
          <w:szCs w:val="22"/>
        </w:rPr>
      </w:pPr>
    </w:p>
    <w:p w14:paraId="05B99266" w14:textId="77777777" w:rsidR="004467D4" w:rsidRPr="004467D4" w:rsidRDefault="004467D4" w:rsidP="004467D4">
      <w:pPr>
        <w:rPr>
          <w:rFonts w:ascii="Montserrat" w:hAnsi="Montserrat" w:cs="Arial"/>
          <w:szCs w:val="22"/>
          <w:lang w:val="es-MX"/>
        </w:rPr>
      </w:pPr>
    </w:p>
    <w:p w14:paraId="3B3217EA" w14:textId="77777777" w:rsidR="004467D4" w:rsidRPr="004467D4" w:rsidRDefault="004467D4" w:rsidP="004467D4">
      <w:pPr>
        <w:rPr>
          <w:rFonts w:ascii="Montserrat" w:hAnsi="Montserrat" w:cs="Arial"/>
          <w:szCs w:val="22"/>
          <w:lang w:val="es-MX"/>
        </w:rPr>
      </w:pPr>
    </w:p>
    <w:p w14:paraId="0BCC4314" w14:textId="77777777" w:rsidR="004467D4" w:rsidRPr="004467D4" w:rsidRDefault="004467D4" w:rsidP="004467D4">
      <w:pPr>
        <w:rPr>
          <w:rFonts w:ascii="Montserrat" w:hAnsi="Montserrat" w:cs="Arial"/>
          <w:szCs w:val="22"/>
          <w:lang w:val="es-MX"/>
        </w:rPr>
      </w:pPr>
    </w:p>
    <w:p w14:paraId="36360C4A" w14:textId="77777777" w:rsidR="004467D4" w:rsidRPr="004467D4" w:rsidRDefault="004467D4" w:rsidP="004467D4">
      <w:pPr>
        <w:rPr>
          <w:rFonts w:ascii="Montserrat" w:hAnsi="Montserrat" w:cs="Arial"/>
          <w:szCs w:val="22"/>
          <w:lang w:val="es-MX"/>
        </w:rPr>
      </w:pPr>
    </w:p>
    <w:p w14:paraId="52824B4C" w14:textId="77777777" w:rsidR="004467D4" w:rsidRPr="004467D4" w:rsidRDefault="004467D4" w:rsidP="004467D4">
      <w:pPr>
        <w:rPr>
          <w:rFonts w:ascii="Montserrat" w:hAnsi="Montserrat" w:cs="Arial"/>
          <w:szCs w:val="22"/>
          <w:lang w:val="es-MX"/>
        </w:rPr>
      </w:pPr>
    </w:p>
    <w:p w14:paraId="6B8F8955" w14:textId="77777777" w:rsidR="004467D4" w:rsidRPr="004467D4" w:rsidRDefault="004467D4" w:rsidP="004467D4">
      <w:pPr>
        <w:rPr>
          <w:rFonts w:ascii="Montserrat" w:hAnsi="Montserrat" w:cs="Arial"/>
          <w:szCs w:val="22"/>
          <w:lang w:val="es-MX"/>
        </w:rPr>
      </w:pPr>
    </w:p>
    <w:p w14:paraId="7C948334" w14:textId="77777777" w:rsidR="004467D4" w:rsidRPr="004467D4" w:rsidRDefault="004467D4" w:rsidP="004467D4">
      <w:pPr>
        <w:rPr>
          <w:rFonts w:ascii="Montserrat" w:hAnsi="Montserrat" w:cs="Arial"/>
          <w:szCs w:val="22"/>
          <w:lang w:val="es-MX"/>
        </w:rPr>
      </w:pPr>
    </w:p>
    <w:p w14:paraId="687A4F82" w14:textId="77777777" w:rsidR="004467D4" w:rsidRPr="004467D4" w:rsidRDefault="004467D4" w:rsidP="004467D4">
      <w:pPr>
        <w:rPr>
          <w:rFonts w:ascii="Montserrat" w:hAnsi="Montserrat" w:cs="Arial"/>
          <w:szCs w:val="22"/>
          <w:lang w:val="es-MX"/>
        </w:rPr>
      </w:pPr>
    </w:p>
    <w:p w14:paraId="3749248A" w14:textId="77777777" w:rsidR="004467D4" w:rsidRPr="004467D4" w:rsidRDefault="004467D4" w:rsidP="004467D4">
      <w:pPr>
        <w:rPr>
          <w:rFonts w:ascii="Montserrat" w:hAnsi="Montserrat" w:cs="Arial"/>
          <w:szCs w:val="22"/>
          <w:lang w:val="es-MX"/>
        </w:rPr>
      </w:pPr>
    </w:p>
    <w:p w14:paraId="0C0B94B5" w14:textId="77777777" w:rsidR="004467D4" w:rsidRPr="004467D4" w:rsidRDefault="004467D4" w:rsidP="004467D4">
      <w:pPr>
        <w:rPr>
          <w:rFonts w:ascii="Montserrat" w:hAnsi="Montserrat" w:cs="Arial"/>
          <w:szCs w:val="22"/>
          <w:lang w:val="es-MX"/>
        </w:rPr>
      </w:pPr>
    </w:p>
    <w:p w14:paraId="33549DAD" w14:textId="77777777" w:rsidR="004467D4" w:rsidRPr="004467D4" w:rsidRDefault="004467D4" w:rsidP="004467D4">
      <w:pPr>
        <w:rPr>
          <w:rFonts w:ascii="Montserrat" w:hAnsi="Montserrat" w:cs="Arial"/>
          <w:szCs w:val="22"/>
          <w:lang w:val="es-MX"/>
        </w:rPr>
      </w:pPr>
    </w:p>
    <w:p w14:paraId="013B4DB2" w14:textId="77777777" w:rsidR="00A34EBC" w:rsidRPr="004467D4" w:rsidRDefault="00A34EBC" w:rsidP="00340623">
      <w:pPr>
        <w:rPr>
          <w:szCs w:val="22"/>
        </w:rPr>
      </w:pPr>
    </w:p>
    <w:sectPr w:rsidR="00A34EBC" w:rsidRPr="004467D4" w:rsidSect="00E621B4">
      <w:headerReference w:type="default" r:id="rId7"/>
      <w:pgSz w:w="12240" w:h="15840"/>
      <w:pgMar w:top="2127" w:right="1041" w:bottom="1702"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0AB1" w14:textId="77777777" w:rsidR="00E621B4" w:rsidRDefault="00E621B4" w:rsidP="009D36E7">
      <w:r>
        <w:separator/>
      </w:r>
    </w:p>
  </w:endnote>
  <w:endnote w:type="continuationSeparator" w:id="0">
    <w:p w14:paraId="315110F0" w14:textId="77777777" w:rsidR="00E621B4" w:rsidRDefault="00E621B4"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A477" w14:textId="77777777" w:rsidR="00E621B4" w:rsidRDefault="00E621B4" w:rsidP="009D36E7">
      <w:r>
        <w:separator/>
      </w:r>
    </w:p>
  </w:footnote>
  <w:footnote w:type="continuationSeparator" w:id="0">
    <w:p w14:paraId="35F9B9FE" w14:textId="77777777" w:rsidR="00E621B4" w:rsidRDefault="00E621B4"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46FB" w14:textId="1EC625EB" w:rsidR="006B43BA" w:rsidRPr="006B43BA" w:rsidRDefault="006B43BA" w:rsidP="006B43BA">
    <w:pPr>
      <w:rPr>
        <w:rFonts w:ascii="Times New Roman" w:eastAsia="Times New Roman" w:hAnsi="Times New Roman"/>
        <w:sz w:val="24"/>
        <w:lang w:val="es-MX" w:eastAsia="es-MX"/>
      </w:rPr>
    </w:pPr>
    <w:r w:rsidRPr="006B43BA">
      <w:rPr>
        <w:rFonts w:ascii="Times New Roman" w:eastAsia="Times New Roman" w:hAnsi="Times New Roman"/>
        <w:noProof/>
        <w:sz w:val="24"/>
        <w:lang w:val="es-MX" w:eastAsia="es-MX"/>
      </w:rPr>
      <w:drawing>
        <wp:inline distT="0" distB="0" distL="0" distR="0" wp14:anchorId="12FFDD08" wp14:editId="21504079">
          <wp:extent cx="5114925" cy="504825"/>
          <wp:effectExtent l="0" t="0" r="9525" b="9525"/>
          <wp:docPr id="284542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504825"/>
                  </a:xfrm>
                  <a:prstGeom prst="rect">
                    <a:avLst/>
                  </a:prstGeom>
                  <a:noFill/>
                  <a:ln>
                    <a:noFill/>
                  </a:ln>
                </pic:spPr>
              </pic:pic>
            </a:graphicData>
          </a:graphic>
        </wp:inline>
      </w:drawing>
    </w:r>
  </w:p>
  <w:p w14:paraId="705FD86D" w14:textId="1AF8E54B" w:rsidR="001D1271" w:rsidRDefault="001D12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171F02"/>
    <w:multiLevelType w:val="hybridMultilevel"/>
    <w:tmpl w:val="89C0FF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3"/>
  </w:num>
  <w:num w:numId="4" w16cid:durableId="553007458">
    <w:abstractNumId w:val="20"/>
  </w:num>
  <w:num w:numId="5" w16cid:durableId="971901980">
    <w:abstractNumId w:val="2"/>
  </w:num>
  <w:num w:numId="6" w16cid:durableId="2052027261">
    <w:abstractNumId w:val="4"/>
  </w:num>
  <w:num w:numId="7" w16cid:durableId="698512186">
    <w:abstractNumId w:val="9"/>
  </w:num>
  <w:num w:numId="8" w16cid:durableId="891234912">
    <w:abstractNumId w:val="0"/>
  </w:num>
  <w:num w:numId="9" w16cid:durableId="592667921">
    <w:abstractNumId w:val="11"/>
  </w:num>
  <w:num w:numId="10" w16cid:durableId="1155612465">
    <w:abstractNumId w:val="10"/>
  </w:num>
  <w:num w:numId="11" w16cid:durableId="1813668551">
    <w:abstractNumId w:val="16"/>
  </w:num>
  <w:num w:numId="12" w16cid:durableId="272133886">
    <w:abstractNumId w:val="1"/>
  </w:num>
  <w:num w:numId="13" w16cid:durableId="728577643">
    <w:abstractNumId w:val="18"/>
  </w:num>
  <w:num w:numId="14" w16cid:durableId="2141027620">
    <w:abstractNumId w:val="3"/>
  </w:num>
  <w:num w:numId="15" w16cid:durableId="611010631">
    <w:abstractNumId w:val="17"/>
  </w:num>
  <w:num w:numId="16" w16cid:durableId="709377258">
    <w:abstractNumId w:val="12"/>
  </w:num>
  <w:num w:numId="17" w16cid:durableId="1999651983">
    <w:abstractNumId w:val="14"/>
  </w:num>
  <w:num w:numId="18" w16cid:durableId="489296926">
    <w:abstractNumId w:val="15"/>
  </w:num>
  <w:num w:numId="19" w16cid:durableId="1132602520">
    <w:abstractNumId w:val="19"/>
  </w:num>
  <w:num w:numId="20" w16cid:durableId="56562469">
    <w:abstractNumId w:val="5"/>
  </w:num>
  <w:num w:numId="21" w16cid:durableId="1436556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11C94"/>
    <w:rsid w:val="00011E59"/>
    <w:rsid w:val="00025A82"/>
    <w:rsid w:val="00041DC8"/>
    <w:rsid w:val="00050163"/>
    <w:rsid w:val="00051D96"/>
    <w:rsid w:val="0007008B"/>
    <w:rsid w:val="00072711"/>
    <w:rsid w:val="00086863"/>
    <w:rsid w:val="000C2A3D"/>
    <w:rsid w:val="000D1070"/>
    <w:rsid w:val="00104C6B"/>
    <w:rsid w:val="00136142"/>
    <w:rsid w:val="00136E0F"/>
    <w:rsid w:val="00144D4B"/>
    <w:rsid w:val="00150AF3"/>
    <w:rsid w:val="00170643"/>
    <w:rsid w:val="00170F47"/>
    <w:rsid w:val="00183A1B"/>
    <w:rsid w:val="001870D0"/>
    <w:rsid w:val="00194865"/>
    <w:rsid w:val="00195D97"/>
    <w:rsid w:val="001A1EB6"/>
    <w:rsid w:val="001B7E38"/>
    <w:rsid w:val="001D07B4"/>
    <w:rsid w:val="001D1271"/>
    <w:rsid w:val="001F3DCD"/>
    <w:rsid w:val="00216AA3"/>
    <w:rsid w:val="0022665B"/>
    <w:rsid w:val="00236D2B"/>
    <w:rsid w:val="002440BD"/>
    <w:rsid w:val="00250052"/>
    <w:rsid w:val="002671A7"/>
    <w:rsid w:val="00267A36"/>
    <w:rsid w:val="002858B0"/>
    <w:rsid w:val="00287B6E"/>
    <w:rsid w:val="00292167"/>
    <w:rsid w:val="002B7385"/>
    <w:rsid w:val="002C041C"/>
    <w:rsid w:val="002C0E25"/>
    <w:rsid w:val="002C11E5"/>
    <w:rsid w:val="002E07A7"/>
    <w:rsid w:val="003057D3"/>
    <w:rsid w:val="00307400"/>
    <w:rsid w:val="00320742"/>
    <w:rsid w:val="00320B24"/>
    <w:rsid w:val="00320FC5"/>
    <w:rsid w:val="00340623"/>
    <w:rsid w:val="00354CD9"/>
    <w:rsid w:val="0036062E"/>
    <w:rsid w:val="00367B7E"/>
    <w:rsid w:val="00383CB8"/>
    <w:rsid w:val="00396E41"/>
    <w:rsid w:val="003A17A9"/>
    <w:rsid w:val="003B351B"/>
    <w:rsid w:val="003B7978"/>
    <w:rsid w:val="003F078F"/>
    <w:rsid w:val="003F4B33"/>
    <w:rsid w:val="00405A69"/>
    <w:rsid w:val="0041677E"/>
    <w:rsid w:val="0043149E"/>
    <w:rsid w:val="00434ACE"/>
    <w:rsid w:val="00443AEC"/>
    <w:rsid w:val="004467D4"/>
    <w:rsid w:val="00453810"/>
    <w:rsid w:val="00471892"/>
    <w:rsid w:val="0049481A"/>
    <w:rsid w:val="004A09C3"/>
    <w:rsid w:val="004B51D0"/>
    <w:rsid w:val="004C37A1"/>
    <w:rsid w:val="004C7C15"/>
    <w:rsid w:val="004D0594"/>
    <w:rsid w:val="004D11D6"/>
    <w:rsid w:val="004D245F"/>
    <w:rsid w:val="004D70E7"/>
    <w:rsid w:val="004D7373"/>
    <w:rsid w:val="004E5237"/>
    <w:rsid w:val="00510037"/>
    <w:rsid w:val="0051698F"/>
    <w:rsid w:val="00517093"/>
    <w:rsid w:val="005325DD"/>
    <w:rsid w:val="005360E5"/>
    <w:rsid w:val="005411BF"/>
    <w:rsid w:val="005672A8"/>
    <w:rsid w:val="00572F28"/>
    <w:rsid w:val="00572F3E"/>
    <w:rsid w:val="00574739"/>
    <w:rsid w:val="0058580A"/>
    <w:rsid w:val="00592A26"/>
    <w:rsid w:val="00593BEC"/>
    <w:rsid w:val="005B4223"/>
    <w:rsid w:val="005C1816"/>
    <w:rsid w:val="005C3D69"/>
    <w:rsid w:val="005D79FF"/>
    <w:rsid w:val="005D7FA7"/>
    <w:rsid w:val="005E1ED3"/>
    <w:rsid w:val="005E46A8"/>
    <w:rsid w:val="00606D05"/>
    <w:rsid w:val="006123F0"/>
    <w:rsid w:val="006166BF"/>
    <w:rsid w:val="00617FA7"/>
    <w:rsid w:val="0062304F"/>
    <w:rsid w:val="00653110"/>
    <w:rsid w:val="00663F43"/>
    <w:rsid w:val="006731D8"/>
    <w:rsid w:val="00683C9B"/>
    <w:rsid w:val="006A1429"/>
    <w:rsid w:val="006B43BA"/>
    <w:rsid w:val="006C2BC8"/>
    <w:rsid w:val="00707E8F"/>
    <w:rsid w:val="00725A6E"/>
    <w:rsid w:val="00743CF4"/>
    <w:rsid w:val="00745BA0"/>
    <w:rsid w:val="0074692E"/>
    <w:rsid w:val="00755E60"/>
    <w:rsid w:val="00756733"/>
    <w:rsid w:val="00772CB4"/>
    <w:rsid w:val="007748C1"/>
    <w:rsid w:val="007A4CF8"/>
    <w:rsid w:val="007D2B61"/>
    <w:rsid w:val="007D6DC9"/>
    <w:rsid w:val="007D7503"/>
    <w:rsid w:val="007E7837"/>
    <w:rsid w:val="007E7893"/>
    <w:rsid w:val="0080262A"/>
    <w:rsid w:val="0085579C"/>
    <w:rsid w:val="008666E2"/>
    <w:rsid w:val="00870D2F"/>
    <w:rsid w:val="00872CB9"/>
    <w:rsid w:val="00881B87"/>
    <w:rsid w:val="0088743C"/>
    <w:rsid w:val="00891DF2"/>
    <w:rsid w:val="00894F63"/>
    <w:rsid w:val="008965BA"/>
    <w:rsid w:val="008A0331"/>
    <w:rsid w:val="008A2162"/>
    <w:rsid w:val="008B2D5C"/>
    <w:rsid w:val="008B7455"/>
    <w:rsid w:val="008C0F41"/>
    <w:rsid w:val="008C3297"/>
    <w:rsid w:val="008C3C8D"/>
    <w:rsid w:val="008C7A7C"/>
    <w:rsid w:val="008D7F31"/>
    <w:rsid w:val="008E1161"/>
    <w:rsid w:val="008E1F20"/>
    <w:rsid w:val="008E212E"/>
    <w:rsid w:val="008F0A6C"/>
    <w:rsid w:val="00927BEF"/>
    <w:rsid w:val="00936061"/>
    <w:rsid w:val="009412E8"/>
    <w:rsid w:val="00943BA4"/>
    <w:rsid w:val="00944649"/>
    <w:rsid w:val="00953876"/>
    <w:rsid w:val="00961E3B"/>
    <w:rsid w:val="009677C6"/>
    <w:rsid w:val="009807D5"/>
    <w:rsid w:val="00982D83"/>
    <w:rsid w:val="009A2C01"/>
    <w:rsid w:val="009A7608"/>
    <w:rsid w:val="009C4DCE"/>
    <w:rsid w:val="009C4DF5"/>
    <w:rsid w:val="009D36E7"/>
    <w:rsid w:val="009F70AB"/>
    <w:rsid w:val="00A0050B"/>
    <w:rsid w:val="00A13732"/>
    <w:rsid w:val="00A16B2D"/>
    <w:rsid w:val="00A30664"/>
    <w:rsid w:val="00A34EBC"/>
    <w:rsid w:val="00A537D1"/>
    <w:rsid w:val="00A54D3C"/>
    <w:rsid w:val="00A66B2A"/>
    <w:rsid w:val="00A74BA4"/>
    <w:rsid w:val="00A83211"/>
    <w:rsid w:val="00A919A5"/>
    <w:rsid w:val="00A926CB"/>
    <w:rsid w:val="00A92B0B"/>
    <w:rsid w:val="00AA3E88"/>
    <w:rsid w:val="00AA61C8"/>
    <w:rsid w:val="00AB10F4"/>
    <w:rsid w:val="00AD4706"/>
    <w:rsid w:val="00AD6B65"/>
    <w:rsid w:val="00AE6874"/>
    <w:rsid w:val="00B22D66"/>
    <w:rsid w:val="00B35563"/>
    <w:rsid w:val="00B51C38"/>
    <w:rsid w:val="00B526EA"/>
    <w:rsid w:val="00B60AD9"/>
    <w:rsid w:val="00B61D00"/>
    <w:rsid w:val="00B668B1"/>
    <w:rsid w:val="00B71D27"/>
    <w:rsid w:val="00B854EF"/>
    <w:rsid w:val="00B95DAB"/>
    <w:rsid w:val="00BA65D8"/>
    <w:rsid w:val="00BB078F"/>
    <w:rsid w:val="00BC21E4"/>
    <w:rsid w:val="00BC5C9F"/>
    <w:rsid w:val="00BD5F10"/>
    <w:rsid w:val="00BE0AC0"/>
    <w:rsid w:val="00BE20EE"/>
    <w:rsid w:val="00BF12CC"/>
    <w:rsid w:val="00BF4FFF"/>
    <w:rsid w:val="00C06E02"/>
    <w:rsid w:val="00C150C7"/>
    <w:rsid w:val="00C178C0"/>
    <w:rsid w:val="00C23DA1"/>
    <w:rsid w:val="00C52F05"/>
    <w:rsid w:val="00C7039D"/>
    <w:rsid w:val="00C84099"/>
    <w:rsid w:val="00C90F4C"/>
    <w:rsid w:val="00C95428"/>
    <w:rsid w:val="00CA7F52"/>
    <w:rsid w:val="00CC34F6"/>
    <w:rsid w:val="00CD4F4A"/>
    <w:rsid w:val="00CD6791"/>
    <w:rsid w:val="00CF7F7D"/>
    <w:rsid w:val="00D33A0C"/>
    <w:rsid w:val="00D35A87"/>
    <w:rsid w:val="00D35BC6"/>
    <w:rsid w:val="00D43838"/>
    <w:rsid w:val="00D464F4"/>
    <w:rsid w:val="00D56A35"/>
    <w:rsid w:val="00D80B2F"/>
    <w:rsid w:val="00D83883"/>
    <w:rsid w:val="00DA1185"/>
    <w:rsid w:val="00DD27D7"/>
    <w:rsid w:val="00DD2D6B"/>
    <w:rsid w:val="00DD3C11"/>
    <w:rsid w:val="00DF7567"/>
    <w:rsid w:val="00E028F2"/>
    <w:rsid w:val="00E049C4"/>
    <w:rsid w:val="00E07987"/>
    <w:rsid w:val="00E12434"/>
    <w:rsid w:val="00E25749"/>
    <w:rsid w:val="00E33122"/>
    <w:rsid w:val="00E51C89"/>
    <w:rsid w:val="00E5249B"/>
    <w:rsid w:val="00E621B4"/>
    <w:rsid w:val="00E81AAB"/>
    <w:rsid w:val="00E841B2"/>
    <w:rsid w:val="00E86853"/>
    <w:rsid w:val="00EA1EA7"/>
    <w:rsid w:val="00EA2425"/>
    <w:rsid w:val="00EB1332"/>
    <w:rsid w:val="00EB32CF"/>
    <w:rsid w:val="00EC247D"/>
    <w:rsid w:val="00EC6D62"/>
    <w:rsid w:val="00F03248"/>
    <w:rsid w:val="00F21C2E"/>
    <w:rsid w:val="00F31C7E"/>
    <w:rsid w:val="00F61DDD"/>
    <w:rsid w:val="00F639E5"/>
    <w:rsid w:val="00F65FB0"/>
    <w:rsid w:val="00F81576"/>
    <w:rsid w:val="00F91E36"/>
    <w:rsid w:val="00FA293F"/>
    <w:rsid w:val="00FA71C3"/>
    <w:rsid w:val="00FC3AC7"/>
    <w:rsid w:val="00FD0690"/>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 w:id="1603106727">
      <w:bodyDiv w:val="1"/>
      <w:marLeft w:val="0"/>
      <w:marRight w:val="0"/>
      <w:marTop w:val="0"/>
      <w:marBottom w:val="0"/>
      <w:divBdr>
        <w:top w:val="none" w:sz="0" w:space="0" w:color="auto"/>
        <w:left w:val="none" w:sz="0" w:space="0" w:color="auto"/>
        <w:bottom w:val="none" w:sz="0" w:space="0" w:color="auto"/>
        <w:right w:val="none" w:sz="0" w:space="0" w:color="auto"/>
      </w:divBdr>
    </w:div>
    <w:div w:id="21073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Elizabeth Torres Suarez</cp:lastModifiedBy>
  <cp:revision>8</cp:revision>
  <cp:lastPrinted>2023-04-24T16:52:00Z</cp:lastPrinted>
  <dcterms:created xsi:type="dcterms:W3CDTF">2023-05-02T23:41:00Z</dcterms:created>
  <dcterms:modified xsi:type="dcterms:W3CDTF">2024-04-25T17:16:00Z</dcterms:modified>
</cp:coreProperties>
</file>