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6AC0E" w14:textId="77777777" w:rsidR="007771C2" w:rsidRPr="00E10C27" w:rsidRDefault="007771C2" w:rsidP="00C2271A">
      <w:pPr>
        <w:jc w:val="both"/>
        <w:rPr>
          <w:rFonts w:ascii="Montserrat" w:eastAsia="Times New Roman" w:hAnsi="Montserrat" w:cs="Calibri"/>
          <w:sz w:val="22"/>
          <w:szCs w:val="22"/>
          <w:bdr w:val="none" w:sz="0" w:space="0" w:color="auto" w:frame="1"/>
          <w:lang w:eastAsia="es-MX"/>
        </w:rPr>
      </w:pPr>
    </w:p>
    <w:p w14:paraId="51ADE21C" w14:textId="77777777" w:rsidR="00BE5FDD" w:rsidRPr="00E10C27" w:rsidRDefault="00BE5FDD" w:rsidP="00BE5FDD">
      <w:pPr>
        <w:rPr>
          <w:rFonts w:ascii="Montserrat" w:hAnsi="Montserrat"/>
        </w:rPr>
      </w:pPr>
      <w:r w:rsidRPr="00E10C27">
        <w:rPr>
          <w:rFonts w:ascii="Montserrat" w:hAnsi="Montserrat"/>
          <w:b/>
          <w:bCs/>
        </w:rPr>
        <w:t xml:space="preserve">5.12 Ley Federal de Transparencia y Acceso a la Información Pública y Ley General de Transparencia y acceso a la Información Pública. </w:t>
      </w:r>
    </w:p>
    <w:p w14:paraId="16C81CF3" w14:textId="77777777" w:rsidR="00BE5FDD" w:rsidRPr="00E10C27" w:rsidRDefault="00BE5FDD" w:rsidP="00BE5FDD">
      <w:pPr>
        <w:rPr>
          <w:rFonts w:ascii="Montserrat" w:hAnsi="Montserrat"/>
          <w:sz w:val="22"/>
          <w:szCs w:val="22"/>
        </w:rPr>
      </w:pPr>
    </w:p>
    <w:p w14:paraId="160B426A" w14:textId="77777777" w:rsidR="00BE5FDD" w:rsidRPr="00E10C27" w:rsidRDefault="00BE5FDD" w:rsidP="00BE5FDD">
      <w:pPr>
        <w:widowControl w:val="0"/>
        <w:suppressAutoHyphens/>
        <w:jc w:val="both"/>
        <w:rPr>
          <w:rFonts w:ascii="Montserrat" w:eastAsia="SimSun" w:hAnsi="Montserrat" w:cs="Arial"/>
          <w:kern w:val="1"/>
          <w:sz w:val="22"/>
          <w:szCs w:val="22"/>
          <w:lang w:eastAsia="hi-IN" w:bidi="hi-IN"/>
        </w:rPr>
      </w:pPr>
      <w:r w:rsidRPr="00E10C27">
        <w:rPr>
          <w:rFonts w:ascii="Montserrat" w:eastAsia="SimSun" w:hAnsi="Montserrat" w:cs="Arial"/>
          <w:kern w:val="1"/>
          <w:sz w:val="22"/>
          <w:szCs w:val="22"/>
          <w:lang w:eastAsia="hi-IN" w:bidi="hi-IN"/>
        </w:rPr>
        <w:t>De acuerdo con las disposiciones establecidas en la Ley General de Transparencia y Acceso a la Información Pública y la Ley Federal de Transparencia y Acceso a la Información Pública, y demás ordenamientos relativos, la Unidad de Transparencia de El Colegio de la Frontera Sur durante el ejercicio 2023 llevó a cabo las siguientes actividades:</w:t>
      </w:r>
    </w:p>
    <w:p w14:paraId="48FF8F75" w14:textId="77777777" w:rsidR="00BE5FDD" w:rsidRPr="00E10C27" w:rsidRDefault="00BE5FDD" w:rsidP="00BE5FDD">
      <w:pPr>
        <w:widowControl w:val="0"/>
        <w:suppressAutoHyphens/>
        <w:jc w:val="both"/>
        <w:rPr>
          <w:rFonts w:ascii="Montserrat" w:eastAsia="SimSun" w:hAnsi="Montserrat" w:cs="Arial"/>
          <w:kern w:val="1"/>
          <w:sz w:val="22"/>
          <w:szCs w:val="22"/>
          <w:lang w:eastAsia="hi-IN" w:bidi="hi-IN"/>
        </w:rPr>
      </w:pPr>
    </w:p>
    <w:p w14:paraId="0F2F6921" w14:textId="77777777" w:rsidR="00BE5FDD" w:rsidRPr="00E10C27" w:rsidRDefault="00BE5FDD" w:rsidP="00BE5FDD">
      <w:pPr>
        <w:widowControl w:val="0"/>
        <w:numPr>
          <w:ilvl w:val="0"/>
          <w:numId w:val="25"/>
        </w:numPr>
        <w:suppressAutoHyphens/>
        <w:autoSpaceDE w:val="0"/>
        <w:autoSpaceDN w:val="0"/>
        <w:adjustRightInd w:val="0"/>
        <w:ind w:left="714" w:hanging="357"/>
        <w:jc w:val="both"/>
        <w:rPr>
          <w:rFonts w:ascii="Montserrat" w:hAnsi="Montserrat" w:cs="Arial"/>
          <w:b/>
          <w:sz w:val="22"/>
          <w:szCs w:val="22"/>
          <w:u w:val="single"/>
        </w:rPr>
      </w:pPr>
      <w:r w:rsidRPr="00E10C27">
        <w:rPr>
          <w:rFonts w:ascii="Montserrat" w:hAnsi="Montserrat" w:cs="Arial"/>
          <w:b/>
          <w:sz w:val="22"/>
          <w:szCs w:val="22"/>
          <w:u w:val="single"/>
        </w:rPr>
        <w:t>Atención a Solicitudes de Información:</w:t>
      </w:r>
    </w:p>
    <w:p w14:paraId="28E0C080" w14:textId="77777777" w:rsidR="00BE5FDD" w:rsidRPr="00E10C27" w:rsidRDefault="00BE5FDD" w:rsidP="00BE5FDD">
      <w:pPr>
        <w:widowControl w:val="0"/>
        <w:suppressAutoHyphens/>
        <w:jc w:val="both"/>
        <w:rPr>
          <w:rFonts w:ascii="Montserrat" w:eastAsia="SimSun" w:hAnsi="Montserrat" w:cs="Arial"/>
          <w:kern w:val="1"/>
          <w:sz w:val="22"/>
          <w:szCs w:val="22"/>
          <w:lang w:eastAsia="hi-IN" w:bidi="hi-IN"/>
        </w:rPr>
      </w:pPr>
      <w:r w:rsidRPr="00E10C27">
        <w:rPr>
          <w:rFonts w:ascii="Montserrat" w:eastAsia="SimSun" w:hAnsi="Montserrat" w:cs="Arial"/>
          <w:kern w:val="1"/>
          <w:sz w:val="22"/>
          <w:szCs w:val="22"/>
          <w:lang w:eastAsia="hi-IN" w:bidi="hi-IN"/>
        </w:rPr>
        <w:t>A través de la Plataforma Nacional de Transparencia, la Unidad de Transparencia de El Colegio de la Frontera Sur atendió un total de 106 solicitudes de acceso a la información, las cuales fueron atendidas en tiempo y forma de conformidad con la Ley, como se detalla a continuación:</w:t>
      </w:r>
    </w:p>
    <w:p w14:paraId="5145BA1A" w14:textId="77777777" w:rsidR="00BE5FDD" w:rsidRPr="00E10C27" w:rsidRDefault="00BE5FDD" w:rsidP="00BE5FDD">
      <w:pPr>
        <w:widowControl w:val="0"/>
        <w:suppressAutoHyphens/>
        <w:jc w:val="both"/>
        <w:rPr>
          <w:rFonts w:ascii="Montserrat" w:eastAsia="SimSun" w:hAnsi="Montserrat" w:cs="Arial"/>
          <w:kern w:val="1"/>
          <w:sz w:val="22"/>
          <w:szCs w:val="22"/>
          <w:lang w:eastAsia="hi-IN" w:bidi="hi-IN"/>
        </w:rPr>
      </w:pPr>
    </w:p>
    <w:tbl>
      <w:tblPr>
        <w:tblStyle w:val="Tablaconcuadrcula"/>
        <w:tblW w:w="9640" w:type="dxa"/>
        <w:jc w:val="center"/>
        <w:tblLook w:val="04A0" w:firstRow="1" w:lastRow="0" w:firstColumn="1" w:lastColumn="0" w:noHBand="0" w:noVBand="1"/>
      </w:tblPr>
      <w:tblGrid>
        <w:gridCol w:w="1928"/>
        <w:gridCol w:w="1928"/>
        <w:gridCol w:w="1928"/>
        <w:gridCol w:w="1928"/>
        <w:gridCol w:w="1928"/>
      </w:tblGrid>
      <w:tr w:rsidR="00BE5FDD" w:rsidRPr="00E10C27" w14:paraId="4FC9657D" w14:textId="77777777" w:rsidTr="00610F46">
        <w:trPr>
          <w:trHeight w:val="57"/>
          <w:jc w:val="center"/>
        </w:trPr>
        <w:tc>
          <w:tcPr>
            <w:tcW w:w="1928" w:type="dxa"/>
            <w:vAlign w:val="center"/>
          </w:tcPr>
          <w:p w14:paraId="7B015BD9" w14:textId="77777777" w:rsidR="00BE5FDD" w:rsidRPr="00E10C27" w:rsidRDefault="00BE5FDD" w:rsidP="00610F46">
            <w:pPr>
              <w:jc w:val="center"/>
              <w:rPr>
                <w:rFonts w:ascii="Montserrat" w:hAnsi="Montserrat" w:cstheme="minorHAnsi"/>
                <w:b/>
                <w:color w:val="000000" w:themeColor="text1"/>
                <w:sz w:val="22"/>
                <w:szCs w:val="22"/>
              </w:rPr>
            </w:pPr>
            <w:r w:rsidRPr="00E10C27">
              <w:rPr>
                <w:rFonts w:ascii="Montserrat" w:hAnsi="Montserrat" w:cstheme="minorHAnsi"/>
                <w:b/>
                <w:color w:val="000000" w:themeColor="text1"/>
                <w:sz w:val="22"/>
                <w:szCs w:val="22"/>
              </w:rPr>
              <w:t>Sujeto Obligado</w:t>
            </w:r>
          </w:p>
        </w:tc>
        <w:tc>
          <w:tcPr>
            <w:tcW w:w="1928" w:type="dxa"/>
            <w:vAlign w:val="center"/>
            <w:hideMark/>
          </w:tcPr>
          <w:p w14:paraId="7E2D7CF4" w14:textId="77777777" w:rsidR="00BE5FDD" w:rsidRPr="00E10C27" w:rsidRDefault="00BE5FDD" w:rsidP="00610F46">
            <w:pPr>
              <w:jc w:val="center"/>
              <w:rPr>
                <w:rFonts w:ascii="Montserrat" w:hAnsi="Montserrat" w:cstheme="minorHAnsi"/>
                <w:b/>
                <w:color w:val="000000" w:themeColor="text1"/>
                <w:sz w:val="22"/>
                <w:szCs w:val="22"/>
              </w:rPr>
            </w:pPr>
            <w:r w:rsidRPr="00E10C27">
              <w:rPr>
                <w:rFonts w:ascii="Montserrat" w:hAnsi="Montserrat" w:cstheme="minorHAnsi"/>
                <w:b/>
                <w:color w:val="000000" w:themeColor="text1"/>
                <w:sz w:val="22"/>
                <w:szCs w:val="22"/>
              </w:rPr>
              <w:t>Solicitudes de acceso a la información recibidas en el periodo</w:t>
            </w:r>
          </w:p>
        </w:tc>
        <w:tc>
          <w:tcPr>
            <w:tcW w:w="1928" w:type="dxa"/>
            <w:vAlign w:val="center"/>
            <w:hideMark/>
          </w:tcPr>
          <w:p w14:paraId="321F96DA" w14:textId="77777777" w:rsidR="00BE5FDD" w:rsidRPr="00E10C27" w:rsidRDefault="00BE5FDD" w:rsidP="00610F46">
            <w:pPr>
              <w:jc w:val="center"/>
              <w:rPr>
                <w:rFonts w:ascii="Montserrat" w:hAnsi="Montserrat" w:cstheme="minorHAnsi"/>
                <w:b/>
                <w:color w:val="000000" w:themeColor="text1"/>
                <w:sz w:val="22"/>
                <w:szCs w:val="22"/>
              </w:rPr>
            </w:pPr>
            <w:r w:rsidRPr="00E10C27">
              <w:rPr>
                <w:rFonts w:ascii="Montserrat" w:hAnsi="Montserrat" w:cstheme="minorHAnsi"/>
                <w:b/>
                <w:color w:val="000000" w:themeColor="text1"/>
                <w:sz w:val="22"/>
                <w:szCs w:val="22"/>
              </w:rPr>
              <w:t>Solicitudes de acceso a la información atendidas</w:t>
            </w:r>
          </w:p>
        </w:tc>
        <w:tc>
          <w:tcPr>
            <w:tcW w:w="1928" w:type="dxa"/>
            <w:vAlign w:val="center"/>
            <w:hideMark/>
          </w:tcPr>
          <w:p w14:paraId="00EAE691" w14:textId="77777777" w:rsidR="00BE5FDD" w:rsidRPr="00E10C27" w:rsidRDefault="00BE5FDD" w:rsidP="00610F46">
            <w:pPr>
              <w:jc w:val="center"/>
              <w:rPr>
                <w:rFonts w:ascii="Montserrat" w:hAnsi="Montserrat" w:cstheme="minorHAnsi"/>
                <w:b/>
                <w:color w:val="000000" w:themeColor="text1"/>
                <w:sz w:val="22"/>
                <w:szCs w:val="22"/>
              </w:rPr>
            </w:pPr>
            <w:r w:rsidRPr="00E10C27">
              <w:rPr>
                <w:rFonts w:ascii="Montserrat" w:hAnsi="Montserrat" w:cstheme="minorHAnsi"/>
                <w:b/>
                <w:color w:val="000000" w:themeColor="text1"/>
                <w:sz w:val="22"/>
                <w:szCs w:val="22"/>
              </w:rPr>
              <w:t>Recursos de revisión interpuestos en contra ante el INAI</w:t>
            </w:r>
          </w:p>
        </w:tc>
        <w:tc>
          <w:tcPr>
            <w:tcW w:w="1928" w:type="dxa"/>
            <w:vAlign w:val="center"/>
            <w:hideMark/>
          </w:tcPr>
          <w:p w14:paraId="4E9BF316" w14:textId="77777777" w:rsidR="00BE5FDD" w:rsidRPr="00E10C27" w:rsidRDefault="00BE5FDD" w:rsidP="00610F46">
            <w:pPr>
              <w:jc w:val="center"/>
              <w:rPr>
                <w:rFonts w:ascii="Montserrat" w:hAnsi="Montserrat" w:cstheme="minorHAnsi"/>
                <w:b/>
                <w:color w:val="000000" w:themeColor="text1"/>
                <w:sz w:val="22"/>
                <w:szCs w:val="22"/>
              </w:rPr>
            </w:pPr>
            <w:r w:rsidRPr="00E10C27">
              <w:rPr>
                <w:rFonts w:ascii="Montserrat" w:hAnsi="Montserrat" w:cstheme="minorHAnsi"/>
                <w:b/>
                <w:color w:val="000000" w:themeColor="text1"/>
                <w:sz w:val="22"/>
                <w:szCs w:val="22"/>
              </w:rPr>
              <w:t>Resoluciones emitidas por el INAI</w:t>
            </w:r>
          </w:p>
        </w:tc>
      </w:tr>
      <w:tr w:rsidR="00BE5FDD" w:rsidRPr="00E10C27" w14:paraId="0CC12699" w14:textId="77777777" w:rsidTr="00610F46">
        <w:trPr>
          <w:trHeight w:val="1084"/>
          <w:jc w:val="center"/>
        </w:trPr>
        <w:tc>
          <w:tcPr>
            <w:tcW w:w="1928" w:type="dxa"/>
            <w:vAlign w:val="center"/>
          </w:tcPr>
          <w:p w14:paraId="7C47512F" w14:textId="77777777" w:rsidR="00BE5FDD" w:rsidRPr="00E10C27" w:rsidRDefault="00BE5FDD" w:rsidP="00610F46">
            <w:pPr>
              <w:jc w:val="center"/>
              <w:rPr>
                <w:rFonts w:ascii="Montserrat" w:hAnsi="Montserrat" w:cstheme="minorHAnsi"/>
                <w:sz w:val="22"/>
                <w:szCs w:val="22"/>
              </w:rPr>
            </w:pPr>
            <w:r w:rsidRPr="00E10C27">
              <w:rPr>
                <w:rFonts w:ascii="Montserrat" w:hAnsi="Montserrat" w:cstheme="minorHAnsi"/>
                <w:sz w:val="22"/>
                <w:szCs w:val="22"/>
              </w:rPr>
              <w:t>ECOSUR</w:t>
            </w:r>
          </w:p>
        </w:tc>
        <w:tc>
          <w:tcPr>
            <w:tcW w:w="1928" w:type="dxa"/>
            <w:vAlign w:val="center"/>
          </w:tcPr>
          <w:p w14:paraId="5702840A" w14:textId="77777777" w:rsidR="00BE5FDD" w:rsidRPr="00E10C27" w:rsidRDefault="00BE5FDD" w:rsidP="00610F46">
            <w:pPr>
              <w:jc w:val="center"/>
              <w:rPr>
                <w:rFonts w:ascii="Montserrat" w:hAnsi="Montserrat" w:cstheme="minorHAnsi"/>
                <w:sz w:val="22"/>
                <w:szCs w:val="22"/>
              </w:rPr>
            </w:pPr>
            <w:r w:rsidRPr="00E10C27">
              <w:rPr>
                <w:rFonts w:ascii="Montserrat" w:hAnsi="Montserrat" w:cstheme="minorHAnsi"/>
                <w:sz w:val="22"/>
                <w:szCs w:val="22"/>
              </w:rPr>
              <w:t>104</w:t>
            </w:r>
          </w:p>
        </w:tc>
        <w:tc>
          <w:tcPr>
            <w:tcW w:w="1928" w:type="dxa"/>
            <w:vAlign w:val="center"/>
          </w:tcPr>
          <w:p w14:paraId="1690592A" w14:textId="77777777" w:rsidR="00BE5FDD" w:rsidRPr="00E10C27" w:rsidRDefault="00BE5FDD" w:rsidP="00610F46">
            <w:pPr>
              <w:jc w:val="center"/>
              <w:rPr>
                <w:rFonts w:ascii="Montserrat" w:hAnsi="Montserrat" w:cstheme="minorHAnsi"/>
                <w:sz w:val="22"/>
                <w:szCs w:val="22"/>
              </w:rPr>
            </w:pPr>
            <w:r w:rsidRPr="00E10C27">
              <w:rPr>
                <w:rFonts w:ascii="Montserrat" w:hAnsi="Montserrat" w:cstheme="minorHAnsi"/>
                <w:sz w:val="22"/>
                <w:szCs w:val="22"/>
              </w:rPr>
              <w:t>104</w:t>
            </w:r>
          </w:p>
        </w:tc>
        <w:tc>
          <w:tcPr>
            <w:tcW w:w="1928" w:type="dxa"/>
            <w:vAlign w:val="center"/>
          </w:tcPr>
          <w:p w14:paraId="3AB95874" w14:textId="77777777" w:rsidR="00BE5FDD" w:rsidRPr="00E10C27" w:rsidRDefault="00BE5FDD" w:rsidP="00610F46">
            <w:pPr>
              <w:jc w:val="center"/>
              <w:rPr>
                <w:rFonts w:ascii="Montserrat" w:hAnsi="Montserrat" w:cstheme="minorHAnsi"/>
                <w:sz w:val="22"/>
                <w:szCs w:val="22"/>
              </w:rPr>
            </w:pPr>
            <w:r w:rsidRPr="00E10C27">
              <w:rPr>
                <w:rFonts w:ascii="Montserrat" w:hAnsi="Montserrat" w:cstheme="minorHAnsi"/>
                <w:sz w:val="22"/>
                <w:szCs w:val="22"/>
              </w:rPr>
              <w:t>1</w:t>
            </w:r>
          </w:p>
        </w:tc>
        <w:tc>
          <w:tcPr>
            <w:tcW w:w="1928" w:type="dxa"/>
          </w:tcPr>
          <w:p w14:paraId="73833CD2" w14:textId="77777777" w:rsidR="00BE5FDD" w:rsidRPr="00E10C27" w:rsidRDefault="00BE5FDD" w:rsidP="00610F46">
            <w:pPr>
              <w:jc w:val="center"/>
              <w:rPr>
                <w:rFonts w:ascii="Montserrat" w:hAnsi="Montserrat" w:cstheme="minorHAnsi"/>
                <w:sz w:val="22"/>
                <w:szCs w:val="22"/>
              </w:rPr>
            </w:pPr>
            <w:r w:rsidRPr="00E10C27">
              <w:rPr>
                <w:rFonts w:ascii="Montserrat" w:hAnsi="Montserrat" w:cstheme="minorHAnsi"/>
                <w:sz w:val="22"/>
                <w:szCs w:val="22"/>
              </w:rPr>
              <w:t xml:space="preserve">1 </w:t>
            </w:r>
            <w:proofErr w:type="gramStart"/>
            <w:r w:rsidRPr="00E10C27">
              <w:rPr>
                <w:rFonts w:ascii="Montserrat" w:hAnsi="Montserrat" w:cstheme="minorHAnsi"/>
                <w:sz w:val="22"/>
                <w:szCs w:val="22"/>
              </w:rPr>
              <w:t>Modificar</w:t>
            </w:r>
            <w:proofErr w:type="gramEnd"/>
            <w:r w:rsidRPr="00E10C27">
              <w:rPr>
                <w:rFonts w:ascii="Montserrat" w:hAnsi="Montserrat" w:cstheme="minorHAnsi"/>
                <w:sz w:val="22"/>
                <w:szCs w:val="22"/>
              </w:rPr>
              <w:t xml:space="preserve"> la respuesta emitida por el sujeto obligado</w:t>
            </w:r>
          </w:p>
        </w:tc>
      </w:tr>
    </w:tbl>
    <w:p w14:paraId="68F27B0B" w14:textId="77777777" w:rsidR="00BE5FDD" w:rsidRPr="00E10C27" w:rsidRDefault="00BE5FDD" w:rsidP="00BE5FDD">
      <w:pPr>
        <w:rPr>
          <w:rFonts w:ascii="Montserrat" w:hAnsi="Montserr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1271"/>
      </w:tblGrid>
      <w:tr w:rsidR="00BE5FDD" w:rsidRPr="00E10C27" w14:paraId="16BC3F57" w14:textId="77777777" w:rsidTr="00E45375">
        <w:trPr>
          <w:jc w:val="center"/>
        </w:trPr>
        <w:tc>
          <w:tcPr>
            <w:tcW w:w="5816" w:type="dxa"/>
            <w:shd w:val="clear" w:color="auto" w:fill="D9D9D9" w:themeFill="background1" w:themeFillShade="D9"/>
          </w:tcPr>
          <w:p w14:paraId="39674F6E" w14:textId="77777777" w:rsidR="00BE5FDD" w:rsidRPr="00E10C27" w:rsidRDefault="00BE5FDD" w:rsidP="00610F46">
            <w:pPr>
              <w:widowControl w:val="0"/>
              <w:suppressAutoHyphens/>
              <w:jc w:val="center"/>
              <w:rPr>
                <w:rFonts w:ascii="Montserrat" w:eastAsia="SimSun" w:hAnsi="Montserrat" w:cs="Arial"/>
                <w:b/>
                <w:kern w:val="1"/>
                <w:sz w:val="22"/>
                <w:szCs w:val="22"/>
                <w:lang w:eastAsia="hi-IN" w:bidi="hi-IN"/>
              </w:rPr>
            </w:pPr>
            <w:r w:rsidRPr="00E10C27">
              <w:rPr>
                <w:rFonts w:ascii="Montserrat" w:hAnsi="Montserrat" w:cs="Arial"/>
                <w:b/>
                <w:sz w:val="22"/>
                <w:szCs w:val="22"/>
              </w:rPr>
              <w:t>Modalidad de respuestas</w:t>
            </w:r>
          </w:p>
        </w:tc>
        <w:tc>
          <w:tcPr>
            <w:tcW w:w="1271" w:type="dxa"/>
            <w:shd w:val="clear" w:color="auto" w:fill="D9D9D9" w:themeFill="background1" w:themeFillShade="D9"/>
          </w:tcPr>
          <w:p w14:paraId="4B5F0128" w14:textId="77777777" w:rsidR="00BE5FDD" w:rsidRPr="00E10C27" w:rsidRDefault="00BE5FDD" w:rsidP="00610F46">
            <w:pPr>
              <w:widowControl w:val="0"/>
              <w:suppressAutoHyphens/>
              <w:jc w:val="center"/>
              <w:rPr>
                <w:rFonts w:ascii="Montserrat" w:eastAsia="SimSun" w:hAnsi="Montserrat" w:cs="Arial"/>
                <w:b/>
                <w:kern w:val="1"/>
                <w:sz w:val="22"/>
                <w:szCs w:val="22"/>
                <w:lang w:eastAsia="hi-IN" w:bidi="hi-IN"/>
              </w:rPr>
            </w:pPr>
            <w:r w:rsidRPr="00E10C27">
              <w:rPr>
                <w:rFonts w:ascii="Montserrat" w:eastAsia="SimSun" w:hAnsi="Montserrat" w:cs="Arial"/>
                <w:b/>
                <w:kern w:val="1"/>
                <w:sz w:val="22"/>
                <w:szCs w:val="22"/>
                <w:lang w:eastAsia="hi-IN" w:bidi="hi-IN"/>
              </w:rPr>
              <w:t>ECOSUR</w:t>
            </w:r>
          </w:p>
        </w:tc>
      </w:tr>
      <w:tr w:rsidR="00BE5FDD" w:rsidRPr="00E10C27" w14:paraId="797F296C" w14:textId="77777777" w:rsidTr="00E45375">
        <w:trPr>
          <w:jc w:val="center"/>
        </w:trPr>
        <w:tc>
          <w:tcPr>
            <w:tcW w:w="5816" w:type="dxa"/>
          </w:tcPr>
          <w:p w14:paraId="4ED69DFC" w14:textId="77777777" w:rsidR="00BE5FDD" w:rsidRPr="00E10C27" w:rsidRDefault="00BE5FDD" w:rsidP="00610F46">
            <w:pPr>
              <w:widowControl w:val="0"/>
              <w:suppressAutoHyphens/>
              <w:rPr>
                <w:rFonts w:ascii="Montserrat" w:eastAsia="SimSun" w:hAnsi="Montserrat" w:cs="Arial"/>
                <w:kern w:val="1"/>
                <w:sz w:val="22"/>
                <w:szCs w:val="22"/>
                <w:lang w:eastAsia="hi-IN" w:bidi="hi-IN"/>
              </w:rPr>
            </w:pPr>
            <w:r w:rsidRPr="00E10C27">
              <w:rPr>
                <w:rFonts w:ascii="Montserrat" w:eastAsia="SimSun" w:hAnsi="Montserrat" w:cs="Arial"/>
                <w:kern w:val="1"/>
                <w:sz w:val="22"/>
                <w:szCs w:val="22"/>
                <w:lang w:eastAsia="hi-IN" w:bidi="hi-IN"/>
              </w:rPr>
              <w:t>Entrega de información en medio electrónico</w:t>
            </w:r>
          </w:p>
        </w:tc>
        <w:tc>
          <w:tcPr>
            <w:tcW w:w="1271" w:type="dxa"/>
          </w:tcPr>
          <w:p w14:paraId="1A779AED" w14:textId="77777777" w:rsidR="00BE5FDD" w:rsidRPr="00E10C27" w:rsidRDefault="00BE5FDD" w:rsidP="00610F46">
            <w:pPr>
              <w:widowControl w:val="0"/>
              <w:suppressAutoHyphens/>
              <w:jc w:val="center"/>
              <w:rPr>
                <w:rFonts w:ascii="Montserrat" w:eastAsia="SimSun" w:hAnsi="Montserrat" w:cs="Arial"/>
                <w:kern w:val="1"/>
                <w:sz w:val="22"/>
                <w:szCs w:val="22"/>
                <w:lang w:eastAsia="hi-IN" w:bidi="hi-IN"/>
              </w:rPr>
            </w:pPr>
            <w:r w:rsidRPr="00E10C27">
              <w:rPr>
                <w:rFonts w:ascii="Montserrat" w:eastAsia="SimSun" w:hAnsi="Montserrat" w:cs="Arial"/>
                <w:kern w:val="1"/>
                <w:sz w:val="22"/>
                <w:szCs w:val="22"/>
                <w:lang w:eastAsia="hi-IN" w:bidi="hi-IN"/>
              </w:rPr>
              <w:t>100</w:t>
            </w:r>
          </w:p>
        </w:tc>
      </w:tr>
      <w:tr w:rsidR="00BE5FDD" w:rsidRPr="00E10C27" w14:paraId="2FB44311" w14:textId="77777777" w:rsidTr="00E45375">
        <w:trPr>
          <w:jc w:val="center"/>
        </w:trPr>
        <w:tc>
          <w:tcPr>
            <w:tcW w:w="5816" w:type="dxa"/>
          </w:tcPr>
          <w:p w14:paraId="1E64FE56" w14:textId="77777777" w:rsidR="00BE5FDD" w:rsidRPr="00E10C27" w:rsidRDefault="00BE5FDD" w:rsidP="00610F46">
            <w:pPr>
              <w:widowControl w:val="0"/>
              <w:suppressAutoHyphens/>
              <w:rPr>
                <w:rFonts w:ascii="Montserrat" w:eastAsia="SimSun" w:hAnsi="Montserrat" w:cs="Arial"/>
                <w:kern w:val="1"/>
                <w:sz w:val="22"/>
                <w:szCs w:val="22"/>
                <w:lang w:eastAsia="hi-IN" w:bidi="hi-IN"/>
              </w:rPr>
            </w:pPr>
            <w:r w:rsidRPr="00E10C27">
              <w:rPr>
                <w:rFonts w:ascii="Montserrat" w:eastAsia="SimSun" w:hAnsi="Montserrat" w:cs="Arial"/>
                <w:kern w:val="1"/>
                <w:sz w:val="22"/>
                <w:szCs w:val="22"/>
                <w:lang w:eastAsia="hi-IN" w:bidi="hi-IN"/>
              </w:rPr>
              <w:t>La información está disponible públicamente</w:t>
            </w:r>
          </w:p>
        </w:tc>
        <w:tc>
          <w:tcPr>
            <w:tcW w:w="1271" w:type="dxa"/>
          </w:tcPr>
          <w:p w14:paraId="237DE483" w14:textId="77777777" w:rsidR="00BE5FDD" w:rsidRPr="00E10C27" w:rsidRDefault="00BE5FDD" w:rsidP="00610F46">
            <w:pPr>
              <w:widowControl w:val="0"/>
              <w:suppressAutoHyphens/>
              <w:jc w:val="center"/>
              <w:rPr>
                <w:rFonts w:ascii="Montserrat" w:eastAsia="SimSun" w:hAnsi="Montserrat" w:cs="Arial"/>
                <w:kern w:val="1"/>
                <w:sz w:val="22"/>
                <w:szCs w:val="22"/>
                <w:lang w:eastAsia="hi-IN" w:bidi="hi-IN"/>
              </w:rPr>
            </w:pPr>
            <w:r w:rsidRPr="00E10C27">
              <w:rPr>
                <w:rFonts w:ascii="Montserrat" w:eastAsia="SimSun" w:hAnsi="Montserrat" w:cs="Arial"/>
                <w:kern w:val="1"/>
                <w:sz w:val="22"/>
                <w:szCs w:val="22"/>
                <w:lang w:eastAsia="hi-IN" w:bidi="hi-IN"/>
              </w:rPr>
              <w:t>2</w:t>
            </w:r>
          </w:p>
        </w:tc>
      </w:tr>
      <w:tr w:rsidR="00BE5FDD" w:rsidRPr="00E10C27" w14:paraId="223B074B" w14:textId="77777777" w:rsidTr="00E45375">
        <w:trPr>
          <w:jc w:val="center"/>
        </w:trPr>
        <w:tc>
          <w:tcPr>
            <w:tcW w:w="5816" w:type="dxa"/>
          </w:tcPr>
          <w:p w14:paraId="317DB5F9" w14:textId="77777777" w:rsidR="00BE5FDD" w:rsidRPr="00E10C27" w:rsidRDefault="00BE5FDD" w:rsidP="00610F46">
            <w:pPr>
              <w:widowControl w:val="0"/>
              <w:suppressAutoHyphens/>
              <w:rPr>
                <w:rFonts w:ascii="Montserrat" w:eastAsia="SimSun" w:hAnsi="Montserrat" w:cs="Arial"/>
                <w:kern w:val="1"/>
                <w:sz w:val="22"/>
                <w:szCs w:val="22"/>
                <w:lang w:eastAsia="hi-IN" w:bidi="hi-IN"/>
              </w:rPr>
            </w:pPr>
            <w:r w:rsidRPr="00E10C27">
              <w:rPr>
                <w:rFonts w:ascii="Montserrat" w:eastAsia="SimSun" w:hAnsi="Montserrat" w:cs="Arial"/>
                <w:kern w:val="1"/>
                <w:sz w:val="22"/>
                <w:szCs w:val="22"/>
                <w:lang w:eastAsia="hi-IN" w:bidi="hi-IN"/>
              </w:rPr>
              <w:t>No es competencia de la Unidad de Transparencia</w:t>
            </w:r>
          </w:p>
        </w:tc>
        <w:tc>
          <w:tcPr>
            <w:tcW w:w="1271" w:type="dxa"/>
          </w:tcPr>
          <w:p w14:paraId="3EBAE048" w14:textId="77777777" w:rsidR="00BE5FDD" w:rsidRPr="00E10C27" w:rsidRDefault="00BE5FDD" w:rsidP="00610F46">
            <w:pPr>
              <w:widowControl w:val="0"/>
              <w:suppressAutoHyphens/>
              <w:jc w:val="center"/>
              <w:rPr>
                <w:rFonts w:ascii="Montserrat" w:eastAsia="SimSun" w:hAnsi="Montserrat" w:cs="Arial"/>
                <w:kern w:val="1"/>
                <w:sz w:val="22"/>
                <w:szCs w:val="22"/>
                <w:lang w:eastAsia="hi-IN" w:bidi="hi-IN"/>
              </w:rPr>
            </w:pPr>
            <w:r w:rsidRPr="00E10C27">
              <w:rPr>
                <w:rFonts w:ascii="Montserrat" w:eastAsia="SimSun" w:hAnsi="Montserrat" w:cs="Arial"/>
                <w:kern w:val="1"/>
                <w:sz w:val="22"/>
                <w:szCs w:val="22"/>
                <w:lang w:eastAsia="hi-IN" w:bidi="hi-IN"/>
              </w:rPr>
              <w:t>2</w:t>
            </w:r>
          </w:p>
        </w:tc>
      </w:tr>
      <w:tr w:rsidR="00BE5FDD" w:rsidRPr="00E10C27" w14:paraId="6CBE5080" w14:textId="77777777" w:rsidTr="00E45375">
        <w:trPr>
          <w:jc w:val="center"/>
        </w:trPr>
        <w:tc>
          <w:tcPr>
            <w:tcW w:w="5816" w:type="dxa"/>
          </w:tcPr>
          <w:p w14:paraId="4D93999E" w14:textId="77777777" w:rsidR="00BE5FDD" w:rsidRPr="00E10C27" w:rsidRDefault="00BE5FDD" w:rsidP="00610F46">
            <w:pPr>
              <w:widowControl w:val="0"/>
              <w:suppressAutoHyphens/>
              <w:jc w:val="right"/>
              <w:rPr>
                <w:rFonts w:ascii="Montserrat" w:eastAsia="SimSun" w:hAnsi="Montserrat" w:cs="Arial"/>
                <w:b/>
                <w:kern w:val="1"/>
                <w:sz w:val="22"/>
                <w:szCs w:val="22"/>
                <w:lang w:eastAsia="hi-IN" w:bidi="hi-IN"/>
              </w:rPr>
            </w:pPr>
            <w:r w:rsidRPr="00E10C27">
              <w:rPr>
                <w:rFonts w:ascii="Montserrat" w:eastAsia="SimSun" w:hAnsi="Montserrat" w:cs="Arial"/>
                <w:b/>
                <w:kern w:val="1"/>
                <w:sz w:val="22"/>
                <w:szCs w:val="22"/>
                <w:lang w:eastAsia="hi-IN" w:bidi="hi-IN"/>
              </w:rPr>
              <w:t>Totales:</w:t>
            </w:r>
          </w:p>
        </w:tc>
        <w:tc>
          <w:tcPr>
            <w:tcW w:w="1271" w:type="dxa"/>
          </w:tcPr>
          <w:p w14:paraId="32792647" w14:textId="77777777" w:rsidR="00BE5FDD" w:rsidRPr="00E10C27" w:rsidRDefault="00BE5FDD" w:rsidP="00610F46">
            <w:pPr>
              <w:widowControl w:val="0"/>
              <w:suppressAutoHyphens/>
              <w:jc w:val="center"/>
              <w:rPr>
                <w:rFonts w:ascii="Montserrat" w:eastAsia="SimSun" w:hAnsi="Montserrat" w:cs="Arial"/>
                <w:b/>
                <w:kern w:val="1"/>
                <w:sz w:val="22"/>
                <w:szCs w:val="22"/>
                <w:lang w:eastAsia="hi-IN" w:bidi="hi-IN"/>
              </w:rPr>
            </w:pPr>
            <w:r w:rsidRPr="00E10C27">
              <w:rPr>
                <w:rFonts w:ascii="Montserrat" w:eastAsia="SimSun" w:hAnsi="Montserrat" w:cs="Arial"/>
                <w:b/>
                <w:kern w:val="1"/>
                <w:sz w:val="22"/>
                <w:szCs w:val="22"/>
                <w:lang w:eastAsia="hi-IN" w:bidi="hi-IN"/>
              </w:rPr>
              <w:t>104</w:t>
            </w:r>
          </w:p>
        </w:tc>
      </w:tr>
    </w:tbl>
    <w:p w14:paraId="5C232F1E" w14:textId="77777777" w:rsidR="00BE5FDD" w:rsidRPr="00E10C27" w:rsidRDefault="00BE5FDD" w:rsidP="00BE5FDD">
      <w:pPr>
        <w:widowControl w:val="0"/>
        <w:suppressAutoHyphens/>
        <w:jc w:val="both"/>
        <w:rPr>
          <w:rFonts w:ascii="Montserrat" w:eastAsia="SimSun" w:hAnsi="Montserrat" w:cs="Arial"/>
          <w:kern w:val="1"/>
          <w:sz w:val="22"/>
          <w:szCs w:val="22"/>
          <w:lang w:eastAsia="hi-IN" w:bidi="hi-IN"/>
        </w:rPr>
      </w:pPr>
    </w:p>
    <w:p w14:paraId="4CD36C09" w14:textId="77777777" w:rsidR="00BE5FDD" w:rsidRPr="00E10C27" w:rsidRDefault="00BE5FDD" w:rsidP="00BE5FDD">
      <w:pPr>
        <w:widowControl w:val="0"/>
        <w:suppressAutoHyphens/>
        <w:jc w:val="both"/>
        <w:rPr>
          <w:rFonts w:ascii="Montserrat" w:eastAsia="SimSun" w:hAnsi="Montserrat" w:cs="Arial"/>
          <w:kern w:val="1"/>
          <w:sz w:val="22"/>
          <w:szCs w:val="22"/>
          <w:lang w:eastAsia="hi-IN" w:bidi="hi-IN"/>
        </w:rPr>
      </w:pPr>
    </w:p>
    <w:p w14:paraId="65E482D0" w14:textId="77777777" w:rsidR="00BE5FDD" w:rsidRPr="00E10C27" w:rsidRDefault="00BE5FDD" w:rsidP="00BE5FDD">
      <w:pPr>
        <w:widowControl w:val="0"/>
        <w:numPr>
          <w:ilvl w:val="0"/>
          <w:numId w:val="25"/>
        </w:numPr>
        <w:suppressAutoHyphens/>
        <w:autoSpaceDE w:val="0"/>
        <w:autoSpaceDN w:val="0"/>
        <w:adjustRightInd w:val="0"/>
        <w:jc w:val="both"/>
        <w:rPr>
          <w:rFonts w:ascii="Montserrat" w:hAnsi="Montserrat" w:cs="Arial"/>
          <w:b/>
          <w:sz w:val="22"/>
          <w:szCs w:val="22"/>
          <w:u w:val="single"/>
        </w:rPr>
      </w:pPr>
      <w:r w:rsidRPr="00E10C27">
        <w:rPr>
          <w:rFonts w:ascii="Montserrat" w:hAnsi="Montserrat" w:cs="Arial"/>
          <w:b/>
          <w:sz w:val="22"/>
          <w:szCs w:val="22"/>
          <w:u w:val="single"/>
        </w:rPr>
        <w:t>Calificaciones del INAI al cierre de 2023, comparadas con las del cierre de 2022.</w:t>
      </w:r>
    </w:p>
    <w:p w14:paraId="0A7B54D6" w14:textId="77777777" w:rsidR="00BE5FDD" w:rsidRPr="00E10C27" w:rsidRDefault="00BE5FDD" w:rsidP="00BE5FDD">
      <w:pPr>
        <w:widowControl w:val="0"/>
        <w:suppressAutoHyphens/>
        <w:autoSpaceDE w:val="0"/>
        <w:autoSpaceDN w:val="0"/>
        <w:adjustRightInd w:val="0"/>
        <w:jc w:val="both"/>
        <w:rPr>
          <w:rFonts w:ascii="Montserrat" w:hAnsi="Montserrat" w:cstheme="minorHAnsi"/>
          <w:sz w:val="22"/>
          <w:szCs w:val="22"/>
        </w:rPr>
      </w:pPr>
    </w:p>
    <w:p w14:paraId="38723F1A" w14:textId="77777777" w:rsidR="00BE5FDD" w:rsidRPr="00E10C27" w:rsidRDefault="00BE5FDD" w:rsidP="00BE5FDD">
      <w:pPr>
        <w:widowControl w:val="0"/>
        <w:suppressAutoHyphens/>
        <w:autoSpaceDE w:val="0"/>
        <w:autoSpaceDN w:val="0"/>
        <w:adjustRightInd w:val="0"/>
        <w:jc w:val="both"/>
        <w:rPr>
          <w:rFonts w:ascii="Montserrat" w:hAnsi="Montserrat" w:cstheme="minorHAnsi"/>
          <w:sz w:val="22"/>
          <w:szCs w:val="22"/>
        </w:rPr>
      </w:pPr>
      <w:r w:rsidRPr="00E10C27">
        <w:rPr>
          <w:rFonts w:ascii="Montserrat" w:hAnsi="Montserrat" w:cstheme="minorHAnsi"/>
          <w:sz w:val="22"/>
          <w:szCs w:val="22"/>
        </w:rPr>
        <w:t>Se hace del conocimiento que el INAI lleva a cabo la verificación al Sistema de Portales de Obligaciones de Transparencia (SIPOT) de forma muestral, es decir, no todos los sujetos son elegidos para ser verificados. Derivado de lo anterior, ECOSUR no fue considerado para entrar en la muestra de verificación durante los ejercicios 2022 y 2023.</w:t>
      </w:r>
    </w:p>
    <w:p w14:paraId="11EBAC7A" w14:textId="77777777" w:rsidR="00BE5FDD" w:rsidRPr="00E10C27" w:rsidRDefault="00BE5FDD" w:rsidP="00BE5FDD">
      <w:pPr>
        <w:widowControl w:val="0"/>
        <w:suppressAutoHyphens/>
        <w:autoSpaceDE w:val="0"/>
        <w:autoSpaceDN w:val="0"/>
        <w:adjustRightInd w:val="0"/>
        <w:jc w:val="both"/>
        <w:rPr>
          <w:rFonts w:ascii="Montserrat" w:hAnsi="Montserrat" w:cstheme="minorHAnsi"/>
          <w:sz w:val="22"/>
          <w:szCs w:val="22"/>
        </w:rPr>
      </w:pPr>
    </w:p>
    <w:tbl>
      <w:tblPr>
        <w:tblStyle w:val="Tablaconcuadrcula"/>
        <w:tblW w:w="8958" w:type="dxa"/>
        <w:jc w:val="center"/>
        <w:tblLook w:val="04A0" w:firstRow="1" w:lastRow="0" w:firstColumn="1" w:lastColumn="0" w:noHBand="0" w:noVBand="1"/>
      </w:tblPr>
      <w:tblGrid>
        <w:gridCol w:w="5102"/>
        <w:gridCol w:w="1928"/>
        <w:gridCol w:w="1928"/>
      </w:tblGrid>
      <w:tr w:rsidR="00BE5FDD" w:rsidRPr="00E10C27" w14:paraId="5B11957A" w14:textId="77777777" w:rsidTr="00610F46">
        <w:trPr>
          <w:jc w:val="center"/>
        </w:trPr>
        <w:tc>
          <w:tcPr>
            <w:tcW w:w="5102" w:type="dxa"/>
            <w:shd w:val="clear" w:color="auto" w:fill="BFBFBF" w:themeFill="background1" w:themeFillShade="BF"/>
          </w:tcPr>
          <w:p w14:paraId="19448A9B" w14:textId="77777777" w:rsidR="00BE5FDD" w:rsidRPr="00E10C27" w:rsidRDefault="00BE5FDD" w:rsidP="00610F46">
            <w:pPr>
              <w:widowControl w:val="0"/>
              <w:suppressAutoHyphens/>
              <w:autoSpaceDE w:val="0"/>
              <w:autoSpaceDN w:val="0"/>
              <w:adjustRightInd w:val="0"/>
              <w:jc w:val="center"/>
              <w:rPr>
                <w:rFonts w:ascii="Montserrat" w:hAnsi="Montserrat" w:cstheme="minorHAnsi"/>
                <w:b/>
                <w:bCs/>
                <w:sz w:val="22"/>
                <w:szCs w:val="22"/>
              </w:rPr>
            </w:pPr>
            <w:r w:rsidRPr="00E10C27">
              <w:rPr>
                <w:rFonts w:ascii="Montserrat" w:hAnsi="Montserrat" w:cstheme="minorHAnsi"/>
                <w:b/>
                <w:bCs/>
                <w:sz w:val="22"/>
                <w:szCs w:val="22"/>
              </w:rPr>
              <w:t>Dimensión evaluada</w:t>
            </w:r>
          </w:p>
        </w:tc>
        <w:tc>
          <w:tcPr>
            <w:tcW w:w="1928" w:type="dxa"/>
            <w:shd w:val="clear" w:color="auto" w:fill="BFBFBF" w:themeFill="background1" w:themeFillShade="BF"/>
          </w:tcPr>
          <w:p w14:paraId="75861E51" w14:textId="77777777" w:rsidR="00BE5FDD" w:rsidRPr="00E10C27" w:rsidRDefault="00BE5FDD" w:rsidP="00610F46">
            <w:pPr>
              <w:widowControl w:val="0"/>
              <w:suppressAutoHyphens/>
              <w:autoSpaceDE w:val="0"/>
              <w:autoSpaceDN w:val="0"/>
              <w:adjustRightInd w:val="0"/>
              <w:jc w:val="center"/>
              <w:rPr>
                <w:rFonts w:ascii="Montserrat" w:hAnsi="Montserrat" w:cstheme="minorHAnsi"/>
                <w:b/>
                <w:bCs/>
                <w:sz w:val="22"/>
                <w:szCs w:val="22"/>
              </w:rPr>
            </w:pPr>
            <w:r w:rsidRPr="00E10C27">
              <w:rPr>
                <w:rFonts w:ascii="Montserrat" w:hAnsi="Montserrat" w:cstheme="minorHAnsi"/>
                <w:b/>
                <w:bCs/>
                <w:sz w:val="22"/>
                <w:szCs w:val="22"/>
              </w:rPr>
              <w:t>2022</w:t>
            </w:r>
          </w:p>
        </w:tc>
        <w:tc>
          <w:tcPr>
            <w:tcW w:w="1928" w:type="dxa"/>
            <w:shd w:val="clear" w:color="auto" w:fill="BFBFBF" w:themeFill="background1" w:themeFillShade="BF"/>
          </w:tcPr>
          <w:p w14:paraId="35460A9A" w14:textId="77777777" w:rsidR="00BE5FDD" w:rsidRPr="00E10C27" w:rsidRDefault="00BE5FDD" w:rsidP="00610F46">
            <w:pPr>
              <w:widowControl w:val="0"/>
              <w:suppressAutoHyphens/>
              <w:autoSpaceDE w:val="0"/>
              <w:autoSpaceDN w:val="0"/>
              <w:adjustRightInd w:val="0"/>
              <w:jc w:val="center"/>
              <w:rPr>
                <w:rFonts w:ascii="Montserrat" w:hAnsi="Montserrat" w:cstheme="minorHAnsi"/>
                <w:b/>
                <w:bCs/>
                <w:sz w:val="22"/>
                <w:szCs w:val="22"/>
              </w:rPr>
            </w:pPr>
            <w:r w:rsidRPr="00E10C27">
              <w:rPr>
                <w:rFonts w:ascii="Montserrat" w:hAnsi="Montserrat" w:cstheme="minorHAnsi"/>
                <w:b/>
                <w:bCs/>
                <w:sz w:val="22"/>
                <w:szCs w:val="22"/>
              </w:rPr>
              <w:t>2023</w:t>
            </w:r>
          </w:p>
        </w:tc>
      </w:tr>
      <w:tr w:rsidR="00BE5FDD" w:rsidRPr="00E10C27" w14:paraId="37E480D7" w14:textId="77777777" w:rsidTr="00610F46">
        <w:trPr>
          <w:jc w:val="center"/>
        </w:trPr>
        <w:tc>
          <w:tcPr>
            <w:tcW w:w="5102" w:type="dxa"/>
          </w:tcPr>
          <w:p w14:paraId="4CA059DD" w14:textId="77777777" w:rsidR="00BE5FDD" w:rsidRPr="00E10C27" w:rsidRDefault="00BE5FDD" w:rsidP="00610F46">
            <w:pPr>
              <w:widowControl w:val="0"/>
              <w:suppressAutoHyphens/>
              <w:autoSpaceDE w:val="0"/>
              <w:autoSpaceDN w:val="0"/>
              <w:adjustRightInd w:val="0"/>
              <w:rPr>
                <w:rFonts w:ascii="Montserrat" w:hAnsi="Montserrat" w:cstheme="minorHAnsi"/>
                <w:sz w:val="22"/>
                <w:szCs w:val="22"/>
              </w:rPr>
            </w:pPr>
            <w:r w:rsidRPr="00E10C27">
              <w:rPr>
                <w:rFonts w:ascii="Montserrat" w:hAnsi="Montserrat" w:cstheme="minorHAnsi"/>
                <w:sz w:val="22"/>
                <w:szCs w:val="22"/>
              </w:rPr>
              <w:t>Resultado de la verificación a la Dimensión Portales de Transparencia</w:t>
            </w:r>
          </w:p>
        </w:tc>
        <w:tc>
          <w:tcPr>
            <w:tcW w:w="1928" w:type="dxa"/>
            <w:vAlign w:val="center"/>
          </w:tcPr>
          <w:p w14:paraId="3EA44662" w14:textId="77777777" w:rsidR="00BE5FDD" w:rsidRPr="00E10C27" w:rsidRDefault="00BE5FDD" w:rsidP="00610F46">
            <w:pPr>
              <w:widowControl w:val="0"/>
              <w:suppressAutoHyphens/>
              <w:autoSpaceDE w:val="0"/>
              <w:autoSpaceDN w:val="0"/>
              <w:adjustRightInd w:val="0"/>
              <w:jc w:val="center"/>
              <w:rPr>
                <w:rFonts w:ascii="Montserrat" w:hAnsi="Montserrat" w:cstheme="minorHAnsi"/>
                <w:sz w:val="22"/>
                <w:szCs w:val="22"/>
                <w:highlight w:val="yellow"/>
              </w:rPr>
            </w:pPr>
            <w:r w:rsidRPr="00E10C27">
              <w:rPr>
                <w:rFonts w:ascii="Montserrat" w:eastAsia="Times New Roman" w:hAnsi="Montserrat"/>
                <w:sz w:val="22"/>
                <w:szCs w:val="22"/>
              </w:rPr>
              <w:t>No fue evaluado</w:t>
            </w:r>
          </w:p>
        </w:tc>
        <w:tc>
          <w:tcPr>
            <w:tcW w:w="1928" w:type="dxa"/>
            <w:vAlign w:val="center"/>
          </w:tcPr>
          <w:p w14:paraId="3F2CE1F0" w14:textId="77777777" w:rsidR="00BE5FDD" w:rsidRPr="00E10C27" w:rsidRDefault="00BE5FDD" w:rsidP="00610F46">
            <w:pPr>
              <w:widowControl w:val="0"/>
              <w:suppressAutoHyphens/>
              <w:autoSpaceDE w:val="0"/>
              <w:autoSpaceDN w:val="0"/>
              <w:adjustRightInd w:val="0"/>
              <w:jc w:val="center"/>
              <w:rPr>
                <w:rFonts w:ascii="Montserrat" w:hAnsi="Montserrat" w:cstheme="minorHAnsi"/>
                <w:sz w:val="22"/>
                <w:szCs w:val="22"/>
                <w:highlight w:val="yellow"/>
              </w:rPr>
            </w:pPr>
            <w:r w:rsidRPr="00E10C27">
              <w:rPr>
                <w:rFonts w:ascii="Montserrat" w:eastAsia="Times New Roman" w:hAnsi="Montserrat"/>
                <w:sz w:val="22"/>
                <w:szCs w:val="22"/>
              </w:rPr>
              <w:t>No fue evaluado</w:t>
            </w:r>
          </w:p>
        </w:tc>
      </w:tr>
      <w:tr w:rsidR="00BE5FDD" w:rsidRPr="00E10C27" w14:paraId="14DD0279" w14:textId="77777777" w:rsidTr="00610F46">
        <w:trPr>
          <w:jc w:val="center"/>
        </w:trPr>
        <w:tc>
          <w:tcPr>
            <w:tcW w:w="5102" w:type="dxa"/>
          </w:tcPr>
          <w:p w14:paraId="542F8AFA" w14:textId="77777777" w:rsidR="00BE5FDD" w:rsidRPr="00E10C27" w:rsidRDefault="00BE5FDD" w:rsidP="00610F46">
            <w:pPr>
              <w:widowControl w:val="0"/>
              <w:suppressAutoHyphens/>
              <w:autoSpaceDE w:val="0"/>
              <w:autoSpaceDN w:val="0"/>
              <w:adjustRightInd w:val="0"/>
              <w:rPr>
                <w:rFonts w:ascii="Montserrat" w:hAnsi="Montserrat" w:cstheme="minorHAnsi"/>
                <w:sz w:val="22"/>
                <w:szCs w:val="22"/>
              </w:rPr>
            </w:pPr>
            <w:r w:rsidRPr="00E10C27">
              <w:rPr>
                <w:rFonts w:ascii="Montserrat" w:hAnsi="Montserrat" w:cstheme="minorHAnsi"/>
                <w:sz w:val="22"/>
                <w:szCs w:val="22"/>
              </w:rPr>
              <w:lastRenderedPageBreak/>
              <w:t>Resultado de la verificación a la Dimensión Atención a Solicitudes de Información</w:t>
            </w:r>
          </w:p>
        </w:tc>
        <w:tc>
          <w:tcPr>
            <w:tcW w:w="1928" w:type="dxa"/>
            <w:vAlign w:val="center"/>
          </w:tcPr>
          <w:p w14:paraId="3EF36E9D" w14:textId="77777777" w:rsidR="00BE5FDD" w:rsidRPr="00E10C27" w:rsidRDefault="00BE5FDD" w:rsidP="00610F46">
            <w:pPr>
              <w:widowControl w:val="0"/>
              <w:suppressAutoHyphens/>
              <w:autoSpaceDE w:val="0"/>
              <w:autoSpaceDN w:val="0"/>
              <w:adjustRightInd w:val="0"/>
              <w:jc w:val="center"/>
              <w:rPr>
                <w:rFonts w:ascii="Montserrat" w:hAnsi="Montserrat" w:cstheme="minorHAnsi"/>
                <w:sz w:val="22"/>
                <w:szCs w:val="22"/>
              </w:rPr>
            </w:pPr>
            <w:r w:rsidRPr="00E10C27">
              <w:rPr>
                <w:rFonts w:ascii="Montserrat" w:hAnsi="Montserrat" w:cstheme="minorHAnsi"/>
                <w:sz w:val="22"/>
                <w:szCs w:val="22"/>
              </w:rPr>
              <w:t>93.83%</w:t>
            </w:r>
          </w:p>
        </w:tc>
        <w:tc>
          <w:tcPr>
            <w:tcW w:w="1928" w:type="dxa"/>
            <w:vAlign w:val="center"/>
          </w:tcPr>
          <w:p w14:paraId="1BE7560D" w14:textId="77777777" w:rsidR="00BE5FDD" w:rsidRPr="00E10C27" w:rsidRDefault="00BE5FDD" w:rsidP="00610F46">
            <w:pPr>
              <w:widowControl w:val="0"/>
              <w:suppressAutoHyphens/>
              <w:autoSpaceDE w:val="0"/>
              <w:autoSpaceDN w:val="0"/>
              <w:adjustRightInd w:val="0"/>
              <w:jc w:val="center"/>
              <w:rPr>
                <w:rFonts w:ascii="Montserrat" w:hAnsi="Montserrat" w:cstheme="minorHAnsi"/>
                <w:sz w:val="22"/>
                <w:szCs w:val="22"/>
              </w:rPr>
            </w:pPr>
            <w:r w:rsidRPr="00E10C27">
              <w:rPr>
                <w:rFonts w:ascii="Montserrat" w:hAnsi="Montserrat" w:cstheme="minorHAnsi"/>
                <w:sz w:val="22"/>
                <w:szCs w:val="22"/>
              </w:rPr>
              <w:t>91.42%</w:t>
            </w:r>
          </w:p>
        </w:tc>
      </w:tr>
      <w:tr w:rsidR="00BE5FDD" w:rsidRPr="00E10C27" w14:paraId="6631E247" w14:textId="77777777" w:rsidTr="00610F46">
        <w:trPr>
          <w:jc w:val="center"/>
        </w:trPr>
        <w:tc>
          <w:tcPr>
            <w:tcW w:w="5102" w:type="dxa"/>
          </w:tcPr>
          <w:p w14:paraId="7DB495F3" w14:textId="77777777" w:rsidR="00BE5FDD" w:rsidRPr="00E10C27" w:rsidRDefault="00BE5FDD" w:rsidP="00610F46">
            <w:pPr>
              <w:widowControl w:val="0"/>
              <w:suppressAutoHyphens/>
              <w:autoSpaceDE w:val="0"/>
              <w:autoSpaceDN w:val="0"/>
              <w:adjustRightInd w:val="0"/>
              <w:rPr>
                <w:rFonts w:ascii="Montserrat" w:hAnsi="Montserrat" w:cstheme="minorHAnsi"/>
                <w:sz w:val="22"/>
                <w:szCs w:val="22"/>
              </w:rPr>
            </w:pPr>
            <w:r w:rsidRPr="00E10C27">
              <w:rPr>
                <w:rFonts w:ascii="Montserrat" w:hAnsi="Montserrat" w:cstheme="minorHAnsi"/>
                <w:sz w:val="22"/>
                <w:szCs w:val="22"/>
              </w:rPr>
              <w:t>Resultado de la verificación a la Dimensión Capacidades Institucionales de Unidades de Transparencia</w:t>
            </w:r>
          </w:p>
        </w:tc>
        <w:tc>
          <w:tcPr>
            <w:tcW w:w="1928" w:type="dxa"/>
            <w:vAlign w:val="center"/>
          </w:tcPr>
          <w:p w14:paraId="13E97BBF" w14:textId="77777777" w:rsidR="00BE5FDD" w:rsidRPr="00E10C27" w:rsidRDefault="00BE5FDD" w:rsidP="00610F46">
            <w:pPr>
              <w:widowControl w:val="0"/>
              <w:suppressAutoHyphens/>
              <w:autoSpaceDE w:val="0"/>
              <w:autoSpaceDN w:val="0"/>
              <w:adjustRightInd w:val="0"/>
              <w:jc w:val="center"/>
              <w:rPr>
                <w:rFonts w:ascii="Montserrat" w:hAnsi="Montserrat" w:cstheme="minorHAnsi"/>
                <w:sz w:val="22"/>
                <w:szCs w:val="22"/>
              </w:rPr>
            </w:pPr>
            <w:r w:rsidRPr="00E10C27">
              <w:rPr>
                <w:rFonts w:ascii="Montserrat" w:hAnsi="Montserrat" w:cstheme="minorHAnsi"/>
                <w:sz w:val="22"/>
                <w:szCs w:val="22"/>
              </w:rPr>
              <w:t>83.33%</w:t>
            </w:r>
          </w:p>
        </w:tc>
        <w:tc>
          <w:tcPr>
            <w:tcW w:w="1928" w:type="dxa"/>
            <w:vAlign w:val="center"/>
          </w:tcPr>
          <w:p w14:paraId="7F3D1A96" w14:textId="77777777" w:rsidR="00BE5FDD" w:rsidRPr="00E10C27" w:rsidRDefault="00BE5FDD" w:rsidP="00610F46">
            <w:pPr>
              <w:widowControl w:val="0"/>
              <w:suppressAutoHyphens/>
              <w:autoSpaceDE w:val="0"/>
              <w:autoSpaceDN w:val="0"/>
              <w:adjustRightInd w:val="0"/>
              <w:jc w:val="center"/>
              <w:rPr>
                <w:rFonts w:ascii="Montserrat" w:hAnsi="Montserrat" w:cstheme="minorHAnsi"/>
                <w:sz w:val="22"/>
                <w:szCs w:val="22"/>
              </w:rPr>
            </w:pPr>
            <w:r w:rsidRPr="00E10C27">
              <w:rPr>
                <w:rFonts w:ascii="Montserrat" w:hAnsi="Montserrat" w:cstheme="minorHAnsi"/>
                <w:sz w:val="22"/>
                <w:szCs w:val="22"/>
              </w:rPr>
              <w:t>89.36%</w:t>
            </w:r>
          </w:p>
        </w:tc>
      </w:tr>
      <w:tr w:rsidR="00BE5FDD" w:rsidRPr="00E10C27" w14:paraId="2B3D39BB" w14:textId="77777777" w:rsidTr="00610F46">
        <w:trPr>
          <w:jc w:val="center"/>
        </w:trPr>
        <w:tc>
          <w:tcPr>
            <w:tcW w:w="5102" w:type="dxa"/>
          </w:tcPr>
          <w:p w14:paraId="22C2AC50" w14:textId="77777777" w:rsidR="00BE5FDD" w:rsidRPr="00E10C27" w:rsidRDefault="00BE5FDD" w:rsidP="00610F46">
            <w:pPr>
              <w:widowControl w:val="0"/>
              <w:suppressAutoHyphens/>
              <w:autoSpaceDE w:val="0"/>
              <w:autoSpaceDN w:val="0"/>
              <w:adjustRightInd w:val="0"/>
              <w:rPr>
                <w:rFonts w:ascii="Montserrat" w:hAnsi="Montserrat" w:cstheme="minorHAnsi"/>
                <w:sz w:val="22"/>
                <w:szCs w:val="22"/>
              </w:rPr>
            </w:pPr>
            <w:r w:rsidRPr="00E10C27">
              <w:rPr>
                <w:rFonts w:ascii="Montserrat" w:hAnsi="Montserrat" w:cstheme="minorHAnsi"/>
                <w:sz w:val="22"/>
                <w:szCs w:val="22"/>
              </w:rPr>
              <w:t>Resultado de la verificación a la Dimensión Acciones de Capacitación</w:t>
            </w:r>
          </w:p>
        </w:tc>
        <w:tc>
          <w:tcPr>
            <w:tcW w:w="1928" w:type="dxa"/>
            <w:vAlign w:val="center"/>
          </w:tcPr>
          <w:p w14:paraId="21594FD5" w14:textId="77777777" w:rsidR="00BE5FDD" w:rsidRPr="00E10C27" w:rsidRDefault="00BE5FDD" w:rsidP="00610F46">
            <w:pPr>
              <w:widowControl w:val="0"/>
              <w:suppressAutoHyphens/>
              <w:autoSpaceDE w:val="0"/>
              <w:autoSpaceDN w:val="0"/>
              <w:adjustRightInd w:val="0"/>
              <w:jc w:val="center"/>
              <w:rPr>
                <w:rFonts w:ascii="Montserrat" w:hAnsi="Montserrat" w:cstheme="minorHAnsi"/>
                <w:sz w:val="22"/>
                <w:szCs w:val="22"/>
              </w:rPr>
            </w:pPr>
            <w:r w:rsidRPr="00E10C27">
              <w:rPr>
                <w:rFonts w:ascii="Montserrat" w:hAnsi="Montserrat" w:cstheme="minorHAnsi"/>
                <w:sz w:val="22"/>
                <w:szCs w:val="22"/>
              </w:rPr>
              <w:t>97.06%</w:t>
            </w:r>
          </w:p>
        </w:tc>
        <w:tc>
          <w:tcPr>
            <w:tcW w:w="1928" w:type="dxa"/>
            <w:vAlign w:val="center"/>
          </w:tcPr>
          <w:p w14:paraId="7A585EE4" w14:textId="77777777" w:rsidR="00BE5FDD" w:rsidRPr="00E10C27" w:rsidRDefault="00BE5FDD" w:rsidP="00610F46">
            <w:pPr>
              <w:widowControl w:val="0"/>
              <w:suppressAutoHyphens/>
              <w:autoSpaceDE w:val="0"/>
              <w:autoSpaceDN w:val="0"/>
              <w:adjustRightInd w:val="0"/>
              <w:jc w:val="center"/>
              <w:rPr>
                <w:rFonts w:ascii="Montserrat" w:hAnsi="Montserrat" w:cstheme="minorHAnsi"/>
                <w:sz w:val="22"/>
                <w:szCs w:val="22"/>
              </w:rPr>
            </w:pPr>
            <w:r w:rsidRPr="00E10C27">
              <w:rPr>
                <w:rFonts w:ascii="Montserrat" w:hAnsi="Montserrat" w:cstheme="minorHAnsi"/>
                <w:sz w:val="22"/>
                <w:szCs w:val="22"/>
              </w:rPr>
              <w:t>94.44%</w:t>
            </w:r>
          </w:p>
        </w:tc>
      </w:tr>
    </w:tbl>
    <w:p w14:paraId="66DC79CC" w14:textId="77777777" w:rsidR="00BE5FDD" w:rsidRPr="00E10C27" w:rsidRDefault="00BE5FDD" w:rsidP="00BE5FDD">
      <w:pPr>
        <w:widowControl w:val="0"/>
        <w:suppressAutoHyphens/>
        <w:autoSpaceDE w:val="0"/>
        <w:autoSpaceDN w:val="0"/>
        <w:adjustRightInd w:val="0"/>
        <w:jc w:val="both"/>
        <w:rPr>
          <w:rFonts w:ascii="Montserrat" w:hAnsi="Montserrat" w:cs="Arial"/>
          <w:sz w:val="22"/>
          <w:szCs w:val="22"/>
          <w:u w:val="single"/>
        </w:rPr>
      </w:pPr>
    </w:p>
    <w:p w14:paraId="33397029" w14:textId="77777777" w:rsidR="00BE5FDD" w:rsidRPr="00E10C27" w:rsidRDefault="00BE5FDD" w:rsidP="00BE5FDD">
      <w:pPr>
        <w:widowControl w:val="0"/>
        <w:suppressAutoHyphens/>
        <w:autoSpaceDE w:val="0"/>
        <w:autoSpaceDN w:val="0"/>
        <w:adjustRightInd w:val="0"/>
        <w:jc w:val="both"/>
        <w:rPr>
          <w:rFonts w:ascii="Montserrat" w:hAnsi="Montserrat" w:cs="Arial"/>
          <w:sz w:val="22"/>
          <w:szCs w:val="22"/>
          <w:u w:val="single"/>
        </w:rPr>
      </w:pPr>
    </w:p>
    <w:p w14:paraId="3D90A1B2" w14:textId="77777777" w:rsidR="00BE5FDD" w:rsidRPr="00E10C27" w:rsidRDefault="00BE5FDD" w:rsidP="00BE5FDD">
      <w:pPr>
        <w:widowControl w:val="0"/>
        <w:numPr>
          <w:ilvl w:val="0"/>
          <w:numId w:val="25"/>
        </w:numPr>
        <w:suppressAutoHyphens/>
        <w:autoSpaceDE w:val="0"/>
        <w:autoSpaceDN w:val="0"/>
        <w:adjustRightInd w:val="0"/>
        <w:jc w:val="both"/>
        <w:rPr>
          <w:rFonts w:ascii="Montserrat" w:hAnsi="Montserrat" w:cs="Arial"/>
          <w:b/>
          <w:sz w:val="22"/>
          <w:szCs w:val="22"/>
        </w:rPr>
      </w:pPr>
      <w:r w:rsidRPr="00E10C27">
        <w:rPr>
          <w:rFonts w:ascii="Montserrat" w:hAnsi="Montserrat" w:cs="Arial"/>
          <w:b/>
          <w:sz w:val="22"/>
          <w:szCs w:val="22"/>
        </w:rPr>
        <w:t>Cumplimiento a la actualización de Índices de Expedientes Reservados y Sistema de Datos Personales</w:t>
      </w:r>
    </w:p>
    <w:p w14:paraId="70980A78" w14:textId="77777777" w:rsidR="00BE5FDD" w:rsidRPr="00E10C27" w:rsidRDefault="00BE5FDD" w:rsidP="00BE5FDD">
      <w:pPr>
        <w:widowControl w:val="0"/>
        <w:suppressAutoHyphens/>
        <w:autoSpaceDE w:val="0"/>
        <w:autoSpaceDN w:val="0"/>
        <w:adjustRightInd w:val="0"/>
        <w:jc w:val="both"/>
        <w:rPr>
          <w:rFonts w:ascii="Montserrat" w:eastAsia="SimSun" w:hAnsi="Montserrat" w:cs="Arial"/>
          <w:kern w:val="1"/>
          <w:sz w:val="22"/>
          <w:szCs w:val="22"/>
          <w:lang w:eastAsia="hi-IN" w:bidi="hi-IN"/>
        </w:rPr>
      </w:pPr>
    </w:p>
    <w:p w14:paraId="13D69183" w14:textId="77777777" w:rsidR="00BE5FDD" w:rsidRPr="00E10C27" w:rsidRDefault="00BE5FDD" w:rsidP="00BE5FDD">
      <w:pPr>
        <w:tabs>
          <w:tab w:val="left" w:pos="927"/>
        </w:tabs>
        <w:autoSpaceDE w:val="0"/>
        <w:autoSpaceDN w:val="0"/>
        <w:adjustRightInd w:val="0"/>
        <w:jc w:val="both"/>
        <w:rPr>
          <w:rFonts w:ascii="Montserrat" w:hAnsi="Montserrat" w:cs="Arial"/>
          <w:sz w:val="22"/>
          <w:szCs w:val="22"/>
          <w:lang w:eastAsia="es-MX"/>
        </w:rPr>
      </w:pPr>
      <w:r w:rsidRPr="00E10C27">
        <w:rPr>
          <w:rFonts w:ascii="Montserrat" w:hAnsi="Montserrat" w:cs="Arial"/>
          <w:sz w:val="22"/>
          <w:szCs w:val="22"/>
          <w:lang w:eastAsia="es-MX"/>
        </w:rPr>
        <w:t>El Colegio de la Frontera Sur (ECOSUR),</w:t>
      </w:r>
      <w:r w:rsidRPr="00E10C27">
        <w:rPr>
          <w:rFonts w:ascii="Montserrat" w:hAnsi="Montserrat"/>
          <w:sz w:val="22"/>
          <w:szCs w:val="22"/>
        </w:rPr>
        <w:t xml:space="preserve"> no tienen expedientes clasificados como reservados </w:t>
      </w:r>
      <w:r w:rsidRPr="00E10C27">
        <w:rPr>
          <w:rFonts w:ascii="Montserrat" w:eastAsia="SimSun" w:hAnsi="Montserrat" w:cs="Arial"/>
          <w:kern w:val="1"/>
          <w:sz w:val="22"/>
          <w:szCs w:val="22"/>
          <w:lang w:eastAsia="hi-IN" w:bidi="hi-IN"/>
        </w:rPr>
        <w:t xml:space="preserve">de conformidad con los </w:t>
      </w:r>
      <w:r w:rsidRPr="00E10C27">
        <w:rPr>
          <w:rFonts w:ascii="Montserrat" w:hAnsi="Montserrat" w:cs="Arial"/>
          <w:sz w:val="22"/>
          <w:szCs w:val="22"/>
          <w:lang w:eastAsia="es-MX"/>
        </w:rPr>
        <w:t>“</w:t>
      </w:r>
      <w:r w:rsidRPr="00E10C27">
        <w:rPr>
          <w:rFonts w:ascii="Montserrat" w:hAnsi="Montserrat" w:cs="Arial"/>
          <w:i/>
          <w:sz w:val="22"/>
          <w:szCs w:val="22"/>
          <w:lang w:eastAsia="es-MX"/>
        </w:rPr>
        <w:t>Lineamientos generales en materia de clasificación de la información, así como la elaboración de versiones públicas</w:t>
      </w:r>
      <w:r w:rsidRPr="00E10C27">
        <w:rPr>
          <w:rFonts w:ascii="Montserrat" w:hAnsi="Montserrat" w:cs="Arial"/>
          <w:sz w:val="22"/>
          <w:szCs w:val="22"/>
          <w:lang w:eastAsia="es-MX"/>
        </w:rPr>
        <w:t>” a través del portal institucional se difunde dicha leyenda.</w:t>
      </w:r>
    </w:p>
    <w:p w14:paraId="29990211" w14:textId="77777777" w:rsidR="00BE5FDD" w:rsidRPr="00E10C27" w:rsidRDefault="00BE5FDD" w:rsidP="00BE5FDD">
      <w:pPr>
        <w:tabs>
          <w:tab w:val="left" w:pos="927"/>
        </w:tabs>
        <w:autoSpaceDE w:val="0"/>
        <w:autoSpaceDN w:val="0"/>
        <w:adjustRightInd w:val="0"/>
        <w:jc w:val="both"/>
        <w:rPr>
          <w:rFonts w:ascii="Montserrat" w:hAnsi="Montserrat" w:cs="Arial"/>
          <w:sz w:val="22"/>
          <w:szCs w:val="22"/>
          <w:lang w:eastAsia="es-MX"/>
        </w:rPr>
      </w:pPr>
    </w:p>
    <w:p w14:paraId="6DF117D8" w14:textId="77777777" w:rsidR="00BE5FDD" w:rsidRPr="00E10C27" w:rsidRDefault="00BE5FDD" w:rsidP="00BE5FDD">
      <w:pPr>
        <w:jc w:val="both"/>
        <w:rPr>
          <w:rFonts w:ascii="Montserrat" w:hAnsi="Montserrat" w:cs="Arial"/>
          <w:sz w:val="22"/>
          <w:szCs w:val="22"/>
        </w:rPr>
      </w:pPr>
      <w:r w:rsidRPr="00E10C27">
        <w:rPr>
          <w:rFonts w:ascii="Montserrat" w:hAnsi="Montserrat" w:cs="Arial"/>
          <w:sz w:val="22"/>
          <w:szCs w:val="22"/>
        </w:rPr>
        <w:t xml:space="preserve">En materia de protección de datos personales se revisaron y actualizaron los avisos de privacidad de simplificados e integrales, así como el llenado de un inventario de los avisos de privacidad existentes seccionado por tratamiento y unidad, se elaboró el programa de protección de datos personales, así como los mecanismos de monitoreo y revisión de los datos personales. Lo siguiente fue relacionado al documento de seguridad, se redactó y se capacitó en línea para el llenado del inventario de datos personales y sistemas de tratamiento. Se determino e hizo un inventario con lo relativo a los servicios, aplicaciones e infraestructura sobre el computo en la nube. También se realizó un documento que contiene los medios y procedimientos habilitados para dar a conocer lo relativo a los Derechos ARCO, así como la creación de un documento que detalla el número de solicitudes de derechos ARCO. Se actualizo el apartado virtual de protección de datos personales. </w:t>
      </w:r>
    </w:p>
    <w:p w14:paraId="552CB938" w14:textId="77777777" w:rsidR="00BE5FDD" w:rsidRPr="00E10C27" w:rsidRDefault="00BE5FDD" w:rsidP="00BE5FDD">
      <w:pPr>
        <w:tabs>
          <w:tab w:val="left" w:pos="927"/>
        </w:tabs>
        <w:autoSpaceDE w:val="0"/>
        <w:autoSpaceDN w:val="0"/>
        <w:adjustRightInd w:val="0"/>
        <w:jc w:val="both"/>
        <w:rPr>
          <w:rFonts w:ascii="Montserrat" w:hAnsi="Montserrat" w:cs="Arial"/>
          <w:sz w:val="22"/>
          <w:szCs w:val="22"/>
          <w:lang w:eastAsia="es-MX"/>
        </w:rPr>
      </w:pPr>
    </w:p>
    <w:p w14:paraId="2FCA8E02" w14:textId="77777777" w:rsidR="00BE5FDD" w:rsidRPr="00E10C27" w:rsidRDefault="00BE5FDD" w:rsidP="00BE5FDD">
      <w:pPr>
        <w:pStyle w:val="Prrafodelista"/>
        <w:numPr>
          <w:ilvl w:val="0"/>
          <w:numId w:val="25"/>
        </w:numPr>
        <w:tabs>
          <w:tab w:val="left" w:pos="927"/>
        </w:tabs>
        <w:autoSpaceDE w:val="0"/>
        <w:autoSpaceDN w:val="0"/>
        <w:adjustRightInd w:val="0"/>
        <w:contextualSpacing w:val="0"/>
        <w:jc w:val="both"/>
        <w:rPr>
          <w:rFonts w:ascii="Montserrat" w:hAnsi="Montserrat" w:cs="Arial"/>
          <w:b/>
          <w:bCs/>
          <w:sz w:val="22"/>
          <w:szCs w:val="22"/>
          <w:lang w:eastAsia="es-MX"/>
        </w:rPr>
      </w:pPr>
      <w:r w:rsidRPr="00E10C27">
        <w:rPr>
          <w:rFonts w:ascii="Montserrat" w:hAnsi="Montserrat" w:cs="Arial"/>
          <w:b/>
          <w:bCs/>
          <w:sz w:val="22"/>
          <w:szCs w:val="22"/>
          <w:lang w:eastAsia="es-MX"/>
        </w:rPr>
        <w:t xml:space="preserve">Reporte de actividades realizadas por el Comité de Transparencia </w:t>
      </w:r>
    </w:p>
    <w:p w14:paraId="08B6B573" w14:textId="77777777" w:rsidR="00BE5FDD" w:rsidRPr="00E10C27" w:rsidRDefault="00BE5FDD" w:rsidP="00BE5FDD">
      <w:pPr>
        <w:tabs>
          <w:tab w:val="left" w:pos="927"/>
        </w:tabs>
        <w:autoSpaceDE w:val="0"/>
        <w:autoSpaceDN w:val="0"/>
        <w:adjustRightInd w:val="0"/>
        <w:jc w:val="both"/>
        <w:rPr>
          <w:rFonts w:ascii="Montserrat" w:hAnsi="Montserrat" w:cs="Arial"/>
          <w:sz w:val="22"/>
          <w:szCs w:val="22"/>
          <w:lang w:eastAsia="es-MX"/>
        </w:rPr>
      </w:pPr>
      <w:r w:rsidRPr="00E10C27">
        <w:rPr>
          <w:rFonts w:ascii="Montserrat" w:hAnsi="Montserrat" w:cs="Arial"/>
          <w:sz w:val="22"/>
          <w:szCs w:val="22"/>
          <w:lang w:eastAsia="es-MX"/>
        </w:rPr>
        <w:t>Con fundamento a las atribuciones conferidas en el artículo 65 de la Ley Federal de Transparencia y Acceso a la Información Pública y 44 de la Ley General de Transparencia y Acceso a la Información Pública</w:t>
      </w:r>
    </w:p>
    <w:p w14:paraId="645BC4A2" w14:textId="77777777" w:rsidR="00BE5FDD" w:rsidRPr="00E10C27" w:rsidRDefault="00BE5FDD" w:rsidP="00BE5FDD">
      <w:pPr>
        <w:tabs>
          <w:tab w:val="left" w:pos="927"/>
        </w:tabs>
        <w:autoSpaceDE w:val="0"/>
        <w:autoSpaceDN w:val="0"/>
        <w:adjustRightInd w:val="0"/>
        <w:jc w:val="both"/>
        <w:rPr>
          <w:rFonts w:ascii="Montserrat" w:hAnsi="Montserrat" w:cs="Arial"/>
          <w:sz w:val="22"/>
          <w:szCs w:val="22"/>
          <w:lang w:eastAsia="es-MX"/>
        </w:rPr>
      </w:pPr>
    </w:p>
    <w:p w14:paraId="5F672AFA" w14:textId="75B6E510" w:rsidR="00E10C27" w:rsidRDefault="00BE5FDD" w:rsidP="00BE5FDD">
      <w:pPr>
        <w:tabs>
          <w:tab w:val="left" w:pos="927"/>
        </w:tabs>
        <w:autoSpaceDE w:val="0"/>
        <w:autoSpaceDN w:val="0"/>
        <w:adjustRightInd w:val="0"/>
        <w:jc w:val="both"/>
        <w:rPr>
          <w:rFonts w:ascii="Montserrat" w:hAnsi="Montserrat" w:cs="Arial"/>
          <w:sz w:val="22"/>
          <w:szCs w:val="22"/>
          <w:lang w:eastAsia="es-MX"/>
        </w:rPr>
      </w:pPr>
      <w:r w:rsidRPr="00E10C27">
        <w:rPr>
          <w:rFonts w:ascii="Montserrat" w:hAnsi="Montserrat" w:cs="Arial"/>
          <w:sz w:val="22"/>
          <w:szCs w:val="22"/>
          <w:lang w:eastAsia="es-MX"/>
        </w:rPr>
        <w:t>El Comité de Transparencia sesionó en 10 ocasiones</w:t>
      </w:r>
      <w:r w:rsidR="00345AAD">
        <w:rPr>
          <w:rFonts w:ascii="Montserrat" w:hAnsi="Montserrat" w:cs="Arial"/>
          <w:sz w:val="22"/>
          <w:szCs w:val="22"/>
          <w:lang w:eastAsia="es-MX"/>
        </w:rPr>
        <w:t>:</w:t>
      </w:r>
      <w:r w:rsidRPr="00E10C27">
        <w:rPr>
          <w:rFonts w:ascii="Montserrat" w:hAnsi="Montserrat" w:cs="Arial"/>
          <w:sz w:val="22"/>
          <w:szCs w:val="22"/>
          <w:lang w:eastAsia="es-MX"/>
        </w:rPr>
        <w:t xml:space="preserve"> 3 sesiones ordinarias y 7 sesiones extraordinarias, para </w:t>
      </w:r>
      <w:r w:rsidR="00EA0512">
        <w:rPr>
          <w:rFonts w:ascii="Montserrat" w:hAnsi="Montserrat" w:cs="Arial"/>
          <w:sz w:val="22"/>
          <w:szCs w:val="22"/>
          <w:lang w:eastAsia="es-MX"/>
        </w:rPr>
        <w:t>analizar y resolver</w:t>
      </w:r>
      <w:r w:rsidRPr="00E10C27">
        <w:rPr>
          <w:rFonts w:ascii="Montserrat" w:hAnsi="Montserrat" w:cs="Arial"/>
          <w:sz w:val="22"/>
          <w:szCs w:val="22"/>
          <w:lang w:eastAsia="es-MX"/>
        </w:rPr>
        <w:t xml:space="preserve"> diversas solicitudes </w:t>
      </w:r>
      <w:r w:rsidR="00EA0512">
        <w:rPr>
          <w:rFonts w:ascii="Montserrat" w:hAnsi="Montserrat" w:cs="Arial"/>
          <w:sz w:val="22"/>
          <w:szCs w:val="22"/>
          <w:lang w:eastAsia="es-MX"/>
        </w:rPr>
        <w:t>de las áreas administrativas, para confirmar, modificar o revocar</w:t>
      </w:r>
      <w:r w:rsidR="00345AAD">
        <w:rPr>
          <w:rFonts w:ascii="Montserrat" w:hAnsi="Montserrat" w:cs="Arial"/>
          <w:sz w:val="22"/>
          <w:szCs w:val="22"/>
          <w:lang w:eastAsia="es-MX"/>
        </w:rPr>
        <w:t xml:space="preserve"> la ampliación del plazo de respuesta, clasificación de la información como confidencial o reservada, declaración de inexistencia o de incompetencia, </w:t>
      </w:r>
      <w:r w:rsidR="002A2D6B">
        <w:rPr>
          <w:rFonts w:ascii="Montserrat" w:hAnsi="Montserrat" w:cs="Arial"/>
          <w:sz w:val="22"/>
          <w:szCs w:val="22"/>
          <w:lang w:eastAsia="es-MX"/>
        </w:rPr>
        <w:t>y</w:t>
      </w:r>
      <w:r w:rsidR="00345AAD" w:rsidRPr="00E10C27">
        <w:rPr>
          <w:rFonts w:ascii="Montserrat" w:hAnsi="Montserrat" w:cs="Arial"/>
          <w:sz w:val="22"/>
          <w:szCs w:val="22"/>
          <w:lang w:eastAsia="es-MX"/>
        </w:rPr>
        <w:t xml:space="preserve"> atención a recursos de revisión</w:t>
      </w:r>
      <w:r w:rsidR="00345AAD">
        <w:rPr>
          <w:rFonts w:ascii="Montserrat" w:hAnsi="Montserrat" w:cs="Arial"/>
          <w:sz w:val="22"/>
          <w:szCs w:val="22"/>
          <w:lang w:eastAsia="es-MX"/>
        </w:rPr>
        <w:t>, en este sentido se informa que se</w:t>
      </w:r>
      <w:r w:rsidR="00EA0512">
        <w:rPr>
          <w:rFonts w:ascii="Montserrat" w:hAnsi="Montserrat" w:cs="Arial"/>
          <w:sz w:val="22"/>
          <w:szCs w:val="22"/>
          <w:lang w:eastAsia="es-MX"/>
        </w:rPr>
        <w:t xml:space="preserve"> </w:t>
      </w:r>
      <w:r w:rsidR="002A2D6B">
        <w:rPr>
          <w:rFonts w:ascii="Montserrat" w:hAnsi="Montserrat" w:cs="Arial"/>
          <w:sz w:val="22"/>
          <w:szCs w:val="22"/>
          <w:lang w:eastAsia="es-MX"/>
        </w:rPr>
        <w:t>emitieron</w:t>
      </w:r>
      <w:r w:rsidR="00EA0512">
        <w:rPr>
          <w:rFonts w:ascii="Montserrat" w:hAnsi="Montserrat" w:cs="Arial"/>
          <w:sz w:val="22"/>
          <w:szCs w:val="22"/>
          <w:lang w:eastAsia="es-MX"/>
        </w:rPr>
        <w:t xml:space="preserve"> un total de </w:t>
      </w:r>
      <w:r w:rsidR="00EA0512">
        <w:rPr>
          <w:rFonts w:ascii="Montserrat" w:hAnsi="Montserrat" w:cs="Arial"/>
          <w:sz w:val="22"/>
          <w:szCs w:val="22"/>
          <w:lang w:eastAsia="es-MX"/>
        </w:rPr>
        <w:t xml:space="preserve">22 resoluciones </w:t>
      </w:r>
      <w:r w:rsidR="00EA0512" w:rsidRPr="00E10C27">
        <w:rPr>
          <w:rFonts w:ascii="Montserrat" w:hAnsi="Montserrat" w:cs="Arial"/>
          <w:sz w:val="22"/>
          <w:szCs w:val="22"/>
          <w:lang w:eastAsia="es-MX"/>
        </w:rPr>
        <w:t>en materia de acceso a la informació</w:t>
      </w:r>
      <w:r w:rsidR="00EA0512">
        <w:rPr>
          <w:rFonts w:ascii="Montserrat" w:hAnsi="Montserrat" w:cs="Arial"/>
          <w:sz w:val="22"/>
          <w:szCs w:val="22"/>
          <w:lang w:eastAsia="es-MX"/>
        </w:rPr>
        <w:t>n</w:t>
      </w:r>
      <w:r w:rsidRPr="00E10C27">
        <w:rPr>
          <w:rFonts w:ascii="Montserrat" w:hAnsi="Montserrat" w:cs="Arial"/>
          <w:sz w:val="22"/>
          <w:szCs w:val="22"/>
          <w:lang w:eastAsia="es-MX"/>
        </w:rPr>
        <w:t xml:space="preserve">, </w:t>
      </w:r>
    </w:p>
    <w:p w14:paraId="5D3DC455" w14:textId="77777777" w:rsidR="00E10C27" w:rsidRDefault="00E10C27" w:rsidP="00BE5FDD">
      <w:pPr>
        <w:tabs>
          <w:tab w:val="left" w:pos="927"/>
        </w:tabs>
        <w:autoSpaceDE w:val="0"/>
        <w:autoSpaceDN w:val="0"/>
        <w:adjustRightInd w:val="0"/>
        <w:jc w:val="both"/>
        <w:rPr>
          <w:rFonts w:ascii="Montserrat" w:hAnsi="Montserrat" w:cs="Arial"/>
          <w:sz w:val="22"/>
          <w:szCs w:val="22"/>
          <w:lang w:eastAsia="es-MX"/>
        </w:rPr>
      </w:pPr>
    </w:p>
    <w:p w14:paraId="2C7612B7" w14:textId="77777777" w:rsidR="00BE5FDD" w:rsidRPr="00E10C27" w:rsidRDefault="00BE5FDD" w:rsidP="00BE5FDD">
      <w:pPr>
        <w:tabs>
          <w:tab w:val="left" w:pos="927"/>
        </w:tabs>
        <w:autoSpaceDE w:val="0"/>
        <w:autoSpaceDN w:val="0"/>
        <w:adjustRightInd w:val="0"/>
        <w:jc w:val="both"/>
        <w:rPr>
          <w:rFonts w:ascii="Montserrat" w:hAnsi="Montserrat" w:cs="Arial"/>
          <w:sz w:val="22"/>
          <w:szCs w:val="22"/>
        </w:rPr>
      </w:pPr>
      <w:r w:rsidRPr="00E10C27">
        <w:rPr>
          <w:rFonts w:ascii="Montserrat" w:hAnsi="Montserrat" w:cs="Arial"/>
          <w:sz w:val="22"/>
          <w:szCs w:val="22"/>
          <w:lang w:eastAsia="es-MX"/>
        </w:rPr>
        <w:t>Asimismo, se llevaron a cabo acciones para el cumplimiento a las P</w:t>
      </w:r>
      <w:r w:rsidRPr="00E10C27">
        <w:rPr>
          <w:rFonts w:ascii="Montserrat" w:hAnsi="Montserrat" w:cs="Arial"/>
          <w:sz w:val="22"/>
          <w:szCs w:val="22"/>
        </w:rPr>
        <w:t>olíticas de Transparencia, Gobierno Abierto y Datos Personales de la APF (SFP), en el cual ECOSUR para el período evaluado de 2022-2023 obtuvo el 100% de cumplimiento.</w:t>
      </w:r>
    </w:p>
    <w:p w14:paraId="48B8D244" w14:textId="77777777" w:rsidR="00BE5FDD" w:rsidRPr="00E10C27" w:rsidRDefault="00BE5FDD" w:rsidP="00BE5FDD">
      <w:pPr>
        <w:tabs>
          <w:tab w:val="left" w:pos="927"/>
        </w:tabs>
        <w:autoSpaceDE w:val="0"/>
        <w:autoSpaceDN w:val="0"/>
        <w:adjustRightInd w:val="0"/>
        <w:jc w:val="both"/>
        <w:rPr>
          <w:rFonts w:ascii="Montserrat" w:hAnsi="Montserrat" w:cs="Arial"/>
          <w:sz w:val="22"/>
          <w:szCs w:val="22"/>
        </w:rPr>
      </w:pPr>
    </w:p>
    <w:p w14:paraId="75676818" w14:textId="77777777" w:rsidR="00BE5FDD" w:rsidRPr="00E10C27" w:rsidRDefault="00BE5FDD" w:rsidP="00BE5FDD">
      <w:pPr>
        <w:tabs>
          <w:tab w:val="left" w:pos="927"/>
        </w:tabs>
        <w:autoSpaceDE w:val="0"/>
        <w:autoSpaceDN w:val="0"/>
        <w:adjustRightInd w:val="0"/>
        <w:jc w:val="both"/>
        <w:rPr>
          <w:rFonts w:ascii="Montserrat" w:hAnsi="Montserrat" w:cs="Arial"/>
          <w:sz w:val="22"/>
          <w:szCs w:val="22"/>
        </w:rPr>
      </w:pPr>
      <w:r w:rsidRPr="00E10C27">
        <w:rPr>
          <w:rFonts w:ascii="Montserrat" w:hAnsi="Montserrat" w:cs="Arial"/>
          <w:sz w:val="22"/>
          <w:szCs w:val="22"/>
        </w:rPr>
        <w:t>El Comité de Transparencia aprobó el Programa anual de capacitación 2023 en materia de Transparencia, Acceso a la Información, Protección de Datos Personales y Archivo, como acción se implementó la obligatoriedad de capacitación a las personas servidoras públicas de nuevo ingreso para sensibilizar y crear una cultura al respecto.</w:t>
      </w:r>
    </w:p>
    <w:p w14:paraId="1B11686B" w14:textId="77777777" w:rsidR="00BE5FDD" w:rsidRPr="00E10C27" w:rsidRDefault="00BE5FDD" w:rsidP="00BE5FDD">
      <w:pPr>
        <w:tabs>
          <w:tab w:val="left" w:pos="927"/>
        </w:tabs>
        <w:autoSpaceDE w:val="0"/>
        <w:autoSpaceDN w:val="0"/>
        <w:adjustRightInd w:val="0"/>
        <w:jc w:val="both"/>
        <w:rPr>
          <w:rFonts w:ascii="Montserrat" w:hAnsi="Montserrat" w:cs="Arial"/>
          <w:sz w:val="22"/>
          <w:szCs w:val="22"/>
        </w:rPr>
      </w:pPr>
    </w:p>
    <w:p w14:paraId="05DF828D" w14:textId="77777777" w:rsidR="00BE5FDD" w:rsidRDefault="00BE5FDD" w:rsidP="00BE5FDD">
      <w:pPr>
        <w:tabs>
          <w:tab w:val="left" w:pos="927"/>
        </w:tabs>
        <w:autoSpaceDE w:val="0"/>
        <w:autoSpaceDN w:val="0"/>
        <w:adjustRightInd w:val="0"/>
        <w:jc w:val="both"/>
        <w:rPr>
          <w:rFonts w:ascii="Montserrat" w:hAnsi="Montserrat" w:cs="Arial"/>
          <w:sz w:val="22"/>
          <w:szCs w:val="22"/>
        </w:rPr>
      </w:pPr>
      <w:r w:rsidRPr="00E10C27">
        <w:rPr>
          <w:rFonts w:ascii="Montserrat" w:hAnsi="Montserrat" w:cs="Arial"/>
          <w:sz w:val="22"/>
          <w:szCs w:val="22"/>
        </w:rPr>
        <w:t>Supervisó que las áreas administrativas publiquen información socialmente útil que sirva a la ciudadanía para tomar decisiones.</w:t>
      </w:r>
    </w:p>
    <w:p w14:paraId="5A39F791" w14:textId="77777777" w:rsidR="00E10C27" w:rsidRDefault="00E10C27" w:rsidP="00BE5FDD">
      <w:pPr>
        <w:tabs>
          <w:tab w:val="left" w:pos="927"/>
        </w:tabs>
        <w:autoSpaceDE w:val="0"/>
        <w:autoSpaceDN w:val="0"/>
        <w:adjustRightInd w:val="0"/>
        <w:jc w:val="both"/>
        <w:rPr>
          <w:rFonts w:ascii="Montserrat" w:hAnsi="Montserrat" w:cs="Arial"/>
          <w:sz w:val="22"/>
          <w:szCs w:val="22"/>
        </w:rPr>
      </w:pPr>
    </w:p>
    <w:p w14:paraId="61B4F1E4" w14:textId="77777777" w:rsidR="00E10C27" w:rsidRPr="00E10C27" w:rsidRDefault="00E10C27" w:rsidP="00BE5FDD">
      <w:pPr>
        <w:tabs>
          <w:tab w:val="left" w:pos="927"/>
        </w:tabs>
        <w:autoSpaceDE w:val="0"/>
        <w:autoSpaceDN w:val="0"/>
        <w:adjustRightInd w:val="0"/>
        <w:jc w:val="both"/>
        <w:rPr>
          <w:rFonts w:ascii="Montserrat" w:hAnsi="Montserrat" w:cs="Arial"/>
          <w:sz w:val="22"/>
          <w:szCs w:val="22"/>
        </w:rPr>
      </w:pPr>
    </w:p>
    <w:sectPr w:rsidR="00E10C27" w:rsidRPr="00E10C27" w:rsidSect="00E10C27">
      <w:headerReference w:type="default" r:id="rId8"/>
      <w:footerReference w:type="default" r:id="rId9"/>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AC307" w14:textId="77777777" w:rsidR="00EA7A96" w:rsidRDefault="00EA7A96" w:rsidP="007E0161">
      <w:r>
        <w:separator/>
      </w:r>
    </w:p>
  </w:endnote>
  <w:endnote w:type="continuationSeparator" w:id="0">
    <w:p w14:paraId="61FBA7E0" w14:textId="77777777" w:rsidR="00EA7A96" w:rsidRDefault="00EA7A96" w:rsidP="007E0161">
      <w:r>
        <w:continuationSeparator/>
      </w:r>
    </w:p>
  </w:endnote>
  <w:endnote w:type="continuationNotice" w:id="1">
    <w:p w14:paraId="3072F0A1" w14:textId="77777777" w:rsidR="00EA7A96" w:rsidRDefault="00EA7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154D" w14:textId="0CAD5E33" w:rsidR="00E10C27" w:rsidRDefault="00E10C27" w:rsidP="00E10C27">
    <w:pPr>
      <w:tabs>
        <w:tab w:val="center" w:pos="4419"/>
        <w:tab w:val="right" w:pos="8838"/>
      </w:tabs>
      <w:jc w:val="center"/>
    </w:pPr>
    <w:r w:rsidRPr="00E10C27">
      <w:rPr>
        <w:rFonts w:ascii="Montserrat" w:eastAsia="Times New Roman" w:hAnsi="Montserrat" w:cs="Times New Roman"/>
        <w:sz w:val="20"/>
        <w:szCs w:val="20"/>
        <w:lang w:val="es-ES" w:eastAsia="es-MX"/>
      </w:rPr>
      <w:t>Primera Sesión Ordinaria de Órgano de Gobierno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0AC2D" w14:textId="77777777" w:rsidR="00EA7A96" w:rsidRDefault="00EA7A96" w:rsidP="007E0161">
      <w:r>
        <w:separator/>
      </w:r>
    </w:p>
  </w:footnote>
  <w:footnote w:type="continuationSeparator" w:id="0">
    <w:p w14:paraId="4218DF6C" w14:textId="77777777" w:rsidR="00EA7A96" w:rsidRDefault="00EA7A96" w:rsidP="007E0161">
      <w:r>
        <w:continuationSeparator/>
      </w:r>
    </w:p>
  </w:footnote>
  <w:footnote w:type="continuationNotice" w:id="1">
    <w:p w14:paraId="682A3A6A" w14:textId="77777777" w:rsidR="00EA7A96" w:rsidRDefault="00EA7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2AF1" w14:textId="7B40609E" w:rsidR="00E10C27" w:rsidRDefault="00E10C27">
    <w:pPr>
      <w:pStyle w:val="Encabezado"/>
    </w:pPr>
    <w:r>
      <w:rPr>
        <w:noProof/>
      </w:rPr>
      <w:drawing>
        <wp:inline distT="0" distB="0" distL="0" distR="0" wp14:anchorId="6FC7794B" wp14:editId="528521AA">
          <wp:extent cx="5755640" cy="569239"/>
          <wp:effectExtent l="0" t="0" r="0" b="2540"/>
          <wp:docPr id="2066737149" name="Imagen 206673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92411" name="Imagen 1423692411"/>
                  <pic:cNvPicPr/>
                </pic:nvPicPr>
                <pic:blipFill>
                  <a:blip r:embed="rId1"/>
                  <a:stretch>
                    <a:fillRect/>
                  </a:stretch>
                </pic:blipFill>
                <pic:spPr>
                  <a:xfrm>
                    <a:off x="0" y="0"/>
                    <a:ext cx="5755640" cy="569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7B884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33069"/>
    <w:multiLevelType w:val="hybridMultilevel"/>
    <w:tmpl w:val="E70428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2B223F5"/>
    <w:multiLevelType w:val="hybridMultilevel"/>
    <w:tmpl w:val="6008720C"/>
    <w:lvl w:ilvl="0" w:tplc="080A000B">
      <w:start w:val="1"/>
      <w:numFmt w:val="bullet"/>
      <w:lvlText w:val=""/>
      <w:lvlJc w:val="left"/>
      <w:pPr>
        <w:ind w:left="436" w:hanging="360"/>
      </w:pPr>
      <w:rPr>
        <w:rFonts w:ascii="Wingdings" w:hAnsi="Wingdings"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 w15:restartNumberingAfterBreak="0">
    <w:nsid w:val="055C3DE9"/>
    <w:multiLevelType w:val="hybridMultilevel"/>
    <w:tmpl w:val="A498C9C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EF74AF"/>
    <w:multiLevelType w:val="hybridMultilevel"/>
    <w:tmpl w:val="70001632"/>
    <w:lvl w:ilvl="0" w:tplc="5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D12938"/>
    <w:multiLevelType w:val="hybridMultilevel"/>
    <w:tmpl w:val="1AEC38F2"/>
    <w:lvl w:ilvl="0" w:tplc="5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B93CC7"/>
    <w:multiLevelType w:val="hybridMultilevel"/>
    <w:tmpl w:val="46D6F506"/>
    <w:lvl w:ilvl="0" w:tplc="B31851FC">
      <w:start w:val="1"/>
      <w:numFmt w:val="upperRoman"/>
      <w:lvlText w:val="%1."/>
      <w:lvlJc w:val="left"/>
      <w:pPr>
        <w:ind w:left="1425" w:hanging="360"/>
      </w:pPr>
      <w:rPr>
        <w:b/>
        <w:bCs/>
      </w:rPr>
    </w:lvl>
    <w:lvl w:ilvl="1" w:tplc="080A0019">
      <w:start w:val="1"/>
      <w:numFmt w:val="lowerLetter"/>
      <w:lvlText w:val="%2."/>
      <w:lvlJc w:val="left"/>
      <w:pPr>
        <w:ind w:left="2145" w:hanging="360"/>
      </w:pPr>
    </w:lvl>
    <w:lvl w:ilvl="2" w:tplc="080A001B">
      <w:start w:val="1"/>
      <w:numFmt w:val="lowerRoman"/>
      <w:lvlText w:val="%3."/>
      <w:lvlJc w:val="right"/>
      <w:pPr>
        <w:ind w:left="2865" w:hanging="180"/>
      </w:pPr>
    </w:lvl>
    <w:lvl w:ilvl="3" w:tplc="080A000F">
      <w:start w:val="1"/>
      <w:numFmt w:val="decimal"/>
      <w:lvlText w:val="%4."/>
      <w:lvlJc w:val="left"/>
      <w:pPr>
        <w:ind w:left="3585" w:hanging="360"/>
      </w:pPr>
    </w:lvl>
    <w:lvl w:ilvl="4" w:tplc="080A0019">
      <w:start w:val="1"/>
      <w:numFmt w:val="lowerLetter"/>
      <w:lvlText w:val="%5."/>
      <w:lvlJc w:val="left"/>
      <w:pPr>
        <w:ind w:left="4305" w:hanging="360"/>
      </w:pPr>
    </w:lvl>
    <w:lvl w:ilvl="5" w:tplc="080A001B">
      <w:start w:val="1"/>
      <w:numFmt w:val="lowerRoman"/>
      <w:lvlText w:val="%6."/>
      <w:lvlJc w:val="right"/>
      <w:pPr>
        <w:ind w:left="5025" w:hanging="180"/>
      </w:pPr>
    </w:lvl>
    <w:lvl w:ilvl="6" w:tplc="080A000F">
      <w:start w:val="1"/>
      <w:numFmt w:val="decimal"/>
      <w:lvlText w:val="%7."/>
      <w:lvlJc w:val="left"/>
      <w:pPr>
        <w:ind w:left="5745" w:hanging="360"/>
      </w:pPr>
    </w:lvl>
    <w:lvl w:ilvl="7" w:tplc="080A0019">
      <w:start w:val="1"/>
      <w:numFmt w:val="lowerLetter"/>
      <w:lvlText w:val="%8."/>
      <w:lvlJc w:val="left"/>
      <w:pPr>
        <w:ind w:left="6465" w:hanging="360"/>
      </w:pPr>
    </w:lvl>
    <w:lvl w:ilvl="8" w:tplc="080A001B">
      <w:start w:val="1"/>
      <w:numFmt w:val="lowerRoman"/>
      <w:lvlText w:val="%9."/>
      <w:lvlJc w:val="right"/>
      <w:pPr>
        <w:ind w:left="7185" w:hanging="180"/>
      </w:pPr>
    </w:lvl>
  </w:abstractNum>
  <w:abstractNum w:abstractNumId="7" w15:restartNumberingAfterBreak="0">
    <w:nsid w:val="2EB05D67"/>
    <w:multiLevelType w:val="hybridMultilevel"/>
    <w:tmpl w:val="202C99B8"/>
    <w:lvl w:ilvl="0" w:tplc="5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D1B6397"/>
    <w:multiLevelType w:val="hybridMultilevel"/>
    <w:tmpl w:val="656A2A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E4455E"/>
    <w:multiLevelType w:val="hybridMultilevel"/>
    <w:tmpl w:val="E6C0F9C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F332320"/>
    <w:multiLevelType w:val="hybridMultilevel"/>
    <w:tmpl w:val="75BE905C"/>
    <w:lvl w:ilvl="0" w:tplc="5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F05AD5"/>
    <w:multiLevelType w:val="hybridMultilevel"/>
    <w:tmpl w:val="11FA10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25704D"/>
    <w:multiLevelType w:val="hybridMultilevel"/>
    <w:tmpl w:val="0CAED1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1C4BA6"/>
    <w:multiLevelType w:val="hybridMultilevel"/>
    <w:tmpl w:val="BC826486"/>
    <w:lvl w:ilvl="0" w:tplc="20F47FC6">
      <w:start w:val="1"/>
      <w:numFmt w:val="upperRoman"/>
      <w:lvlText w:val="%1."/>
      <w:lvlJc w:val="left"/>
      <w:pPr>
        <w:ind w:left="720" w:hanging="360"/>
      </w:pPr>
      <w:rPr>
        <w:rFonts w:ascii="Montserrat" w:hAnsi="Montserrat" w:cs="Montserrat" w:hint="default"/>
        <w:b/>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DDB7C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49A3364"/>
    <w:multiLevelType w:val="hybridMultilevel"/>
    <w:tmpl w:val="16CC0A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A80FA1"/>
    <w:multiLevelType w:val="hybridMultilevel"/>
    <w:tmpl w:val="AE489040"/>
    <w:lvl w:ilvl="0" w:tplc="BA6C5AC0">
      <w:start w:val="6"/>
      <w:numFmt w:val="decimal"/>
      <w:lvlText w:val="%1."/>
      <w:lvlJc w:val="left"/>
      <w:pPr>
        <w:ind w:left="1353"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F80A37"/>
    <w:multiLevelType w:val="hybridMultilevel"/>
    <w:tmpl w:val="D6DC5020"/>
    <w:lvl w:ilvl="0" w:tplc="247AE1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70575B4"/>
    <w:multiLevelType w:val="multilevel"/>
    <w:tmpl w:val="399A260E"/>
    <w:lvl w:ilvl="0">
      <w:start w:val="1"/>
      <w:numFmt w:val="upperRoman"/>
      <w:lvlText w:val="%1."/>
      <w:lvlJc w:val="right"/>
      <w:pPr>
        <w:tabs>
          <w:tab w:val="num" w:pos="1460"/>
        </w:tabs>
        <w:ind w:left="1460" w:hanging="360"/>
      </w:pPr>
      <w:rPr>
        <w:b/>
        <w:bCs/>
      </w:rPr>
    </w:lvl>
    <w:lvl w:ilvl="1" w:tentative="1">
      <w:start w:val="1"/>
      <w:numFmt w:val="upperRoman"/>
      <w:lvlText w:val="%2."/>
      <w:lvlJc w:val="right"/>
      <w:pPr>
        <w:tabs>
          <w:tab w:val="num" w:pos="2180"/>
        </w:tabs>
        <w:ind w:left="2180" w:hanging="360"/>
      </w:pPr>
    </w:lvl>
    <w:lvl w:ilvl="2" w:tentative="1">
      <w:start w:val="1"/>
      <w:numFmt w:val="upperRoman"/>
      <w:lvlText w:val="%3."/>
      <w:lvlJc w:val="right"/>
      <w:pPr>
        <w:tabs>
          <w:tab w:val="num" w:pos="2900"/>
        </w:tabs>
        <w:ind w:left="2900" w:hanging="360"/>
      </w:pPr>
    </w:lvl>
    <w:lvl w:ilvl="3" w:tentative="1">
      <w:start w:val="1"/>
      <w:numFmt w:val="upperRoman"/>
      <w:lvlText w:val="%4."/>
      <w:lvlJc w:val="right"/>
      <w:pPr>
        <w:tabs>
          <w:tab w:val="num" w:pos="3620"/>
        </w:tabs>
        <w:ind w:left="3620" w:hanging="360"/>
      </w:pPr>
    </w:lvl>
    <w:lvl w:ilvl="4" w:tentative="1">
      <w:start w:val="1"/>
      <w:numFmt w:val="upperRoman"/>
      <w:lvlText w:val="%5."/>
      <w:lvlJc w:val="right"/>
      <w:pPr>
        <w:tabs>
          <w:tab w:val="num" w:pos="4340"/>
        </w:tabs>
        <w:ind w:left="4340" w:hanging="360"/>
      </w:pPr>
    </w:lvl>
    <w:lvl w:ilvl="5" w:tentative="1">
      <w:start w:val="1"/>
      <w:numFmt w:val="upperRoman"/>
      <w:lvlText w:val="%6."/>
      <w:lvlJc w:val="right"/>
      <w:pPr>
        <w:tabs>
          <w:tab w:val="num" w:pos="5060"/>
        </w:tabs>
        <w:ind w:left="5060" w:hanging="360"/>
      </w:pPr>
    </w:lvl>
    <w:lvl w:ilvl="6" w:tentative="1">
      <w:start w:val="1"/>
      <w:numFmt w:val="upperRoman"/>
      <w:lvlText w:val="%7."/>
      <w:lvlJc w:val="right"/>
      <w:pPr>
        <w:tabs>
          <w:tab w:val="num" w:pos="5780"/>
        </w:tabs>
        <w:ind w:left="5780" w:hanging="360"/>
      </w:pPr>
    </w:lvl>
    <w:lvl w:ilvl="7" w:tentative="1">
      <w:start w:val="1"/>
      <w:numFmt w:val="upperRoman"/>
      <w:lvlText w:val="%8."/>
      <w:lvlJc w:val="right"/>
      <w:pPr>
        <w:tabs>
          <w:tab w:val="num" w:pos="6500"/>
        </w:tabs>
        <w:ind w:left="6500" w:hanging="360"/>
      </w:pPr>
    </w:lvl>
    <w:lvl w:ilvl="8" w:tentative="1">
      <w:start w:val="1"/>
      <w:numFmt w:val="upperRoman"/>
      <w:lvlText w:val="%9."/>
      <w:lvlJc w:val="right"/>
      <w:pPr>
        <w:tabs>
          <w:tab w:val="num" w:pos="7220"/>
        </w:tabs>
        <w:ind w:left="7220" w:hanging="360"/>
      </w:pPr>
    </w:lvl>
  </w:abstractNum>
  <w:abstractNum w:abstractNumId="19" w15:restartNumberingAfterBreak="0">
    <w:nsid w:val="677A6D6A"/>
    <w:multiLevelType w:val="hybridMultilevel"/>
    <w:tmpl w:val="65307876"/>
    <w:lvl w:ilvl="0" w:tplc="B9FCB292">
      <w:start w:val="1"/>
      <w:numFmt w:val="decimal"/>
      <w:lvlText w:val="%1."/>
      <w:lvlJc w:val="left"/>
      <w:pPr>
        <w:ind w:left="1353" w:hanging="360"/>
      </w:pPr>
      <w:rPr>
        <w:b/>
        <w:bCs/>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0" w15:restartNumberingAfterBreak="0">
    <w:nsid w:val="6ABC7297"/>
    <w:multiLevelType w:val="hybridMultilevel"/>
    <w:tmpl w:val="A3DCD426"/>
    <w:lvl w:ilvl="0" w:tplc="85DCD24E">
      <w:start w:val="4"/>
      <w:numFmt w:val="lowerLetter"/>
      <w:lvlText w:val="%1)"/>
      <w:lvlJc w:val="left"/>
      <w:pPr>
        <w:ind w:left="1068"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1" w15:restartNumberingAfterBreak="0">
    <w:nsid w:val="6C8E5B56"/>
    <w:multiLevelType w:val="hybridMultilevel"/>
    <w:tmpl w:val="ED9AB26C"/>
    <w:lvl w:ilvl="0" w:tplc="44E67A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E72AE6"/>
    <w:multiLevelType w:val="hybridMultilevel"/>
    <w:tmpl w:val="F642D1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D95A8E"/>
    <w:multiLevelType w:val="hybridMultilevel"/>
    <w:tmpl w:val="0BA86C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5378656">
    <w:abstractNumId w:val="3"/>
  </w:num>
  <w:num w:numId="2" w16cid:durableId="1070008072">
    <w:abstractNumId w:val="22"/>
  </w:num>
  <w:num w:numId="3" w16cid:durableId="1792868566">
    <w:abstractNumId w:val="8"/>
  </w:num>
  <w:num w:numId="4" w16cid:durableId="1820075197">
    <w:abstractNumId w:val="13"/>
  </w:num>
  <w:num w:numId="5" w16cid:durableId="1388652367">
    <w:abstractNumId w:val="11"/>
  </w:num>
  <w:num w:numId="6" w16cid:durableId="203831860">
    <w:abstractNumId w:val="9"/>
  </w:num>
  <w:num w:numId="7" w16cid:durableId="762260431">
    <w:abstractNumId w:val="12"/>
  </w:num>
  <w:num w:numId="8" w16cid:durableId="652685308">
    <w:abstractNumId w:val="2"/>
  </w:num>
  <w:num w:numId="9" w16cid:durableId="1567955596">
    <w:abstractNumId w:val="17"/>
  </w:num>
  <w:num w:numId="10" w16cid:durableId="310864636">
    <w:abstractNumId w:val="15"/>
  </w:num>
  <w:num w:numId="11" w16cid:durableId="2065982360">
    <w:abstractNumId w:val="23"/>
  </w:num>
  <w:num w:numId="12" w16cid:durableId="1493790500">
    <w:abstractNumId w:val="4"/>
  </w:num>
  <w:num w:numId="13" w16cid:durableId="638340719">
    <w:abstractNumId w:val="7"/>
  </w:num>
  <w:num w:numId="14" w16cid:durableId="52001730">
    <w:abstractNumId w:val="5"/>
  </w:num>
  <w:num w:numId="15" w16cid:durableId="420570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9807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7525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3218943">
    <w:abstractNumId w:val="1"/>
  </w:num>
  <w:num w:numId="19" w16cid:durableId="2083290782">
    <w:abstractNumId w:val="19"/>
  </w:num>
  <w:num w:numId="20" w16cid:durableId="1728331789">
    <w:abstractNumId w:val="16"/>
  </w:num>
  <w:num w:numId="21" w16cid:durableId="2093508463">
    <w:abstractNumId w:val="10"/>
  </w:num>
  <w:num w:numId="22" w16cid:durableId="1524511596">
    <w:abstractNumId w:val="20"/>
  </w:num>
  <w:num w:numId="23" w16cid:durableId="276723724">
    <w:abstractNumId w:val="0"/>
  </w:num>
  <w:num w:numId="24" w16cid:durableId="1078866906">
    <w:abstractNumId w:val="14"/>
  </w:num>
  <w:num w:numId="25" w16cid:durableId="11995821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61"/>
    <w:rsid w:val="0000127F"/>
    <w:rsid w:val="000021F5"/>
    <w:rsid w:val="00006B0D"/>
    <w:rsid w:val="00006EC3"/>
    <w:rsid w:val="00033143"/>
    <w:rsid w:val="0004145E"/>
    <w:rsid w:val="00044150"/>
    <w:rsid w:val="000450D2"/>
    <w:rsid w:val="00045946"/>
    <w:rsid w:val="00045D2B"/>
    <w:rsid w:val="00045E44"/>
    <w:rsid w:val="000549C1"/>
    <w:rsid w:val="0006103D"/>
    <w:rsid w:val="0006296F"/>
    <w:rsid w:val="000707D7"/>
    <w:rsid w:val="00075D13"/>
    <w:rsid w:val="0008454A"/>
    <w:rsid w:val="00084924"/>
    <w:rsid w:val="00092694"/>
    <w:rsid w:val="00093A25"/>
    <w:rsid w:val="00095D4A"/>
    <w:rsid w:val="00096F66"/>
    <w:rsid w:val="000A1C34"/>
    <w:rsid w:val="000A7725"/>
    <w:rsid w:val="000C180D"/>
    <w:rsid w:val="000C389A"/>
    <w:rsid w:val="000C50A1"/>
    <w:rsid w:val="000D06BD"/>
    <w:rsid w:val="000D4868"/>
    <w:rsid w:val="000D4879"/>
    <w:rsid w:val="000F337E"/>
    <w:rsid w:val="000F7513"/>
    <w:rsid w:val="00121840"/>
    <w:rsid w:val="00121B2F"/>
    <w:rsid w:val="00123799"/>
    <w:rsid w:val="001244E2"/>
    <w:rsid w:val="001334E9"/>
    <w:rsid w:val="00137B47"/>
    <w:rsid w:val="001439B8"/>
    <w:rsid w:val="00144D1C"/>
    <w:rsid w:val="00152C67"/>
    <w:rsid w:val="001545B7"/>
    <w:rsid w:val="00161A7C"/>
    <w:rsid w:val="00162D44"/>
    <w:rsid w:val="00184825"/>
    <w:rsid w:val="00185776"/>
    <w:rsid w:val="0019092C"/>
    <w:rsid w:val="00197B97"/>
    <w:rsid w:val="001A63B3"/>
    <w:rsid w:val="001B0171"/>
    <w:rsid w:val="001B164C"/>
    <w:rsid w:val="001B2C9E"/>
    <w:rsid w:val="001B3BB4"/>
    <w:rsid w:val="001B6A6C"/>
    <w:rsid w:val="001D2745"/>
    <w:rsid w:val="001E3D75"/>
    <w:rsid w:val="001F324B"/>
    <w:rsid w:val="00200736"/>
    <w:rsid w:val="002075E5"/>
    <w:rsid w:val="00212E5D"/>
    <w:rsid w:val="00222D8B"/>
    <w:rsid w:val="00234606"/>
    <w:rsid w:val="002349AE"/>
    <w:rsid w:val="00235018"/>
    <w:rsid w:val="00236A14"/>
    <w:rsid w:val="00247773"/>
    <w:rsid w:val="00252329"/>
    <w:rsid w:val="00254E0B"/>
    <w:rsid w:val="00263257"/>
    <w:rsid w:val="0026365B"/>
    <w:rsid w:val="0026487A"/>
    <w:rsid w:val="00267783"/>
    <w:rsid w:val="002710CB"/>
    <w:rsid w:val="002737AC"/>
    <w:rsid w:val="00273FC5"/>
    <w:rsid w:val="0027619D"/>
    <w:rsid w:val="002800F1"/>
    <w:rsid w:val="00280A0A"/>
    <w:rsid w:val="00282476"/>
    <w:rsid w:val="00293A90"/>
    <w:rsid w:val="002A2D6B"/>
    <w:rsid w:val="002A3D1C"/>
    <w:rsid w:val="002A5C9D"/>
    <w:rsid w:val="002A7A7F"/>
    <w:rsid w:val="002B7C59"/>
    <w:rsid w:val="002C2CCD"/>
    <w:rsid w:val="002D63EF"/>
    <w:rsid w:val="002D7ACC"/>
    <w:rsid w:val="002E0163"/>
    <w:rsid w:val="00302222"/>
    <w:rsid w:val="00316FE4"/>
    <w:rsid w:val="0032128F"/>
    <w:rsid w:val="003323A4"/>
    <w:rsid w:val="0033377D"/>
    <w:rsid w:val="003354EF"/>
    <w:rsid w:val="00345987"/>
    <w:rsid w:val="00345AAD"/>
    <w:rsid w:val="0034792E"/>
    <w:rsid w:val="00350296"/>
    <w:rsid w:val="003665EC"/>
    <w:rsid w:val="00375FA7"/>
    <w:rsid w:val="003911FF"/>
    <w:rsid w:val="003A1DB1"/>
    <w:rsid w:val="003C0B80"/>
    <w:rsid w:val="003C1968"/>
    <w:rsid w:val="003D0BC0"/>
    <w:rsid w:val="00400467"/>
    <w:rsid w:val="00404E53"/>
    <w:rsid w:val="00410A5F"/>
    <w:rsid w:val="00412A74"/>
    <w:rsid w:val="004163CE"/>
    <w:rsid w:val="00421826"/>
    <w:rsid w:val="00433182"/>
    <w:rsid w:val="0043681D"/>
    <w:rsid w:val="00443D95"/>
    <w:rsid w:val="00444A70"/>
    <w:rsid w:val="0044670D"/>
    <w:rsid w:val="004744A6"/>
    <w:rsid w:val="004766BB"/>
    <w:rsid w:val="00476DFB"/>
    <w:rsid w:val="00477F7B"/>
    <w:rsid w:val="0048403A"/>
    <w:rsid w:val="00486B2E"/>
    <w:rsid w:val="004874A0"/>
    <w:rsid w:val="00487779"/>
    <w:rsid w:val="00492C21"/>
    <w:rsid w:val="00493AC2"/>
    <w:rsid w:val="004951DE"/>
    <w:rsid w:val="00496F7A"/>
    <w:rsid w:val="004A351A"/>
    <w:rsid w:val="004A637F"/>
    <w:rsid w:val="004B192C"/>
    <w:rsid w:val="004C122E"/>
    <w:rsid w:val="004D0A58"/>
    <w:rsid w:val="004D5BED"/>
    <w:rsid w:val="004D6C14"/>
    <w:rsid w:val="004E0C57"/>
    <w:rsid w:val="004E1B1A"/>
    <w:rsid w:val="004F3148"/>
    <w:rsid w:val="004F36FA"/>
    <w:rsid w:val="0050091F"/>
    <w:rsid w:val="00526892"/>
    <w:rsid w:val="00541637"/>
    <w:rsid w:val="0054281D"/>
    <w:rsid w:val="00545A27"/>
    <w:rsid w:val="00583238"/>
    <w:rsid w:val="005859C7"/>
    <w:rsid w:val="005962D1"/>
    <w:rsid w:val="00596966"/>
    <w:rsid w:val="005A125D"/>
    <w:rsid w:val="005A69D4"/>
    <w:rsid w:val="005B21C8"/>
    <w:rsid w:val="005B3811"/>
    <w:rsid w:val="005B7C06"/>
    <w:rsid w:val="005C0266"/>
    <w:rsid w:val="005C2C05"/>
    <w:rsid w:val="005F3976"/>
    <w:rsid w:val="0060229E"/>
    <w:rsid w:val="0060647E"/>
    <w:rsid w:val="006071F3"/>
    <w:rsid w:val="00607A0F"/>
    <w:rsid w:val="00611501"/>
    <w:rsid w:val="006126CF"/>
    <w:rsid w:val="00613B2F"/>
    <w:rsid w:val="0062027C"/>
    <w:rsid w:val="00624F45"/>
    <w:rsid w:val="0063483A"/>
    <w:rsid w:val="00635870"/>
    <w:rsid w:val="00641D30"/>
    <w:rsid w:val="00643AE2"/>
    <w:rsid w:val="0065228D"/>
    <w:rsid w:val="00656428"/>
    <w:rsid w:val="006618E2"/>
    <w:rsid w:val="00661FD8"/>
    <w:rsid w:val="00675F7D"/>
    <w:rsid w:val="00684115"/>
    <w:rsid w:val="00684461"/>
    <w:rsid w:val="00691204"/>
    <w:rsid w:val="00695AF0"/>
    <w:rsid w:val="006965AF"/>
    <w:rsid w:val="006A1385"/>
    <w:rsid w:val="006A23E1"/>
    <w:rsid w:val="006B1A97"/>
    <w:rsid w:val="006B4ED1"/>
    <w:rsid w:val="006C0A10"/>
    <w:rsid w:val="006D30F1"/>
    <w:rsid w:val="006D3B8C"/>
    <w:rsid w:val="006E1160"/>
    <w:rsid w:val="006F4506"/>
    <w:rsid w:val="007022F0"/>
    <w:rsid w:val="00702C3F"/>
    <w:rsid w:val="00707989"/>
    <w:rsid w:val="00714A2B"/>
    <w:rsid w:val="00716A7E"/>
    <w:rsid w:val="0072691E"/>
    <w:rsid w:val="00730717"/>
    <w:rsid w:val="00730AC2"/>
    <w:rsid w:val="00743A24"/>
    <w:rsid w:val="00746E97"/>
    <w:rsid w:val="00756DF4"/>
    <w:rsid w:val="00760897"/>
    <w:rsid w:val="0077053C"/>
    <w:rsid w:val="00773727"/>
    <w:rsid w:val="007738A8"/>
    <w:rsid w:val="007739B7"/>
    <w:rsid w:val="00775A77"/>
    <w:rsid w:val="007771C2"/>
    <w:rsid w:val="00781082"/>
    <w:rsid w:val="0078250D"/>
    <w:rsid w:val="007829B5"/>
    <w:rsid w:val="00782BC8"/>
    <w:rsid w:val="007844A7"/>
    <w:rsid w:val="00785AEC"/>
    <w:rsid w:val="007864FA"/>
    <w:rsid w:val="00795C79"/>
    <w:rsid w:val="007A3A64"/>
    <w:rsid w:val="007A7029"/>
    <w:rsid w:val="007B03E3"/>
    <w:rsid w:val="007C5746"/>
    <w:rsid w:val="007C7360"/>
    <w:rsid w:val="007D0669"/>
    <w:rsid w:val="007D4477"/>
    <w:rsid w:val="007D64EE"/>
    <w:rsid w:val="007D7520"/>
    <w:rsid w:val="007E0161"/>
    <w:rsid w:val="007E0319"/>
    <w:rsid w:val="007E4D28"/>
    <w:rsid w:val="007F057C"/>
    <w:rsid w:val="007F4CA3"/>
    <w:rsid w:val="007F5A42"/>
    <w:rsid w:val="007F6000"/>
    <w:rsid w:val="007F6B19"/>
    <w:rsid w:val="00801D48"/>
    <w:rsid w:val="0081127C"/>
    <w:rsid w:val="00812025"/>
    <w:rsid w:val="00813E50"/>
    <w:rsid w:val="008200DF"/>
    <w:rsid w:val="0083087B"/>
    <w:rsid w:val="00832518"/>
    <w:rsid w:val="00840304"/>
    <w:rsid w:val="008448BD"/>
    <w:rsid w:val="0085049B"/>
    <w:rsid w:val="00851362"/>
    <w:rsid w:val="00860114"/>
    <w:rsid w:val="00866C77"/>
    <w:rsid w:val="0086749B"/>
    <w:rsid w:val="0087050E"/>
    <w:rsid w:val="00871EF4"/>
    <w:rsid w:val="0087648E"/>
    <w:rsid w:val="008813D7"/>
    <w:rsid w:val="00886918"/>
    <w:rsid w:val="00887D34"/>
    <w:rsid w:val="008B1187"/>
    <w:rsid w:val="008B15D5"/>
    <w:rsid w:val="008B6DB5"/>
    <w:rsid w:val="008C686F"/>
    <w:rsid w:val="008D0785"/>
    <w:rsid w:val="008D34D7"/>
    <w:rsid w:val="008D4537"/>
    <w:rsid w:val="00903216"/>
    <w:rsid w:val="00907363"/>
    <w:rsid w:val="00913616"/>
    <w:rsid w:val="0092691F"/>
    <w:rsid w:val="009434F6"/>
    <w:rsid w:val="00944628"/>
    <w:rsid w:val="00947D5C"/>
    <w:rsid w:val="00955D64"/>
    <w:rsid w:val="00957727"/>
    <w:rsid w:val="0096728B"/>
    <w:rsid w:val="009751F4"/>
    <w:rsid w:val="009836B7"/>
    <w:rsid w:val="00986F14"/>
    <w:rsid w:val="00992196"/>
    <w:rsid w:val="009930A9"/>
    <w:rsid w:val="009A3A7F"/>
    <w:rsid w:val="009A584F"/>
    <w:rsid w:val="009A5E93"/>
    <w:rsid w:val="009B032C"/>
    <w:rsid w:val="009B0D83"/>
    <w:rsid w:val="009B1A20"/>
    <w:rsid w:val="009B2522"/>
    <w:rsid w:val="009B6F8E"/>
    <w:rsid w:val="009B7CF9"/>
    <w:rsid w:val="009C3C00"/>
    <w:rsid w:val="009C713D"/>
    <w:rsid w:val="009E36FB"/>
    <w:rsid w:val="009F219B"/>
    <w:rsid w:val="009F4C0F"/>
    <w:rsid w:val="00A011AA"/>
    <w:rsid w:val="00A02604"/>
    <w:rsid w:val="00A067A4"/>
    <w:rsid w:val="00A07F43"/>
    <w:rsid w:val="00A13DB9"/>
    <w:rsid w:val="00A41F8E"/>
    <w:rsid w:val="00A47242"/>
    <w:rsid w:val="00A503B3"/>
    <w:rsid w:val="00A65E1E"/>
    <w:rsid w:val="00A70870"/>
    <w:rsid w:val="00A956BE"/>
    <w:rsid w:val="00AA54D7"/>
    <w:rsid w:val="00AB023F"/>
    <w:rsid w:val="00AB4EE0"/>
    <w:rsid w:val="00AB527B"/>
    <w:rsid w:val="00AC62A3"/>
    <w:rsid w:val="00AE09F8"/>
    <w:rsid w:val="00AE1141"/>
    <w:rsid w:val="00AE7EF0"/>
    <w:rsid w:val="00AF1FF7"/>
    <w:rsid w:val="00AF2611"/>
    <w:rsid w:val="00AF3743"/>
    <w:rsid w:val="00B0075A"/>
    <w:rsid w:val="00B03BAE"/>
    <w:rsid w:val="00B27232"/>
    <w:rsid w:val="00B339B5"/>
    <w:rsid w:val="00B37A41"/>
    <w:rsid w:val="00B504C5"/>
    <w:rsid w:val="00B537F9"/>
    <w:rsid w:val="00B60124"/>
    <w:rsid w:val="00B65534"/>
    <w:rsid w:val="00B67E53"/>
    <w:rsid w:val="00B731A2"/>
    <w:rsid w:val="00B77EB3"/>
    <w:rsid w:val="00B81F3C"/>
    <w:rsid w:val="00B96F3D"/>
    <w:rsid w:val="00BA5A27"/>
    <w:rsid w:val="00BA6641"/>
    <w:rsid w:val="00BB16AE"/>
    <w:rsid w:val="00BB5A90"/>
    <w:rsid w:val="00BB6689"/>
    <w:rsid w:val="00BC1D15"/>
    <w:rsid w:val="00BD4071"/>
    <w:rsid w:val="00BE27A0"/>
    <w:rsid w:val="00BE5FDD"/>
    <w:rsid w:val="00BF609A"/>
    <w:rsid w:val="00BF7C9E"/>
    <w:rsid w:val="00C0337E"/>
    <w:rsid w:val="00C03A6A"/>
    <w:rsid w:val="00C07273"/>
    <w:rsid w:val="00C1004A"/>
    <w:rsid w:val="00C10118"/>
    <w:rsid w:val="00C13CC2"/>
    <w:rsid w:val="00C16603"/>
    <w:rsid w:val="00C2160A"/>
    <w:rsid w:val="00C21DCA"/>
    <w:rsid w:val="00C2271A"/>
    <w:rsid w:val="00C2707C"/>
    <w:rsid w:val="00C32C2F"/>
    <w:rsid w:val="00C4676D"/>
    <w:rsid w:val="00C467B0"/>
    <w:rsid w:val="00C46F75"/>
    <w:rsid w:val="00C55C9F"/>
    <w:rsid w:val="00C61E09"/>
    <w:rsid w:val="00C639E8"/>
    <w:rsid w:val="00C65321"/>
    <w:rsid w:val="00C67818"/>
    <w:rsid w:val="00C701CE"/>
    <w:rsid w:val="00C71DDA"/>
    <w:rsid w:val="00C73570"/>
    <w:rsid w:val="00C74B3C"/>
    <w:rsid w:val="00C76CEA"/>
    <w:rsid w:val="00C8124B"/>
    <w:rsid w:val="00C86394"/>
    <w:rsid w:val="00C8749B"/>
    <w:rsid w:val="00C910A6"/>
    <w:rsid w:val="00CA3A72"/>
    <w:rsid w:val="00CA4DFF"/>
    <w:rsid w:val="00CB0067"/>
    <w:rsid w:val="00CB5D0A"/>
    <w:rsid w:val="00CC0D45"/>
    <w:rsid w:val="00CC4E97"/>
    <w:rsid w:val="00CD6671"/>
    <w:rsid w:val="00CD7911"/>
    <w:rsid w:val="00CE5729"/>
    <w:rsid w:val="00CF7FE1"/>
    <w:rsid w:val="00D00199"/>
    <w:rsid w:val="00D009D4"/>
    <w:rsid w:val="00D21F37"/>
    <w:rsid w:val="00D411A3"/>
    <w:rsid w:val="00D44A5A"/>
    <w:rsid w:val="00D5298C"/>
    <w:rsid w:val="00D75C14"/>
    <w:rsid w:val="00D77CC6"/>
    <w:rsid w:val="00D802E7"/>
    <w:rsid w:val="00D8063E"/>
    <w:rsid w:val="00D87B6D"/>
    <w:rsid w:val="00DA0BA3"/>
    <w:rsid w:val="00DA33E1"/>
    <w:rsid w:val="00DA3743"/>
    <w:rsid w:val="00DA3AE5"/>
    <w:rsid w:val="00DC08BD"/>
    <w:rsid w:val="00DC19D5"/>
    <w:rsid w:val="00DC209A"/>
    <w:rsid w:val="00DD1C0C"/>
    <w:rsid w:val="00DD3E9A"/>
    <w:rsid w:val="00DD59E6"/>
    <w:rsid w:val="00DE3226"/>
    <w:rsid w:val="00DE3B3A"/>
    <w:rsid w:val="00DE43A2"/>
    <w:rsid w:val="00DE557B"/>
    <w:rsid w:val="00DF7BE1"/>
    <w:rsid w:val="00DF7F8C"/>
    <w:rsid w:val="00E01A18"/>
    <w:rsid w:val="00E10C27"/>
    <w:rsid w:val="00E177FF"/>
    <w:rsid w:val="00E27F5F"/>
    <w:rsid w:val="00E3148C"/>
    <w:rsid w:val="00E34A0A"/>
    <w:rsid w:val="00E34F23"/>
    <w:rsid w:val="00E40854"/>
    <w:rsid w:val="00E4089B"/>
    <w:rsid w:val="00E45375"/>
    <w:rsid w:val="00E60111"/>
    <w:rsid w:val="00E65FB7"/>
    <w:rsid w:val="00E7096E"/>
    <w:rsid w:val="00E83EB5"/>
    <w:rsid w:val="00E86830"/>
    <w:rsid w:val="00E878BC"/>
    <w:rsid w:val="00E91098"/>
    <w:rsid w:val="00E94199"/>
    <w:rsid w:val="00EA01DC"/>
    <w:rsid w:val="00EA0512"/>
    <w:rsid w:val="00EA79E0"/>
    <w:rsid w:val="00EA7A96"/>
    <w:rsid w:val="00EB029E"/>
    <w:rsid w:val="00EB3A82"/>
    <w:rsid w:val="00EC5521"/>
    <w:rsid w:val="00ED2CBE"/>
    <w:rsid w:val="00ED4F42"/>
    <w:rsid w:val="00ED5752"/>
    <w:rsid w:val="00EE3C6F"/>
    <w:rsid w:val="00EE567F"/>
    <w:rsid w:val="00EF5D06"/>
    <w:rsid w:val="00F00665"/>
    <w:rsid w:val="00F038C1"/>
    <w:rsid w:val="00F03901"/>
    <w:rsid w:val="00F07298"/>
    <w:rsid w:val="00F14835"/>
    <w:rsid w:val="00F148F5"/>
    <w:rsid w:val="00F24912"/>
    <w:rsid w:val="00F32777"/>
    <w:rsid w:val="00F41183"/>
    <w:rsid w:val="00F45313"/>
    <w:rsid w:val="00F455D0"/>
    <w:rsid w:val="00F50CFE"/>
    <w:rsid w:val="00F60087"/>
    <w:rsid w:val="00F61F37"/>
    <w:rsid w:val="00F86670"/>
    <w:rsid w:val="00F86E16"/>
    <w:rsid w:val="00FB3386"/>
    <w:rsid w:val="00FB45D9"/>
    <w:rsid w:val="00FD707B"/>
    <w:rsid w:val="00FE5131"/>
    <w:rsid w:val="00FF1CF7"/>
    <w:rsid w:val="00FF4F27"/>
    <w:rsid w:val="00FF7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209E"/>
  <w15:chartTrackingRefBased/>
  <w15:docId w15:val="{AF455B34-248D-484D-A072-533F78A6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161"/>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161"/>
    <w:pPr>
      <w:tabs>
        <w:tab w:val="center" w:pos="4419"/>
        <w:tab w:val="right" w:pos="8838"/>
      </w:tabs>
    </w:pPr>
    <w:rPr>
      <w:rFonts w:eastAsiaTheme="minorHAnsi"/>
      <w:lang w:val="es-MX" w:eastAsia="en-US"/>
    </w:rPr>
  </w:style>
  <w:style w:type="character" w:customStyle="1" w:styleId="EncabezadoCar">
    <w:name w:val="Encabezado Car"/>
    <w:basedOn w:val="Fuentedeprrafopredeter"/>
    <w:link w:val="Encabezado"/>
    <w:uiPriority w:val="99"/>
    <w:rsid w:val="007E0161"/>
  </w:style>
  <w:style w:type="paragraph" w:styleId="Piedepgina">
    <w:name w:val="footer"/>
    <w:basedOn w:val="Normal"/>
    <w:link w:val="PiedepginaCar"/>
    <w:uiPriority w:val="99"/>
    <w:unhideWhenUsed/>
    <w:rsid w:val="007E0161"/>
    <w:pPr>
      <w:tabs>
        <w:tab w:val="center" w:pos="4419"/>
        <w:tab w:val="right" w:pos="8838"/>
      </w:tabs>
    </w:pPr>
    <w:rPr>
      <w:rFonts w:eastAsiaTheme="minorHAnsi"/>
      <w:lang w:val="es-MX" w:eastAsia="en-US"/>
    </w:rPr>
  </w:style>
  <w:style w:type="character" w:customStyle="1" w:styleId="PiedepginaCar">
    <w:name w:val="Pie de página Car"/>
    <w:basedOn w:val="Fuentedeprrafopredeter"/>
    <w:link w:val="Piedepgina"/>
    <w:uiPriority w:val="99"/>
    <w:rsid w:val="007E0161"/>
  </w:style>
  <w:style w:type="paragraph" w:styleId="Sinespaciado">
    <w:name w:val="No Spacing"/>
    <w:uiPriority w:val="1"/>
    <w:qFormat/>
    <w:rsid w:val="00C467B0"/>
    <w:rPr>
      <w:rFonts w:ascii="Calibri" w:eastAsia="Calibri" w:hAnsi="Calibri" w:cs="Times New Roman"/>
      <w:sz w:val="22"/>
      <w:szCs w:val="2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D"/>
    <w:basedOn w:val="Normal"/>
    <w:link w:val="PrrafodelistaCar"/>
    <w:uiPriority w:val="34"/>
    <w:qFormat/>
    <w:rsid w:val="004874A0"/>
    <w:pPr>
      <w:ind w:left="720"/>
      <w:contextualSpacing/>
    </w:pPr>
    <w:rPr>
      <w:rFonts w:ascii="Times New Roman" w:eastAsia="Times New Roman" w:hAnsi="Times New Roman" w:cs="Times New Roman"/>
      <w:sz w:val="20"/>
      <w:szCs w:val="20"/>
    </w:rPr>
  </w:style>
  <w:style w:type="character" w:styleId="Hipervnculo">
    <w:name w:val="Hyperlink"/>
    <w:unhideWhenUsed/>
    <w:rsid w:val="007F6B19"/>
    <w:rPr>
      <w:color w:val="0000FF"/>
      <w:u w:val="single"/>
    </w:rPr>
  </w:style>
  <w:style w:type="character" w:styleId="Mencinsinresolver">
    <w:name w:val="Unresolved Mention"/>
    <w:basedOn w:val="Fuentedeprrafopredeter"/>
    <w:uiPriority w:val="99"/>
    <w:semiHidden/>
    <w:unhideWhenUsed/>
    <w:rsid w:val="00A65E1E"/>
    <w:rPr>
      <w:color w:val="605E5C"/>
      <w:shd w:val="clear" w:color="auto" w:fill="E1DFDD"/>
    </w:rPr>
  </w:style>
  <w:style w:type="paragraph" w:customStyle="1" w:styleId="xmsonormal">
    <w:name w:val="x_msonormal"/>
    <w:basedOn w:val="Normal"/>
    <w:rsid w:val="00CD7911"/>
    <w:pPr>
      <w:spacing w:before="100" w:beforeAutospacing="1" w:after="100" w:afterAutospacing="1"/>
    </w:pPr>
    <w:rPr>
      <w:rFonts w:ascii="Times New Roman" w:eastAsia="Times New Roman" w:hAnsi="Times New Roman" w:cs="Times New Roman"/>
      <w:lang w:val="es-MX"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34606"/>
    <w:rPr>
      <w:rFonts w:ascii="Times New Roman" w:eastAsia="Times New Roman" w:hAnsi="Times New Roman" w:cs="Times New Roman"/>
      <w:sz w:val="20"/>
      <w:szCs w:val="20"/>
      <w:lang w:val="es-ES_tradnl" w:eastAsia="es-ES"/>
    </w:rPr>
  </w:style>
  <w:style w:type="paragraph" w:customStyle="1" w:styleId="Default">
    <w:name w:val="Default"/>
    <w:rsid w:val="009F219B"/>
    <w:pPr>
      <w:autoSpaceDE w:val="0"/>
      <w:autoSpaceDN w:val="0"/>
      <w:adjustRightInd w:val="0"/>
    </w:pPr>
    <w:rPr>
      <w:rFonts w:ascii="Open Sans" w:hAnsi="Open Sans" w:cs="Open Sans"/>
      <w:color w:val="000000"/>
    </w:rPr>
  </w:style>
  <w:style w:type="character" w:customStyle="1" w:styleId="hgkelc">
    <w:name w:val="hgkelc"/>
    <w:basedOn w:val="Fuentedeprrafopredeter"/>
    <w:rsid w:val="00B81F3C"/>
  </w:style>
  <w:style w:type="table" w:styleId="Tablaconcuadrcula">
    <w:name w:val="Table Grid"/>
    <w:basedOn w:val="Tablanormal"/>
    <w:uiPriority w:val="39"/>
    <w:rsid w:val="00F3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96648">
      <w:bodyDiv w:val="1"/>
      <w:marLeft w:val="0"/>
      <w:marRight w:val="0"/>
      <w:marTop w:val="0"/>
      <w:marBottom w:val="0"/>
      <w:divBdr>
        <w:top w:val="none" w:sz="0" w:space="0" w:color="auto"/>
        <w:left w:val="none" w:sz="0" w:space="0" w:color="auto"/>
        <w:bottom w:val="none" w:sz="0" w:space="0" w:color="auto"/>
        <w:right w:val="none" w:sz="0" w:space="0" w:color="auto"/>
      </w:divBdr>
    </w:div>
    <w:div w:id="301350198">
      <w:bodyDiv w:val="1"/>
      <w:marLeft w:val="0"/>
      <w:marRight w:val="0"/>
      <w:marTop w:val="0"/>
      <w:marBottom w:val="0"/>
      <w:divBdr>
        <w:top w:val="none" w:sz="0" w:space="0" w:color="auto"/>
        <w:left w:val="none" w:sz="0" w:space="0" w:color="auto"/>
        <w:bottom w:val="none" w:sz="0" w:space="0" w:color="auto"/>
        <w:right w:val="none" w:sz="0" w:space="0" w:color="auto"/>
      </w:divBdr>
    </w:div>
    <w:div w:id="385879221">
      <w:bodyDiv w:val="1"/>
      <w:marLeft w:val="0"/>
      <w:marRight w:val="0"/>
      <w:marTop w:val="0"/>
      <w:marBottom w:val="0"/>
      <w:divBdr>
        <w:top w:val="none" w:sz="0" w:space="0" w:color="auto"/>
        <w:left w:val="none" w:sz="0" w:space="0" w:color="auto"/>
        <w:bottom w:val="none" w:sz="0" w:space="0" w:color="auto"/>
        <w:right w:val="none" w:sz="0" w:space="0" w:color="auto"/>
      </w:divBdr>
    </w:div>
    <w:div w:id="462118934">
      <w:bodyDiv w:val="1"/>
      <w:marLeft w:val="0"/>
      <w:marRight w:val="0"/>
      <w:marTop w:val="0"/>
      <w:marBottom w:val="0"/>
      <w:divBdr>
        <w:top w:val="none" w:sz="0" w:space="0" w:color="auto"/>
        <w:left w:val="none" w:sz="0" w:space="0" w:color="auto"/>
        <w:bottom w:val="none" w:sz="0" w:space="0" w:color="auto"/>
        <w:right w:val="none" w:sz="0" w:space="0" w:color="auto"/>
      </w:divBdr>
    </w:div>
    <w:div w:id="704137262">
      <w:bodyDiv w:val="1"/>
      <w:marLeft w:val="0"/>
      <w:marRight w:val="0"/>
      <w:marTop w:val="0"/>
      <w:marBottom w:val="0"/>
      <w:divBdr>
        <w:top w:val="none" w:sz="0" w:space="0" w:color="auto"/>
        <w:left w:val="none" w:sz="0" w:space="0" w:color="auto"/>
        <w:bottom w:val="none" w:sz="0" w:space="0" w:color="auto"/>
        <w:right w:val="none" w:sz="0" w:space="0" w:color="auto"/>
      </w:divBdr>
    </w:div>
    <w:div w:id="738792588">
      <w:bodyDiv w:val="1"/>
      <w:marLeft w:val="0"/>
      <w:marRight w:val="0"/>
      <w:marTop w:val="0"/>
      <w:marBottom w:val="0"/>
      <w:divBdr>
        <w:top w:val="none" w:sz="0" w:space="0" w:color="auto"/>
        <w:left w:val="none" w:sz="0" w:space="0" w:color="auto"/>
        <w:bottom w:val="none" w:sz="0" w:space="0" w:color="auto"/>
        <w:right w:val="none" w:sz="0" w:space="0" w:color="auto"/>
      </w:divBdr>
    </w:div>
    <w:div w:id="1226257882">
      <w:bodyDiv w:val="1"/>
      <w:marLeft w:val="0"/>
      <w:marRight w:val="0"/>
      <w:marTop w:val="0"/>
      <w:marBottom w:val="0"/>
      <w:divBdr>
        <w:top w:val="none" w:sz="0" w:space="0" w:color="auto"/>
        <w:left w:val="none" w:sz="0" w:space="0" w:color="auto"/>
        <w:bottom w:val="none" w:sz="0" w:space="0" w:color="auto"/>
        <w:right w:val="none" w:sz="0" w:space="0" w:color="auto"/>
      </w:divBdr>
    </w:div>
    <w:div w:id="1558125259">
      <w:bodyDiv w:val="1"/>
      <w:marLeft w:val="0"/>
      <w:marRight w:val="0"/>
      <w:marTop w:val="0"/>
      <w:marBottom w:val="0"/>
      <w:divBdr>
        <w:top w:val="none" w:sz="0" w:space="0" w:color="auto"/>
        <w:left w:val="none" w:sz="0" w:space="0" w:color="auto"/>
        <w:bottom w:val="none" w:sz="0" w:space="0" w:color="auto"/>
        <w:right w:val="none" w:sz="0" w:space="0" w:color="auto"/>
      </w:divBdr>
    </w:div>
    <w:div w:id="199120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DD79-B896-4BC5-8D4F-49D54B91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Carricart Ganivet</dc:creator>
  <cp:keywords/>
  <dc:description/>
  <cp:lastModifiedBy>Sofia Irene Martínez Ochoa</cp:lastModifiedBy>
  <cp:revision>6</cp:revision>
  <cp:lastPrinted>2024-03-11T16:14:00Z</cp:lastPrinted>
  <dcterms:created xsi:type="dcterms:W3CDTF">2024-04-17T23:02:00Z</dcterms:created>
  <dcterms:modified xsi:type="dcterms:W3CDTF">2024-04-18T17:53:00Z</dcterms:modified>
</cp:coreProperties>
</file>