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F9F6" w14:textId="624FC763" w:rsidR="00A36734" w:rsidRPr="00BC5FD6" w:rsidRDefault="00A36734" w:rsidP="00A36734">
      <w:pPr>
        <w:jc w:val="right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BC5FD6">
        <w:rPr>
          <w:rFonts w:ascii="Montserrat" w:eastAsia="Calibri" w:hAnsi="Montserrat" w:cs="Times New Roman"/>
          <w:b/>
          <w:bCs/>
          <w:sz w:val="22"/>
          <w:szCs w:val="22"/>
        </w:rPr>
        <w:t xml:space="preserve">ÓRGANO INTERNO DE CONTROL EN </w:t>
      </w:r>
    </w:p>
    <w:p w14:paraId="29A10658" w14:textId="7F5D0FBB" w:rsidR="00A36734" w:rsidRPr="00BC5FD6" w:rsidRDefault="00A36734" w:rsidP="00A36734">
      <w:pPr>
        <w:jc w:val="right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BC5FD6">
        <w:rPr>
          <w:rFonts w:ascii="Montserrat" w:eastAsia="Calibri" w:hAnsi="Montserrat" w:cs="Times New Roman"/>
          <w:b/>
          <w:bCs/>
          <w:sz w:val="22"/>
          <w:szCs w:val="22"/>
        </w:rPr>
        <w:t>EL COLEGIO DE LA FRONTERA SUR</w:t>
      </w:r>
    </w:p>
    <w:p w14:paraId="3E8749D9" w14:textId="335081EF" w:rsidR="00A36734" w:rsidRPr="006345BC" w:rsidRDefault="00A36734" w:rsidP="009A729C">
      <w:pPr>
        <w:jc w:val="both"/>
        <w:rPr>
          <w:rFonts w:ascii="Montserrat" w:eastAsia="Calibri" w:hAnsi="Montserrat" w:cs="Times New Roman"/>
          <w:b/>
          <w:bCs/>
          <w:sz w:val="16"/>
          <w:szCs w:val="16"/>
          <w:highlight w:val="yellow"/>
        </w:rPr>
      </w:pPr>
    </w:p>
    <w:p w14:paraId="32958B43" w14:textId="77777777" w:rsidR="006345BC" w:rsidRPr="006345BC" w:rsidRDefault="006345BC" w:rsidP="009A729C">
      <w:pPr>
        <w:jc w:val="both"/>
        <w:rPr>
          <w:rFonts w:ascii="Montserrat" w:eastAsia="Calibri" w:hAnsi="Montserrat" w:cs="Times New Roman"/>
          <w:b/>
          <w:bCs/>
          <w:sz w:val="16"/>
          <w:szCs w:val="16"/>
          <w:highlight w:val="yellow"/>
        </w:rPr>
      </w:pPr>
    </w:p>
    <w:p w14:paraId="1074B495" w14:textId="3E06DEBB" w:rsidR="00292DF8" w:rsidRPr="00BC5FD6" w:rsidRDefault="00292DF8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BC5FD6">
        <w:rPr>
          <w:rFonts w:ascii="Montserrat" w:eastAsia="Calibri" w:hAnsi="Montserrat" w:cs="Times New Roman"/>
          <w:b/>
          <w:bCs/>
          <w:sz w:val="22"/>
          <w:szCs w:val="22"/>
        </w:rPr>
        <w:t>1</w:t>
      </w:r>
      <w:r w:rsidR="00EA2A03">
        <w:rPr>
          <w:rFonts w:ascii="Montserrat" w:eastAsia="Calibri" w:hAnsi="Montserrat" w:cs="Times New Roman"/>
          <w:b/>
          <w:bCs/>
          <w:sz w:val="22"/>
          <w:szCs w:val="22"/>
        </w:rPr>
        <w:t>1</w:t>
      </w:r>
      <w:r w:rsidRPr="00BC5FD6">
        <w:rPr>
          <w:rFonts w:ascii="Montserrat" w:eastAsia="Calibri" w:hAnsi="Montserrat" w:cs="Times New Roman"/>
          <w:b/>
          <w:bCs/>
          <w:sz w:val="22"/>
          <w:szCs w:val="22"/>
        </w:rPr>
        <w:t>. INFORME DE RESULTADOS DE AUDITORÍAS, EXÁMENES Y EVALUACIONES REALIZADAS POR EL ÓRGANO INTERNO DE CONTROL (ARTÍCULO 62, FRACCIÓN III DE LA LEY FEDERAL DE LAS ENTIDADES PARAESTATALES)</w:t>
      </w:r>
      <w:r w:rsidR="00FC1F21" w:rsidRPr="00BC5FD6">
        <w:rPr>
          <w:rFonts w:ascii="Montserrat" w:eastAsia="Calibri" w:hAnsi="Montserrat" w:cs="Times New Roman"/>
          <w:b/>
          <w:bCs/>
          <w:sz w:val="22"/>
          <w:szCs w:val="22"/>
        </w:rPr>
        <w:t>.</w:t>
      </w:r>
    </w:p>
    <w:p w14:paraId="74ADE43F" w14:textId="77777777" w:rsidR="007035C5" w:rsidRPr="00BC5FD6" w:rsidRDefault="007035C5" w:rsidP="009A729C">
      <w:pPr>
        <w:jc w:val="both"/>
        <w:rPr>
          <w:rFonts w:ascii="Montserrat" w:hAnsi="Montserrat"/>
          <w:bCs/>
          <w:sz w:val="22"/>
          <w:szCs w:val="22"/>
        </w:rPr>
      </w:pPr>
    </w:p>
    <w:p w14:paraId="3285A705" w14:textId="63F9430D" w:rsidR="007A1638" w:rsidRPr="00BC5FD6" w:rsidRDefault="007A1638" w:rsidP="009A729C">
      <w:pPr>
        <w:jc w:val="both"/>
        <w:rPr>
          <w:rFonts w:ascii="Montserrat" w:hAnsi="Montserrat"/>
          <w:bCs/>
          <w:sz w:val="22"/>
          <w:szCs w:val="22"/>
        </w:rPr>
      </w:pPr>
      <w:r w:rsidRPr="00BC5FD6">
        <w:rPr>
          <w:rFonts w:ascii="Montserrat" w:hAnsi="Montserrat"/>
          <w:bCs/>
          <w:sz w:val="22"/>
          <w:szCs w:val="22"/>
        </w:rPr>
        <w:t>En cumplimiento con lo establecido en el artículo 62 fracción III de la Ley Federa</w:t>
      </w:r>
      <w:r w:rsidR="00945B6B">
        <w:rPr>
          <w:rFonts w:ascii="Montserrat" w:hAnsi="Montserrat"/>
          <w:bCs/>
          <w:sz w:val="22"/>
          <w:szCs w:val="22"/>
        </w:rPr>
        <w:t>l</w:t>
      </w:r>
      <w:r w:rsidRPr="00BC5FD6">
        <w:rPr>
          <w:rFonts w:ascii="Montserrat" w:hAnsi="Montserrat"/>
          <w:bCs/>
          <w:sz w:val="22"/>
          <w:szCs w:val="22"/>
        </w:rPr>
        <w:t xml:space="preserve"> de las Entidades Paraestatales, el Órgano Interno de Control en El Colegio de la Frontera Sur presenta a es</w:t>
      </w:r>
      <w:r w:rsidR="000B60BE" w:rsidRPr="00BC5FD6">
        <w:rPr>
          <w:rFonts w:ascii="Montserrat" w:hAnsi="Montserrat"/>
          <w:bCs/>
          <w:sz w:val="22"/>
          <w:szCs w:val="22"/>
        </w:rPr>
        <w:t>t</w:t>
      </w:r>
      <w:r w:rsidRPr="00BC5FD6">
        <w:rPr>
          <w:rFonts w:ascii="Montserrat" w:hAnsi="Montserrat"/>
          <w:bCs/>
          <w:sz w:val="22"/>
          <w:szCs w:val="22"/>
        </w:rPr>
        <w:t xml:space="preserve">e H. Órgano de Gobierno el informe de resultados de auditorías, exámenes y evaluaciones realizadas en el periodo correspondiente al </w:t>
      </w:r>
      <w:r w:rsidR="00945B6B">
        <w:rPr>
          <w:rFonts w:ascii="Montserrat" w:hAnsi="Montserrat"/>
          <w:bCs/>
          <w:sz w:val="22"/>
          <w:szCs w:val="22"/>
        </w:rPr>
        <w:t xml:space="preserve">primer semestre del </w:t>
      </w:r>
      <w:r w:rsidRPr="00BC5FD6">
        <w:rPr>
          <w:rFonts w:ascii="Montserrat" w:hAnsi="Montserrat"/>
          <w:bCs/>
          <w:sz w:val="22"/>
          <w:szCs w:val="22"/>
        </w:rPr>
        <w:t>ejercicio 202</w:t>
      </w:r>
      <w:r w:rsidR="00945B6B">
        <w:rPr>
          <w:rFonts w:ascii="Montserrat" w:hAnsi="Montserrat"/>
          <w:bCs/>
          <w:sz w:val="22"/>
          <w:szCs w:val="22"/>
        </w:rPr>
        <w:t>3</w:t>
      </w:r>
      <w:r w:rsidRPr="00BC5FD6">
        <w:rPr>
          <w:rFonts w:ascii="Montserrat" w:hAnsi="Montserrat"/>
          <w:bCs/>
          <w:sz w:val="22"/>
          <w:szCs w:val="22"/>
        </w:rPr>
        <w:t>.</w:t>
      </w:r>
    </w:p>
    <w:p w14:paraId="7806A8C6" w14:textId="77777777" w:rsidR="007A1638" w:rsidRPr="00BC5FD6" w:rsidRDefault="007A1638" w:rsidP="009A729C">
      <w:pPr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0ADA2612" w14:textId="77777777" w:rsidR="00292DF8" w:rsidRPr="00BC5FD6" w:rsidRDefault="00292DF8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BC5FD6">
        <w:rPr>
          <w:rFonts w:ascii="Montserrat" w:eastAsia="Calibri" w:hAnsi="Montserrat" w:cs="Times New Roman"/>
          <w:b/>
          <w:bCs/>
          <w:sz w:val="22"/>
          <w:szCs w:val="22"/>
        </w:rPr>
        <w:t xml:space="preserve">AUDITORÍA INTERNA. </w:t>
      </w:r>
    </w:p>
    <w:p w14:paraId="6DF3306A" w14:textId="77777777" w:rsidR="00292DF8" w:rsidRPr="00BC5FD6" w:rsidRDefault="00292DF8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25955556" w14:textId="49D1BB3D" w:rsidR="00292DF8" w:rsidRPr="00BC5FD6" w:rsidRDefault="00292DF8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 xml:space="preserve">El Programa Anual de </w:t>
      </w:r>
      <w:r w:rsidR="00945B6B">
        <w:rPr>
          <w:rFonts w:ascii="Montserrat" w:eastAsia="Calibri" w:hAnsi="Montserrat" w:cs="Times New Roman"/>
          <w:sz w:val="22"/>
          <w:szCs w:val="22"/>
        </w:rPr>
        <w:t>Fiscalización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202</w:t>
      </w:r>
      <w:r w:rsidR="008E6D15">
        <w:rPr>
          <w:rFonts w:ascii="Montserrat" w:eastAsia="Calibri" w:hAnsi="Montserrat" w:cs="Times New Roman"/>
          <w:sz w:val="22"/>
          <w:szCs w:val="22"/>
        </w:rPr>
        <w:t>3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(PA</w:t>
      </w:r>
      <w:r w:rsidR="00945B6B">
        <w:rPr>
          <w:rFonts w:ascii="Montserrat" w:eastAsia="Calibri" w:hAnsi="Montserrat" w:cs="Times New Roman"/>
          <w:sz w:val="22"/>
          <w:szCs w:val="22"/>
        </w:rPr>
        <w:t>F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202</w:t>
      </w:r>
      <w:r w:rsidR="008E6D15">
        <w:rPr>
          <w:rFonts w:ascii="Montserrat" w:eastAsia="Calibri" w:hAnsi="Montserrat" w:cs="Times New Roman"/>
          <w:sz w:val="22"/>
          <w:szCs w:val="22"/>
        </w:rPr>
        <w:t>3</w:t>
      </w:r>
      <w:r w:rsidRPr="00BC5FD6">
        <w:rPr>
          <w:rFonts w:ascii="Montserrat" w:eastAsia="Calibri" w:hAnsi="Montserrat" w:cs="Times New Roman"/>
          <w:sz w:val="22"/>
          <w:szCs w:val="22"/>
        </w:rPr>
        <w:t>), incluy</w:t>
      </w:r>
      <w:r w:rsidR="008E6D15">
        <w:rPr>
          <w:rFonts w:ascii="Montserrat" w:eastAsia="Calibri" w:hAnsi="Montserrat" w:cs="Times New Roman"/>
          <w:sz w:val="22"/>
          <w:szCs w:val="22"/>
        </w:rPr>
        <w:t>e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un total de </w:t>
      </w:r>
      <w:r w:rsidR="0066319D" w:rsidRPr="00BC5FD6">
        <w:rPr>
          <w:rFonts w:ascii="Montserrat" w:eastAsia="Calibri" w:hAnsi="Montserrat" w:cs="Times New Roman"/>
          <w:sz w:val="22"/>
          <w:szCs w:val="22"/>
        </w:rPr>
        <w:t>4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auditorías administrativo-financieras y </w:t>
      </w:r>
      <w:r w:rsidR="00945B6B">
        <w:rPr>
          <w:rFonts w:ascii="Montserrat" w:eastAsia="Calibri" w:hAnsi="Montserrat" w:cs="Times New Roman"/>
          <w:sz w:val="22"/>
          <w:szCs w:val="22"/>
        </w:rPr>
        <w:t>4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Seguimiento</w:t>
      </w:r>
      <w:r w:rsidR="00945B6B">
        <w:rPr>
          <w:rFonts w:ascii="Montserrat" w:eastAsia="Calibri" w:hAnsi="Montserrat" w:cs="Times New Roman"/>
          <w:sz w:val="22"/>
          <w:szCs w:val="22"/>
        </w:rPr>
        <w:t>s</w:t>
      </w:r>
      <w:r w:rsidR="000B60BE" w:rsidRPr="00BC5FD6">
        <w:rPr>
          <w:rFonts w:ascii="Montserrat" w:eastAsia="Calibri" w:hAnsi="Montserrat" w:cs="Times New Roman"/>
          <w:sz w:val="22"/>
          <w:szCs w:val="22"/>
        </w:rPr>
        <w:t>, 1 Intervención de Control Interno</w:t>
      </w:r>
      <w:r w:rsidR="008E6D15">
        <w:rPr>
          <w:rFonts w:ascii="Montserrat" w:eastAsia="Calibri" w:hAnsi="Montserrat" w:cs="Times New Roman"/>
          <w:sz w:val="22"/>
          <w:szCs w:val="22"/>
        </w:rPr>
        <w:t xml:space="preserve"> y</w:t>
      </w:r>
      <w:r w:rsidR="000B60BE" w:rsidRPr="00BC5FD6">
        <w:rPr>
          <w:rFonts w:ascii="Montserrat" w:eastAsia="Calibri" w:hAnsi="Montserrat" w:cs="Times New Roman"/>
          <w:sz w:val="22"/>
          <w:szCs w:val="22"/>
        </w:rPr>
        <w:t xml:space="preserve"> 1 Visita de Mejora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. Estuvo estructurado </w:t>
      </w:r>
      <w:r w:rsidR="00945B6B">
        <w:rPr>
          <w:rFonts w:ascii="Montserrat" w:eastAsia="Calibri" w:hAnsi="Montserrat" w:cs="Times New Roman"/>
          <w:sz w:val="22"/>
          <w:szCs w:val="22"/>
        </w:rPr>
        <w:t>con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base </w:t>
      </w:r>
      <w:r w:rsidR="00945B6B">
        <w:rPr>
          <w:rFonts w:ascii="Montserrat" w:eastAsia="Calibri" w:hAnsi="Montserrat" w:cs="Times New Roman"/>
          <w:sz w:val="22"/>
          <w:szCs w:val="22"/>
        </w:rPr>
        <w:t>en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un análisis y selección, tanto de áreas críticas y/o de riesgo, como de procesos de alto impacto para la Institución, vinculados al cumplimiento de metas y objetivos institucionales, así como a la observancia del marco normativo gubernamental y al fortalecimiento del Control Interno Institucional.</w:t>
      </w:r>
    </w:p>
    <w:p w14:paraId="6CF77D69" w14:textId="77777777" w:rsidR="00292DF8" w:rsidRPr="00BC5FD6" w:rsidRDefault="00292DF8" w:rsidP="009A729C">
      <w:pPr>
        <w:jc w:val="both"/>
        <w:rPr>
          <w:rFonts w:ascii="Montserrat" w:hAnsi="Montserrat" w:cs="Arial"/>
          <w:sz w:val="22"/>
          <w:szCs w:val="22"/>
        </w:rPr>
      </w:pPr>
    </w:p>
    <w:p w14:paraId="6D9315AF" w14:textId="688A6AFC" w:rsidR="00292DF8" w:rsidRPr="00BC5FD6" w:rsidRDefault="00292DF8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 xml:space="preserve">El grado de cumplimiento del Programa Anual de </w:t>
      </w:r>
      <w:r w:rsidR="00F474FA">
        <w:rPr>
          <w:rFonts w:ascii="Montserrat" w:eastAsia="Calibri" w:hAnsi="Montserrat" w:cs="Times New Roman"/>
          <w:sz w:val="22"/>
          <w:szCs w:val="22"/>
        </w:rPr>
        <w:t>Fiscalización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(PA</w:t>
      </w:r>
      <w:r w:rsidR="00F474FA">
        <w:rPr>
          <w:rFonts w:ascii="Montserrat" w:eastAsia="Calibri" w:hAnsi="Montserrat" w:cs="Times New Roman"/>
          <w:sz w:val="22"/>
          <w:szCs w:val="22"/>
        </w:rPr>
        <w:t>F</w:t>
      </w:r>
      <w:r w:rsidRPr="00BC5FD6">
        <w:rPr>
          <w:rFonts w:ascii="Montserrat" w:eastAsia="Calibri" w:hAnsi="Montserrat" w:cs="Times New Roman"/>
          <w:sz w:val="22"/>
          <w:szCs w:val="22"/>
        </w:rPr>
        <w:t>), al</w:t>
      </w:r>
      <w:r w:rsidR="008E6D15">
        <w:rPr>
          <w:rFonts w:ascii="Montserrat" w:eastAsia="Calibri" w:hAnsi="Montserrat" w:cs="Times New Roman"/>
          <w:sz w:val="22"/>
          <w:szCs w:val="22"/>
        </w:rPr>
        <w:t xml:space="preserve"> primer semestre </w:t>
      </w:r>
      <w:r w:rsidRPr="00BC5FD6">
        <w:rPr>
          <w:rFonts w:ascii="Montserrat" w:eastAsia="Calibri" w:hAnsi="Montserrat" w:cs="Times New Roman"/>
          <w:sz w:val="22"/>
          <w:szCs w:val="22"/>
        </w:rPr>
        <w:t>del ejercicio</w:t>
      </w:r>
      <w:r w:rsidR="008B1351" w:rsidRPr="00BC5FD6">
        <w:rPr>
          <w:rFonts w:ascii="Montserrat" w:eastAsia="Calibri" w:hAnsi="Montserrat" w:cs="Times New Roman"/>
          <w:sz w:val="22"/>
          <w:szCs w:val="22"/>
        </w:rPr>
        <w:t xml:space="preserve"> 202</w:t>
      </w:r>
      <w:r w:rsidR="008E6D15">
        <w:rPr>
          <w:rFonts w:ascii="Montserrat" w:eastAsia="Calibri" w:hAnsi="Montserrat" w:cs="Times New Roman"/>
          <w:sz w:val="22"/>
          <w:szCs w:val="22"/>
        </w:rPr>
        <w:t>3</w:t>
      </w:r>
      <w:r w:rsidRPr="00BC5FD6">
        <w:rPr>
          <w:rFonts w:ascii="Montserrat" w:eastAsia="Calibri" w:hAnsi="Montserrat" w:cs="Times New Roman"/>
          <w:sz w:val="22"/>
          <w:szCs w:val="22"/>
        </w:rPr>
        <w:t>, se detalla a continuación:</w:t>
      </w:r>
    </w:p>
    <w:p w14:paraId="3EB3D42F" w14:textId="77777777" w:rsidR="00292DF8" w:rsidRPr="00BC5FD6" w:rsidRDefault="00292DF8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064"/>
        <w:gridCol w:w="4267"/>
      </w:tblGrid>
      <w:tr w:rsidR="00292DF8" w:rsidRPr="00BC5FD6" w14:paraId="23CC4AFF" w14:textId="77777777" w:rsidTr="00CE1F5D">
        <w:trPr>
          <w:jc w:val="center"/>
        </w:trPr>
        <w:tc>
          <w:tcPr>
            <w:tcW w:w="1561" w:type="pct"/>
            <w:shd w:val="clear" w:color="auto" w:fill="D0CECE" w:themeFill="background2" w:themeFillShade="E6"/>
          </w:tcPr>
          <w:p w14:paraId="13DFE16C" w14:textId="4F177081" w:rsidR="00292DF8" w:rsidRPr="00BC5FD6" w:rsidRDefault="006345BC" w:rsidP="009A729C">
            <w:pPr>
              <w:jc w:val="center"/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</w:pPr>
            <w:r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  <w:t>A</w:t>
            </w:r>
            <w:r w:rsidRPr="00BC5FD6"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  <w:t>ctos de fiscalización</w:t>
            </w:r>
          </w:p>
          <w:p w14:paraId="0ED7B79E" w14:textId="1616C510" w:rsidR="00292DF8" w:rsidRPr="00BC5FD6" w:rsidRDefault="006345BC" w:rsidP="009A729C">
            <w:pPr>
              <w:jc w:val="center"/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</w:pPr>
            <w:r w:rsidRPr="00BC5FD6"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  <w:t>programados</w:t>
            </w:r>
          </w:p>
        </w:tc>
        <w:tc>
          <w:tcPr>
            <w:tcW w:w="1121" w:type="pct"/>
            <w:shd w:val="clear" w:color="auto" w:fill="D0CECE" w:themeFill="background2" w:themeFillShade="E6"/>
          </w:tcPr>
          <w:p w14:paraId="4E9243E5" w14:textId="73647988" w:rsidR="00292DF8" w:rsidRPr="00BC5FD6" w:rsidRDefault="00292DF8" w:rsidP="009A729C">
            <w:pPr>
              <w:jc w:val="center"/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</w:pPr>
            <w:r w:rsidRPr="00BC5FD6"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  <w:t>C</w:t>
            </w:r>
            <w:r w:rsidR="006345BC"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  <w:t>oncluidos</w:t>
            </w:r>
          </w:p>
        </w:tc>
        <w:tc>
          <w:tcPr>
            <w:tcW w:w="2318" w:type="pct"/>
            <w:shd w:val="clear" w:color="auto" w:fill="D0CECE" w:themeFill="background2" w:themeFillShade="E6"/>
          </w:tcPr>
          <w:p w14:paraId="5C437AD6" w14:textId="705977A9" w:rsidR="00292DF8" w:rsidRPr="00BC5FD6" w:rsidRDefault="006345BC" w:rsidP="009A729C">
            <w:pPr>
              <w:jc w:val="center"/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</w:pPr>
            <w:r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  <w:t>P</w:t>
            </w:r>
            <w:r w:rsidRPr="00BC5FD6">
              <w:rPr>
                <w:rFonts w:ascii="Montserrat" w:eastAsia="Calibri" w:hAnsi="Montserrat" w:cs="Times New Roman"/>
                <w:b/>
                <w:bCs/>
                <w:sz w:val="22"/>
                <w:szCs w:val="22"/>
              </w:rPr>
              <w:t>orcentaje de cumplimiento</w:t>
            </w:r>
          </w:p>
        </w:tc>
      </w:tr>
      <w:tr w:rsidR="00292DF8" w:rsidRPr="00BC5FD6" w14:paraId="1E701F65" w14:textId="77777777" w:rsidTr="00C56FF9">
        <w:trPr>
          <w:jc w:val="center"/>
        </w:trPr>
        <w:tc>
          <w:tcPr>
            <w:tcW w:w="1561" w:type="pct"/>
          </w:tcPr>
          <w:p w14:paraId="6F65D7A6" w14:textId="6468B4C4" w:rsidR="00292DF8" w:rsidRPr="00BC5FD6" w:rsidRDefault="008E6D15" w:rsidP="009A729C">
            <w:pPr>
              <w:jc w:val="center"/>
              <w:rPr>
                <w:rFonts w:ascii="Montserrat" w:eastAsia="Calibri" w:hAnsi="Montserrat" w:cs="Times New Roman"/>
                <w:sz w:val="22"/>
                <w:szCs w:val="22"/>
              </w:rPr>
            </w:pPr>
            <w:r>
              <w:rPr>
                <w:rFonts w:ascii="Montserrat" w:eastAsia="Calibri" w:hAnsi="Montserrat" w:cs="Times New Roman"/>
                <w:sz w:val="22"/>
                <w:szCs w:val="22"/>
              </w:rPr>
              <w:t>6</w:t>
            </w:r>
          </w:p>
        </w:tc>
        <w:tc>
          <w:tcPr>
            <w:tcW w:w="1121" w:type="pct"/>
          </w:tcPr>
          <w:p w14:paraId="310EF24B" w14:textId="2F057456" w:rsidR="00292DF8" w:rsidRPr="00BC5FD6" w:rsidRDefault="008E6D15" w:rsidP="009A729C">
            <w:pPr>
              <w:jc w:val="center"/>
              <w:rPr>
                <w:rFonts w:ascii="Montserrat" w:eastAsia="Calibri" w:hAnsi="Montserrat" w:cs="Times New Roman"/>
                <w:sz w:val="22"/>
                <w:szCs w:val="22"/>
              </w:rPr>
            </w:pPr>
            <w:r>
              <w:rPr>
                <w:rFonts w:ascii="Montserrat" w:eastAsia="Calibri" w:hAnsi="Montserrat" w:cs="Times New Roman"/>
                <w:sz w:val="22"/>
                <w:szCs w:val="22"/>
              </w:rPr>
              <w:t>2</w:t>
            </w:r>
          </w:p>
        </w:tc>
        <w:tc>
          <w:tcPr>
            <w:tcW w:w="2318" w:type="pct"/>
          </w:tcPr>
          <w:p w14:paraId="2571EBCF" w14:textId="3E73D151" w:rsidR="00292DF8" w:rsidRPr="00BC5FD6" w:rsidRDefault="008E6D15" w:rsidP="009A729C">
            <w:pPr>
              <w:jc w:val="center"/>
              <w:rPr>
                <w:rFonts w:ascii="Montserrat" w:eastAsia="Calibri" w:hAnsi="Montserrat" w:cs="Times New Roman"/>
                <w:sz w:val="22"/>
                <w:szCs w:val="22"/>
              </w:rPr>
            </w:pPr>
            <w:r>
              <w:rPr>
                <w:rFonts w:ascii="Montserrat" w:eastAsia="Calibri" w:hAnsi="Montserrat" w:cs="Times New Roman"/>
                <w:sz w:val="22"/>
                <w:szCs w:val="22"/>
              </w:rPr>
              <w:t>33</w:t>
            </w:r>
            <w:r w:rsidR="00292DF8" w:rsidRPr="00BC5FD6">
              <w:rPr>
                <w:rFonts w:ascii="Montserrat" w:eastAsia="Calibri" w:hAnsi="Montserrat" w:cs="Times New Roman"/>
                <w:sz w:val="22"/>
                <w:szCs w:val="22"/>
              </w:rPr>
              <w:t>%</w:t>
            </w:r>
          </w:p>
        </w:tc>
      </w:tr>
    </w:tbl>
    <w:p w14:paraId="4E712C33" w14:textId="77777777" w:rsidR="00292DF8" w:rsidRPr="00BC5FD6" w:rsidRDefault="00292DF8" w:rsidP="009A729C">
      <w:pPr>
        <w:jc w:val="both"/>
        <w:rPr>
          <w:rFonts w:ascii="Montserrat" w:hAnsi="Montserrat" w:cs="Arial"/>
          <w:sz w:val="22"/>
          <w:szCs w:val="22"/>
        </w:rPr>
      </w:pPr>
    </w:p>
    <w:p w14:paraId="74281EDC" w14:textId="77777777" w:rsidR="00292DF8" w:rsidRPr="00BC5FD6" w:rsidRDefault="00292DF8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4234E4F1" w14:textId="77777777" w:rsidR="00292DF8" w:rsidRPr="00BC5FD6" w:rsidRDefault="00292DF8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 xml:space="preserve">SEGUIMIENTO EN LA ATENCIÓN DE OBSERVACIONES. </w:t>
      </w:r>
    </w:p>
    <w:p w14:paraId="023FD7AF" w14:textId="77777777" w:rsidR="00292DF8" w:rsidRPr="00BC5FD6" w:rsidRDefault="00292DF8" w:rsidP="009A729C">
      <w:pPr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61756B3B" w14:textId="527D986E" w:rsidR="00965A54" w:rsidRPr="00BC5FD6" w:rsidRDefault="00965A54" w:rsidP="00965A54">
      <w:pPr>
        <w:jc w:val="both"/>
        <w:rPr>
          <w:rFonts w:ascii="Montserrat" w:hAnsi="Montserrat" w:cs="Arial"/>
          <w:sz w:val="22"/>
          <w:szCs w:val="22"/>
        </w:rPr>
      </w:pPr>
      <w:r w:rsidRPr="00BC5FD6">
        <w:rPr>
          <w:rFonts w:ascii="Montserrat" w:hAnsi="Montserrat" w:cs="Arial"/>
          <w:sz w:val="22"/>
          <w:szCs w:val="22"/>
        </w:rPr>
        <w:t>Al inicio del ejercicio 202</w:t>
      </w:r>
      <w:r w:rsidR="008E6D15">
        <w:rPr>
          <w:rFonts w:ascii="Montserrat" w:hAnsi="Montserrat" w:cs="Arial"/>
          <w:sz w:val="22"/>
          <w:szCs w:val="22"/>
        </w:rPr>
        <w:t>3</w:t>
      </w:r>
      <w:r w:rsidRPr="00BC5FD6">
        <w:rPr>
          <w:rFonts w:ascii="Montserrat" w:hAnsi="Montserrat" w:cs="Arial"/>
          <w:sz w:val="22"/>
          <w:szCs w:val="22"/>
        </w:rPr>
        <w:t xml:space="preserve"> se tenía un inventario de 5 observaciones pendientes de atender. Asimismo, durante el </w:t>
      </w:r>
      <w:r w:rsidR="008E6D15">
        <w:rPr>
          <w:rFonts w:ascii="Montserrat" w:hAnsi="Montserrat" w:cs="Arial"/>
          <w:sz w:val="22"/>
          <w:szCs w:val="22"/>
        </w:rPr>
        <w:t xml:space="preserve">primer semestre del presente </w:t>
      </w:r>
      <w:r w:rsidRPr="00BC5FD6">
        <w:rPr>
          <w:rFonts w:ascii="Montserrat" w:hAnsi="Montserrat" w:cs="Arial"/>
          <w:sz w:val="22"/>
          <w:szCs w:val="22"/>
        </w:rPr>
        <w:t>ejercicio se emitieron</w:t>
      </w:r>
      <w:r w:rsidR="008E6D15">
        <w:rPr>
          <w:rFonts w:ascii="Montserrat" w:hAnsi="Montserrat" w:cs="Arial"/>
          <w:sz w:val="22"/>
          <w:szCs w:val="22"/>
        </w:rPr>
        <w:t xml:space="preserve"> 6</w:t>
      </w:r>
      <w:r w:rsidRPr="00BC5FD6">
        <w:rPr>
          <w:rFonts w:ascii="Montserrat" w:hAnsi="Montserrat" w:cs="Arial"/>
          <w:sz w:val="22"/>
          <w:szCs w:val="22"/>
        </w:rPr>
        <w:t xml:space="preserve"> observaciones por parte del Órgano Interno de Control y 3 por el Despacho de Auditoría Externa; haciendo un total acumulado de </w:t>
      </w:r>
      <w:r w:rsidR="008E6D15">
        <w:rPr>
          <w:rFonts w:ascii="Montserrat" w:hAnsi="Montserrat" w:cs="Arial"/>
          <w:sz w:val="22"/>
          <w:szCs w:val="22"/>
        </w:rPr>
        <w:t>14</w:t>
      </w:r>
      <w:r w:rsidRPr="00BC5FD6">
        <w:rPr>
          <w:rFonts w:ascii="Montserrat" w:hAnsi="Montserrat" w:cs="Arial"/>
          <w:sz w:val="22"/>
          <w:szCs w:val="22"/>
        </w:rPr>
        <w:t xml:space="preserve"> observaciones.</w:t>
      </w:r>
    </w:p>
    <w:p w14:paraId="709F9152" w14:textId="77777777" w:rsidR="00965A54" w:rsidRPr="00BC5FD6" w:rsidRDefault="00965A54" w:rsidP="00965A54">
      <w:pPr>
        <w:jc w:val="both"/>
        <w:rPr>
          <w:rFonts w:ascii="Montserrat" w:hAnsi="Montserrat" w:cs="Arial"/>
          <w:sz w:val="22"/>
          <w:szCs w:val="22"/>
        </w:rPr>
      </w:pPr>
    </w:p>
    <w:p w14:paraId="3496DD4B" w14:textId="7B60EBDD" w:rsidR="00965A54" w:rsidRDefault="00965A54" w:rsidP="00965A54">
      <w:pPr>
        <w:jc w:val="both"/>
        <w:rPr>
          <w:rFonts w:ascii="Montserrat" w:hAnsi="Montserrat" w:cs="Arial"/>
          <w:sz w:val="22"/>
          <w:szCs w:val="22"/>
        </w:rPr>
      </w:pPr>
      <w:r w:rsidRPr="00BC5FD6">
        <w:rPr>
          <w:rFonts w:ascii="Montserrat" w:hAnsi="Montserrat" w:cs="Arial"/>
          <w:sz w:val="22"/>
          <w:szCs w:val="22"/>
        </w:rPr>
        <w:t>Del total de observaciones, durante el</w:t>
      </w:r>
      <w:r w:rsidR="008E6D15">
        <w:rPr>
          <w:rFonts w:ascii="Montserrat" w:hAnsi="Montserrat" w:cs="Arial"/>
          <w:sz w:val="22"/>
          <w:szCs w:val="22"/>
        </w:rPr>
        <w:t xml:space="preserve"> primer semestre del</w:t>
      </w:r>
      <w:r w:rsidRPr="00BC5FD6">
        <w:rPr>
          <w:rFonts w:ascii="Montserrat" w:hAnsi="Montserrat" w:cs="Arial"/>
          <w:sz w:val="22"/>
          <w:szCs w:val="22"/>
        </w:rPr>
        <w:t xml:space="preserve"> ejercicio 202</w:t>
      </w:r>
      <w:r w:rsidR="008E6D15">
        <w:rPr>
          <w:rFonts w:ascii="Montserrat" w:hAnsi="Montserrat" w:cs="Arial"/>
          <w:sz w:val="22"/>
          <w:szCs w:val="22"/>
        </w:rPr>
        <w:t>3</w:t>
      </w:r>
      <w:r w:rsidRPr="00BC5FD6">
        <w:rPr>
          <w:rFonts w:ascii="Montserrat" w:hAnsi="Montserrat" w:cs="Arial"/>
          <w:sz w:val="22"/>
          <w:szCs w:val="22"/>
        </w:rPr>
        <w:t xml:space="preserve"> se atendieron </w:t>
      </w:r>
      <w:r w:rsidR="00560CEB">
        <w:rPr>
          <w:rFonts w:ascii="Montserrat" w:hAnsi="Montserrat" w:cs="Arial"/>
          <w:sz w:val="22"/>
          <w:szCs w:val="22"/>
        </w:rPr>
        <w:t>8</w:t>
      </w:r>
      <w:r w:rsidRPr="00BC5FD6">
        <w:rPr>
          <w:rFonts w:ascii="Montserrat" w:hAnsi="Montserrat" w:cs="Arial"/>
          <w:sz w:val="22"/>
          <w:szCs w:val="22"/>
        </w:rPr>
        <w:t xml:space="preserve">; por lo que al cierre del </w:t>
      </w:r>
      <w:r w:rsidR="00560CEB">
        <w:rPr>
          <w:rFonts w:ascii="Montserrat" w:hAnsi="Montserrat" w:cs="Arial"/>
          <w:sz w:val="22"/>
          <w:szCs w:val="22"/>
        </w:rPr>
        <w:t xml:space="preserve">primer semestre del presente </w:t>
      </w:r>
      <w:r w:rsidR="006F5A63" w:rsidRPr="00BC5FD6">
        <w:rPr>
          <w:rFonts w:ascii="Montserrat" w:hAnsi="Montserrat" w:cs="Arial"/>
          <w:sz w:val="22"/>
          <w:szCs w:val="22"/>
        </w:rPr>
        <w:t xml:space="preserve">ejercicio </w:t>
      </w:r>
      <w:r w:rsidRPr="00BC5FD6">
        <w:rPr>
          <w:rFonts w:ascii="Montserrat" w:hAnsi="Montserrat" w:cs="Arial"/>
          <w:sz w:val="22"/>
          <w:szCs w:val="22"/>
        </w:rPr>
        <w:t xml:space="preserve">se tienen </w:t>
      </w:r>
      <w:r w:rsidR="00560CEB">
        <w:rPr>
          <w:rFonts w:ascii="Montserrat" w:hAnsi="Montserrat" w:cs="Arial"/>
          <w:sz w:val="22"/>
          <w:szCs w:val="22"/>
        </w:rPr>
        <w:t>6</w:t>
      </w:r>
      <w:r w:rsidRPr="00BC5FD6">
        <w:rPr>
          <w:rFonts w:ascii="Montserrat" w:hAnsi="Montserrat" w:cs="Arial"/>
          <w:sz w:val="22"/>
          <w:szCs w:val="22"/>
        </w:rPr>
        <w:t xml:space="preserve"> observaciones pendientes de solventar, las cuales se detallan a continuación:</w:t>
      </w:r>
    </w:p>
    <w:p w14:paraId="7FB4178D" w14:textId="77777777" w:rsidR="00F211D7" w:rsidRPr="00BC5FD6" w:rsidRDefault="00F211D7" w:rsidP="00965A54">
      <w:pPr>
        <w:jc w:val="both"/>
        <w:rPr>
          <w:rFonts w:ascii="Montserrat" w:hAnsi="Montserrat" w:cs="Arial"/>
          <w:sz w:val="22"/>
          <w:szCs w:val="22"/>
        </w:rPr>
      </w:pPr>
    </w:p>
    <w:p w14:paraId="1AB44C4F" w14:textId="77777777" w:rsidR="00965A54" w:rsidRPr="00BC5FD6" w:rsidRDefault="00965A54" w:rsidP="00965A54">
      <w:pPr>
        <w:tabs>
          <w:tab w:val="left" w:pos="6302"/>
        </w:tabs>
        <w:ind w:left="-284"/>
        <w:jc w:val="both"/>
        <w:rPr>
          <w:rFonts w:ascii="Montserrat" w:hAnsi="Montserrat" w:cs="Arial"/>
          <w:sz w:val="22"/>
          <w:szCs w:val="22"/>
        </w:rPr>
      </w:pPr>
      <w:r w:rsidRPr="00BC5FD6">
        <w:rPr>
          <w:rFonts w:ascii="Montserrat" w:hAnsi="Montserrat" w:cs="Arial"/>
          <w:sz w:val="22"/>
          <w:szCs w:val="22"/>
        </w:rPr>
        <w:tab/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64"/>
        <w:gridCol w:w="1984"/>
        <w:gridCol w:w="1772"/>
        <w:gridCol w:w="1627"/>
      </w:tblGrid>
      <w:tr w:rsidR="00965A54" w:rsidRPr="00BC5FD6" w14:paraId="5C66C7A2" w14:textId="77777777" w:rsidTr="00BC5FD6">
        <w:trPr>
          <w:trHeight w:hRule="exact" w:val="734"/>
          <w:jc w:val="center"/>
        </w:trPr>
        <w:tc>
          <w:tcPr>
            <w:tcW w:w="1145" w:type="pct"/>
            <w:shd w:val="clear" w:color="auto" w:fill="AEAAAA" w:themeFill="background2" w:themeFillShade="BF"/>
          </w:tcPr>
          <w:p w14:paraId="11E01FCF" w14:textId="77777777" w:rsidR="00965A54" w:rsidRPr="00BC5FD6" w:rsidRDefault="00965A54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lastRenderedPageBreak/>
              <w:t>Instancia fiscalizadora</w:t>
            </w:r>
          </w:p>
        </w:tc>
        <w:tc>
          <w:tcPr>
            <w:tcW w:w="868" w:type="pct"/>
            <w:shd w:val="clear" w:color="auto" w:fill="AEAAAA" w:themeFill="background2" w:themeFillShade="BF"/>
          </w:tcPr>
          <w:p w14:paraId="5E310903" w14:textId="77777777" w:rsidR="00965A54" w:rsidRPr="00BC5FD6" w:rsidRDefault="00965A54" w:rsidP="003C1684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Saldo inicial</w:t>
            </w:r>
          </w:p>
          <w:p w14:paraId="1A339681" w14:textId="77777777" w:rsidR="00965A54" w:rsidRPr="00BC5FD6" w:rsidRDefault="00965A54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EAAAA" w:themeFill="background2" w:themeFillShade="BF"/>
          </w:tcPr>
          <w:p w14:paraId="4821813E" w14:textId="2FC4498F" w:rsidR="00965A54" w:rsidRPr="00BC5FD6" w:rsidRDefault="00965A54" w:rsidP="003C1684">
            <w:pPr>
              <w:tabs>
                <w:tab w:val="left" w:pos="169"/>
              </w:tabs>
              <w:ind w:left="-284" w:firstLine="169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Determinadas al 3</w:t>
            </w:r>
            <w:r w:rsidR="00560CEB">
              <w:rPr>
                <w:rFonts w:ascii="Montserrat" w:hAnsi="Montserrat" w:cs="Arial"/>
                <w:b/>
                <w:bCs/>
                <w:sz w:val="22"/>
                <w:szCs w:val="22"/>
              </w:rPr>
              <w:t>0</w:t>
            </w: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/</w:t>
            </w:r>
            <w:r w:rsidR="00560CEB">
              <w:rPr>
                <w:rFonts w:ascii="Montserrat" w:hAnsi="Montserrat" w:cs="Arial"/>
                <w:b/>
                <w:bCs/>
                <w:sz w:val="22"/>
                <w:szCs w:val="22"/>
              </w:rPr>
              <w:t>06</w:t>
            </w: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/202</w:t>
            </w:r>
            <w:r w:rsidR="00560CEB">
              <w:rPr>
                <w:rFonts w:ascii="Montserrat" w:hAnsi="Montserrat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3" w:type="pct"/>
            <w:shd w:val="clear" w:color="auto" w:fill="AEAAAA" w:themeFill="background2" w:themeFillShade="BF"/>
          </w:tcPr>
          <w:p w14:paraId="48681212" w14:textId="3FBAE217" w:rsidR="00965A54" w:rsidRPr="00BC5FD6" w:rsidRDefault="00965A54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Atendidas al 3</w:t>
            </w:r>
            <w:r w:rsidR="00560CEB">
              <w:rPr>
                <w:rFonts w:ascii="Montserrat" w:hAnsi="Montserrat" w:cs="Arial"/>
                <w:b/>
                <w:bCs/>
                <w:sz w:val="22"/>
                <w:szCs w:val="22"/>
              </w:rPr>
              <w:t>0</w:t>
            </w: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/</w:t>
            </w:r>
            <w:r w:rsidR="00560CEB">
              <w:rPr>
                <w:rFonts w:ascii="Montserrat" w:hAnsi="Montserrat" w:cs="Arial"/>
                <w:b/>
                <w:bCs/>
                <w:sz w:val="22"/>
                <w:szCs w:val="22"/>
              </w:rPr>
              <w:t>06</w:t>
            </w: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/202</w:t>
            </w:r>
            <w:r w:rsidR="00560CEB">
              <w:rPr>
                <w:rFonts w:ascii="Montserrat" w:hAnsi="Montserrat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3" w:type="pct"/>
            <w:shd w:val="clear" w:color="auto" w:fill="AEAAAA" w:themeFill="background2" w:themeFillShade="BF"/>
          </w:tcPr>
          <w:p w14:paraId="5B8A219E" w14:textId="77777777" w:rsidR="00965A54" w:rsidRPr="00BC5FD6" w:rsidRDefault="00965A54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Saldo fin</w:t>
            </w: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softHyphen/>
            </w: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softHyphen/>
            </w: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softHyphen/>
              <w:t>al</w:t>
            </w:r>
          </w:p>
          <w:p w14:paraId="5D388583" w14:textId="77777777" w:rsidR="00965A54" w:rsidRPr="00BC5FD6" w:rsidRDefault="00965A54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</w:p>
        </w:tc>
      </w:tr>
      <w:tr w:rsidR="00965A54" w:rsidRPr="00BC5FD6" w14:paraId="5338A54E" w14:textId="77777777" w:rsidTr="00BC5FD6">
        <w:trPr>
          <w:trHeight w:hRule="exact" w:val="591"/>
          <w:jc w:val="center"/>
        </w:trPr>
        <w:tc>
          <w:tcPr>
            <w:tcW w:w="1145" w:type="pct"/>
          </w:tcPr>
          <w:p w14:paraId="6E0571E8" w14:textId="77777777" w:rsidR="00965A54" w:rsidRPr="00BC5FD6" w:rsidRDefault="00965A54" w:rsidP="003C1684">
            <w:pPr>
              <w:ind w:right="24"/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Auditoría Externa</w:t>
            </w:r>
          </w:p>
        </w:tc>
        <w:tc>
          <w:tcPr>
            <w:tcW w:w="868" w:type="pct"/>
          </w:tcPr>
          <w:p w14:paraId="61EFCC3D" w14:textId="77777777" w:rsidR="00965A54" w:rsidRPr="00BC5FD6" w:rsidRDefault="00965A54" w:rsidP="003C1684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1</w:t>
            </w:r>
          </w:p>
        </w:tc>
        <w:tc>
          <w:tcPr>
            <w:tcW w:w="1101" w:type="pct"/>
          </w:tcPr>
          <w:p w14:paraId="477B1CD9" w14:textId="77777777" w:rsidR="00965A54" w:rsidRPr="00BC5FD6" w:rsidRDefault="00965A54" w:rsidP="003C1684">
            <w:pPr>
              <w:ind w:left="109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3</w:t>
            </w:r>
          </w:p>
        </w:tc>
        <w:tc>
          <w:tcPr>
            <w:tcW w:w="983" w:type="pct"/>
          </w:tcPr>
          <w:p w14:paraId="590E7EC2" w14:textId="7010EDC8" w:rsidR="00965A54" w:rsidRPr="00BC5FD6" w:rsidRDefault="00560CEB" w:rsidP="003C1684">
            <w:pPr>
              <w:ind w:left="25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1</w:t>
            </w:r>
          </w:p>
        </w:tc>
        <w:tc>
          <w:tcPr>
            <w:tcW w:w="902" w:type="pct"/>
          </w:tcPr>
          <w:p w14:paraId="1C21AEB9" w14:textId="7CEE718C" w:rsidR="00965A54" w:rsidRPr="00BC5FD6" w:rsidRDefault="00560CEB" w:rsidP="003C1684">
            <w:pPr>
              <w:ind w:left="97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3</w:t>
            </w:r>
          </w:p>
        </w:tc>
      </w:tr>
      <w:tr w:rsidR="00965A54" w:rsidRPr="00BC5FD6" w14:paraId="1D50207C" w14:textId="77777777" w:rsidTr="00BC5FD6">
        <w:trPr>
          <w:trHeight w:val="537"/>
          <w:jc w:val="center"/>
        </w:trPr>
        <w:tc>
          <w:tcPr>
            <w:tcW w:w="1145" w:type="pct"/>
          </w:tcPr>
          <w:p w14:paraId="3F2A80B8" w14:textId="77777777" w:rsidR="00965A54" w:rsidRPr="00BC5FD6" w:rsidRDefault="00965A54" w:rsidP="003C1684">
            <w:pPr>
              <w:ind w:left="38" w:hanging="38"/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Órgano Interno de Control</w:t>
            </w:r>
          </w:p>
        </w:tc>
        <w:tc>
          <w:tcPr>
            <w:tcW w:w="868" w:type="pct"/>
          </w:tcPr>
          <w:p w14:paraId="5C98F573" w14:textId="493B9189" w:rsidR="00965A54" w:rsidRPr="00BC5FD6" w:rsidRDefault="00560CEB" w:rsidP="003C1684">
            <w:pPr>
              <w:ind w:left="2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4</w:t>
            </w:r>
          </w:p>
        </w:tc>
        <w:tc>
          <w:tcPr>
            <w:tcW w:w="1101" w:type="pct"/>
          </w:tcPr>
          <w:p w14:paraId="730D181D" w14:textId="33DA437B" w:rsidR="00965A54" w:rsidRPr="00BC5FD6" w:rsidRDefault="00560CEB" w:rsidP="003C1684">
            <w:pPr>
              <w:ind w:left="109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6</w:t>
            </w:r>
          </w:p>
        </w:tc>
        <w:tc>
          <w:tcPr>
            <w:tcW w:w="983" w:type="pct"/>
          </w:tcPr>
          <w:p w14:paraId="5862FA7C" w14:textId="1E31512F" w:rsidR="00965A54" w:rsidRPr="00BC5FD6" w:rsidRDefault="00560CEB" w:rsidP="003C1684">
            <w:pPr>
              <w:ind w:left="25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7</w:t>
            </w:r>
          </w:p>
        </w:tc>
        <w:tc>
          <w:tcPr>
            <w:tcW w:w="902" w:type="pct"/>
          </w:tcPr>
          <w:p w14:paraId="68303AE4" w14:textId="6CD93954" w:rsidR="00965A54" w:rsidRPr="00BC5FD6" w:rsidRDefault="00560CEB" w:rsidP="003C1684">
            <w:pPr>
              <w:ind w:left="97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3</w:t>
            </w:r>
          </w:p>
        </w:tc>
      </w:tr>
      <w:tr w:rsidR="00965A54" w:rsidRPr="00BC5FD6" w14:paraId="2185832E" w14:textId="77777777" w:rsidTr="00BC5FD6">
        <w:trPr>
          <w:trHeight w:val="158"/>
          <w:jc w:val="center"/>
        </w:trPr>
        <w:tc>
          <w:tcPr>
            <w:tcW w:w="1145" w:type="pct"/>
          </w:tcPr>
          <w:p w14:paraId="25FAFEDA" w14:textId="77777777" w:rsidR="00965A54" w:rsidRPr="00BC5FD6" w:rsidRDefault="00965A54" w:rsidP="003C1684">
            <w:pPr>
              <w:ind w:left="-284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Total</w:t>
            </w:r>
          </w:p>
        </w:tc>
        <w:tc>
          <w:tcPr>
            <w:tcW w:w="868" w:type="pct"/>
          </w:tcPr>
          <w:p w14:paraId="290FC7D0" w14:textId="2C00EA38" w:rsidR="00965A54" w:rsidRPr="00BC5FD6" w:rsidRDefault="00560CEB" w:rsidP="003C1684">
            <w:pPr>
              <w:ind w:left="51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u w:val="single"/>
              </w:rPr>
              <w:t>5</w:t>
            </w:r>
          </w:p>
        </w:tc>
        <w:tc>
          <w:tcPr>
            <w:tcW w:w="1101" w:type="pct"/>
          </w:tcPr>
          <w:p w14:paraId="5D714F80" w14:textId="5F841FAE" w:rsidR="00965A54" w:rsidRPr="00BC5FD6" w:rsidRDefault="00560CEB" w:rsidP="003C1684">
            <w:pPr>
              <w:ind w:left="109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u w:val="single"/>
              </w:rPr>
              <w:t>9</w:t>
            </w:r>
          </w:p>
        </w:tc>
        <w:tc>
          <w:tcPr>
            <w:tcW w:w="983" w:type="pct"/>
          </w:tcPr>
          <w:p w14:paraId="5F03D2A4" w14:textId="4003CD67" w:rsidR="00965A54" w:rsidRPr="00BC5FD6" w:rsidRDefault="00560CEB" w:rsidP="003C1684">
            <w:pPr>
              <w:ind w:left="25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u w:val="single"/>
              </w:rPr>
              <w:t>8</w:t>
            </w:r>
          </w:p>
        </w:tc>
        <w:tc>
          <w:tcPr>
            <w:tcW w:w="902" w:type="pct"/>
          </w:tcPr>
          <w:p w14:paraId="30B4C20F" w14:textId="1B71CE25" w:rsidR="00965A54" w:rsidRPr="00BC5FD6" w:rsidRDefault="00560CEB" w:rsidP="003C1684">
            <w:pPr>
              <w:ind w:left="97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u w:val="single"/>
              </w:rPr>
              <w:t>6</w:t>
            </w:r>
          </w:p>
        </w:tc>
      </w:tr>
    </w:tbl>
    <w:p w14:paraId="1A064B5D" w14:textId="77777777" w:rsidR="00965A54" w:rsidRPr="00BC5FD6" w:rsidRDefault="00965A54" w:rsidP="00965A54">
      <w:pPr>
        <w:ind w:left="-284"/>
        <w:jc w:val="right"/>
        <w:rPr>
          <w:rFonts w:ascii="Montserrat" w:hAnsi="Montserrat" w:cs="Arial"/>
          <w:sz w:val="22"/>
          <w:szCs w:val="22"/>
        </w:rPr>
      </w:pPr>
    </w:p>
    <w:p w14:paraId="7E85E57B" w14:textId="287C0A1B" w:rsidR="00965A54" w:rsidRPr="00BC5FD6" w:rsidRDefault="00965A54" w:rsidP="00965A54">
      <w:pPr>
        <w:jc w:val="both"/>
        <w:rPr>
          <w:rFonts w:ascii="Montserrat" w:hAnsi="Montserrat" w:cs="Arial"/>
          <w:sz w:val="22"/>
          <w:szCs w:val="22"/>
        </w:rPr>
      </w:pPr>
      <w:r w:rsidRPr="00BC5FD6">
        <w:rPr>
          <w:rFonts w:ascii="Montserrat" w:hAnsi="Montserrat" w:cs="Arial"/>
          <w:sz w:val="22"/>
          <w:szCs w:val="22"/>
        </w:rPr>
        <w:t xml:space="preserve">Derivado del seguimiento efectuado durante el </w:t>
      </w:r>
      <w:r w:rsidR="00560CEB">
        <w:rPr>
          <w:rFonts w:ascii="Montserrat" w:hAnsi="Montserrat" w:cs="Arial"/>
          <w:sz w:val="22"/>
          <w:szCs w:val="22"/>
        </w:rPr>
        <w:t xml:space="preserve">primer semestre del </w:t>
      </w:r>
      <w:r w:rsidRPr="00BC5FD6">
        <w:rPr>
          <w:rFonts w:ascii="Montserrat" w:hAnsi="Montserrat" w:cs="Arial"/>
          <w:sz w:val="22"/>
          <w:szCs w:val="22"/>
        </w:rPr>
        <w:t>ejercicio 202</w:t>
      </w:r>
      <w:r w:rsidR="00560CEB">
        <w:rPr>
          <w:rFonts w:ascii="Montserrat" w:hAnsi="Montserrat" w:cs="Arial"/>
          <w:sz w:val="22"/>
          <w:szCs w:val="22"/>
        </w:rPr>
        <w:t>3</w:t>
      </w:r>
      <w:r w:rsidRPr="00BC5FD6">
        <w:rPr>
          <w:rFonts w:ascii="Montserrat" w:hAnsi="Montserrat" w:cs="Arial"/>
          <w:sz w:val="22"/>
          <w:szCs w:val="22"/>
        </w:rPr>
        <w:t xml:space="preserve">, se solventaron </w:t>
      </w:r>
      <w:r w:rsidR="00560CEB">
        <w:rPr>
          <w:rFonts w:ascii="Montserrat" w:hAnsi="Montserrat" w:cs="Arial"/>
          <w:sz w:val="22"/>
          <w:szCs w:val="22"/>
        </w:rPr>
        <w:t>8</w:t>
      </w:r>
      <w:r w:rsidRPr="00BC5FD6">
        <w:rPr>
          <w:rFonts w:ascii="Montserrat" w:hAnsi="Montserrat" w:cs="Arial"/>
          <w:sz w:val="22"/>
          <w:szCs w:val="22"/>
        </w:rPr>
        <w:t xml:space="preserve"> observaciones, en las cuales las áreas responsables de su solventación realizaron acciones correctivas y preventivas encaminadas al fortalecimiento del control interno de los rubros observados.  </w:t>
      </w:r>
    </w:p>
    <w:p w14:paraId="23604BEE" w14:textId="404DA4A8" w:rsidR="008B1351" w:rsidRPr="00BC5FD6" w:rsidRDefault="008B1351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00A72ECC" w14:textId="45491A43" w:rsidR="001228E5" w:rsidRPr="00BC5FD6" w:rsidRDefault="001228E5" w:rsidP="001228E5">
      <w:pPr>
        <w:jc w:val="both"/>
        <w:rPr>
          <w:rFonts w:ascii="Montserrat" w:hAnsi="Montserrat" w:cs="Arial"/>
          <w:sz w:val="22"/>
          <w:szCs w:val="22"/>
        </w:rPr>
      </w:pPr>
      <w:r w:rsidRPr="00BC5FD6">
        <w:rPr>
          <w:rFonts w:ascii="Montserrat" w:hAnsi="Montserrat" w:cs="Arial"/>
          <w:sz w:val="22"/>
          <w:szCs w:val="22"/>
        </w:rPr>
        <w:t xml:space="preserve">La situación de las </w:t>
      </w:r>
      <w:r w:rsidR="00560CEB">
        <w:rPr>
          <w:rFonts w:ascii="Montserrat" w:hAnsi="Montserrat" w:cs="Arial"/>
          <w:sz w:val="22"/>
          <w:szCs w:val="22"/>
        </w:rPr>
        <w:t>6</w:t>
      </w:r>
      <w:r w:rsidRPr="00BC5FD6">
        <w:rPr>
          <w:rFonts w:ascii="Montserrat" w:hAnsi="Montserrat" w:cs="Arial"/>
          <w:sz w:val="22"/>
          <w:szCs w:val="22"/>
        </w:rPr>
        <w:t xml:space="preserve"> observaciones pendientes de atender es la siguiente:</w:t>
      </w:r>
    </w:p>
    <w:p w14:paraId="28BAE914" w14:textId="77777777" w:rsidR="001228E5" w:rsidRPr="00BC5FD6" w:rsidRDefault="001228E5" w:rsidP="001228E5">
      <w:pPr>
        <w:jc w:val="both"/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4536"/>
      </w:tblGrid>
      <w:tr w:rsidR="006F5A63" w:rsidRPr="00BC5FD6" w14:paraId="6520257E" w14:textId="77777777" w:rsidTr="00522306">
        <w:tc>
          <w:tcPr>
            <w:tcW w:w="1701" w:type="dxa"/>
            <w:shd w:val="clear" w:color="auto" w:fill="BFBFBF" w:themeFill="background1" w:themeFillShade="BF"/>
          </w:tcPr>
          <w:p w14:paraId="016BA892" w14:textId="77777777" w:rsidR="006F5A63" w:rsidRPr="00BC5FD6" w:rsidRDefault="006F5A63" w:rsidP="003C1684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No. de Auditoría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A2EABF4" w14:textId="77777777" w:rsidR="006F5A63" w:rsidRPr="00BC5FD6" w:rsidRDefault="006F5A63" w:rsidP="003C1684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Nombre y clave de la Auditoría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B876AFD" w14:textId="77777777" w:rsidR="006F5A63" w:rsidRPr="00BC5FD6" w:rsidRDefault="006F5A63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Observación</w:t>
            </w:r>
          </w:p>
        </w:tc>
      </w:tr>
      <w:tr w:rsidR="00560CEB" w:rsidRPr="00BC5FD6" w14:paraId="67201F26" w14:textId="77777777" w:rsidTr="00522306">
        <w:tc>
          <w:tcPr>
            <w:tcW w:w="1701" w:type="dxa"/>
          </w:tcPr>
          <w:p w14:paraId="1D4B3019" w14:textId="7813B03C" w:rsidR="00560CEB" w:rsidRPr="00BC5FD6" w:rsidRDefault="00560CEB" w:rsidP="00560CEB">
            <w:pPr>
              <w:ind w:left="38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eastAsiaTheme="minorHAnsi" w:hAnsi="Montserrat" w:cs="Arial"/>
                <w:sz w:val="22"/>
                <w:szCs w:val="22"/>
              </w:rPr>
              <w:t>001/202</w:t>
            </w:r>
            <w:r w:rsidR="00453B99">
              <w:rPr>
                <w:rFonts w:ascii="Montserrat" w:eastAsiaTheme="minorHAnsi" w:hAnsi="Montserrat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880FEA7" w14:textId="2FDFC941" w:rsidR="00560CEB" w:rsidRPr="00BC5FD6" w:rsidRDefault="00560CEB" w:rsidP="00560CEB">
            <w:pPr>
              <w:ind w:left="36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C20B18">
              <w:rPr>
                <w:rFonts w:ascii="Montserrat" w:hAnsi="Montserrat" w:cs="Arial"/>
                <w:sz w:val="22"/>
                <w:szCs w:val="22"/>
              </w:rPr>
              <w:t>100 “Recursos Humanos”</w:t>
            </w:r>
          </w:p>
        </w:tc>
        <w:tc>
          <w:tcPr>
            <w:tcW w:w="4536" w:type="dxa"/>
          </w:tcPr>
          <w:p w14:paraId="37B64920" w14:textId="3738909D" w:rsidR="00560CEB" w:rsidRPr="00BC5FD6" w:rsidRDefault="00560CEB" w:rsidP="00560CEB">
            <w:pPr>
              <w:jc w:val="both"/>
              <w:rPr>
                <w:rFonts w:ascii="Montserrat" w:hAnsi="Montserrat" w:cs="Arial"/>
                <w:color w:val="FF0000"/>
                <w:sz w:val="22"/>
                <w:szCs w:val="22"/>
              </w:rPr>
            </w:pPr>
            <w:r w:rsidRPr="00C20B18">
              <w:rPr>
                <w:rFonts w:ascii="Montserrat" w:hAnsi="Montserrat"/>
                <w:sz w:val="22"/>
                <w:szCs w:val="22"/>
              </w:rPr>
              <w:t>Incumplimiento en la aplicación de las Disposiciones en Materia de Recursos Humanos.</w:t>
            </w:r>
          </w:p>
        </w:tc>
      </w:tr>
      <w:tr w:rsidR="00560CEB" w:rsidRPr="00BC5FD6" w14:paraId="0C2DD223" w14:textId="77777777" w:rsidTr="00522306">
        <w:tc>
          <w:tcPr>
            <w:tcW w:w="1701" w:type="dxa"/>
          </w:tcPr>
          <w:p w14:paraId="5657DC6E" w14:textId="52ED2CBC" w:rsidR="00560CEB" w:rsidRPr="00BC5FD6" w:rsidRDefault="00560CEB" w:rsidP="00560CEB">
            <w:pPr>
              <w:ind w:left="38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eastAsiaTheme="minorHAnsi" w:hAnsi="Montserrat" w:cs="Arial"/>
                <w:sz w:val="22"/>
                <w:szCs w:val="22"/>
              </w:rPr>
              <w:t>002/202</w:t>
            </w:r>
            <w:r w:rsidR="00453B99">
              <w:rPr>
                <w:rFonts w:ascii="Montserrat" w:eastAsiaTheme="minorHAnsi" w:hAnsi="Montserrat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3B049D2" w14:textId="4CE0CE46" w:rsidR="00560CEB" w:rsidRPr="00BC5FD6" w:rsidRDefault="00560CEB" w:rsidP="00560CE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 xml:space="preserve">340 </w:t>
            </w:r>
            <w:r w:rsidR="00522306">
              <w:rPr>
                <w:rFonts w:ascii="Montserrat" w:hAnsi="Montserrat" w:cs="Arial"/>
                <w:sz w:val="22"/>
                <w:szCs w:val="22"/>
              </w:rPr>
              <w:t>“</w:t>
            </w:r>
            <w:r>
              <w:rPr>
                <w:rFonts w:ascii="Montserrat" w:hAnsi="Montserrat" w:cs="Arial"/>
                <w:sz w:val="22"/>
                <w:szCs w:val="22"/>
              </w:rPr>
              <w:t>Presupuesto Gasto Corriente”</w:t>
            </w:r>
          </w:p>
        </w:tc>
        <w:tc>
          <w:tcPr>
            <w:tcW w:w="4536" w:type="dxa"/>
          </w:tcPr>
          <w:p w14:paraId="1D0CB94F" w14:textId="6BDFAD3A" w:rsidR="00560CEB" w:rsidRPr="00BC5FD6" w:rsidRDefault="00560CEB" w:rsidP="00560CE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26486E">
              <w:rPr>
                <w:rFonts w:ascii="Montserrat" w:hAnsi="Montserrat"/>
                <w:sz w:val="22"/>
                <w:szCs w:val="22"/>
              </w:rPr>
              <w:t>Falta de supervisión de los recursos otorgados en los pagos de jornales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</w:tc>
      </w:tr>
      <w:tr w:rsidR="00560CEB" w:rsidRPr="00BC5FD6" w14:paraId="3AAD55CB" w14:textId="77777777" w:rsidTr="00522306">
        <w:tc>
          <w:tcPr>
            <w:tcW w:w="1701" w:type="dxa"/>
          </w:tcPr>
          <w:p w14:paraId="54E3324D" w14:textId="18F2B181" w:rsidR="00560CEB" w:rsidRPr="00BC5FD6" w:rsidRDefault="00560CEB" w:rsidP="00560CEB">
            <w:pPr>
              <w:ind w:left="38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004/202</w:t>
            </w:r>
            <w:r w:rsidR="00453B99">
              <w:rPr>
                <w:rFonts w:ascii="Montserrat" w:hAnsi="Montserrat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B0D868C" w14:textId="1CDF3372" w:rsidR="00560CEB" w:rsidRPr="00BC5FD6" w:rsidRDefault="00560CEB" w:rsidP="00560CEB">
            <w:pPr>
              <w:ind w:left="36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 xml:space="preserve">340 </w:t>
            </w:r>
            <w:r w:rsidR="00522306">
              <w:rPr>
                <w:rFonts w:ascii="Montserrat" w:hAnsi="Montserrat" w:cs="Arial"/>
                <w:sz w:val="22"/>
                <w:szCs w:val="22"/>
              </w:rPr>
              <w:t>“</w:t>
            </w:r>
            <w:r>
              <w:rPr>
                <w:rFonts w:ascii="Montserrat" w:hAnsi="Montserrat" w:cs="Arial"/>
                <w:sz w:val="22"/>
                <w:szCs w:val="22"/>
              </w:rPr>
              <w:t>Presupuesto Gasto Corriente”</w:t>
            </w:r>
          </w:p>
        </w:tc>
        <w:tc>
          <w:tcPr>
            <w:tcW w:w="4536" w:type="dxa"/>
          </w:tcPr>
          <w:p w14:paraId="40EF62C7" w14:textId="0DB9C941" w:rsidR="00560CEB" w:rsidRPr="00BC5FD6" w:rsidRDefault="00560CEB" w:rsidP="00560CE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26486E">
              <w:rPr>
                <w:rFonts w:ascii="Montserrat Regular" w:hAnsi="Montserrat Regular"/>
                <w:sz w:val="22"/>
                <w:szCs w:val="22"/>
              </w:rPr>
              <w:t>Ejecución de gastos</w:t>
            </w:r>
            <w:r>
              <w:rPr>
                <w:rFonts w:ascii="Montserrat Regular" w:hAnsi="Montserrat Regular"/>
                <w:sz w:val="22"/>
                <w:szCs w:val="22"/>
              </w:rPr>
              <w:t xml:space="preserve"> a comprobar</w:t>
            </w:r>
            <w:r w:rsidRPr="0026486E">
              <w:rPr>
                <w:rFonts w:ascii="Montserrat Regular" w:hAnsi="Montserrat Regular"/>
                <w:sz w:val="22"/>
                <w:szCs w:val="22"/>
              </w:rPr>
              <w:t xml:space="preserve"> sin normatividad interna que lo</w:t>
            </w:r>
            <w:r>
              <w:rPr>
                <w:rFonts w:ascii="Montserrat Regular" w:hAnsi="Montserrat Regular"/>
                <w:sz w:val="22"/>
                <w:szCs w:val="22"/>
              </w:rPr>
              <w:t>s</w:t>
            </w:r>
            <w:r w:rsidRPr="0026486E">
              <w:rPr>
                <w:rFonts w:ascii="Montserrat Regular" w:hAnsi="Montserrat Regular"/>
                <w:sz w:val="22"/>
                <w:szCs w:val="22"/>
              </w:rPr>
              <w:t xml:space="preserve"> regule</w:t>
            </w:r>
            <w:r>
              <w:rPr>
                <w:rFonts w:ascii="Montserrat Regular" w:hAnsi="Montserrat Regular"/>
                <w:sz w:val="22"/>
                <w:szCs w:val="22"/>
              </w:rPr>
              <w:t>.</w:t>
            </w:r>
          </w:p>
        </w:tc>
      </w:tr>
      <w:tr w:rsidR="00560CEB" w:rsidRPr="00BC5FD6" w14:paraId="659B35FD" w14:textId="77777777" w:rsidTr="00522306">
        <w:tc>
          <w:tcPr>
            <w:tcW w:w="1701" w:type="dxa"/>
          </w:tcPr>
          <w:p w14:paraId="64333442" w14:textId="4BF20F74" w:rsidR="00560CEB" w:rsidRPr="00BC5FD6" w:rsidRDefault="00453B99" w:rsidP="00560CEB">
            <w:pPr>
              <w:ind w:left="3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006/2023</w:t>
            </w:r>
          </w:p>
        </w:tc>
        <w:tc>
          <w:tcPr>
            <w:tcW w:w="2835" w:type="dxa"/>
          </w:tcPr>
          <w:p w14:paraId="1B68C363" w14:textId="287ADE4E" w:rsidR="00560CEB" w:rsidRDefault="00560CEB" w:rsidP="00560CEB">
            <w:pPr>
              <w:ind w:left="36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Auditoría Externa</w:t>
            </w:r>
          </w:p>
        </w:tc>
        <w:tc>
          <w:tcPr>
            <w:tcW w:w="4536" w:type="dxa"/>
          </w:tcPr>
          <w:p w14:paraId="1D1C66A9" w14:textId="0CAF1DD2" w:rsidR="00560CEB" w:rsidRPr="0026486E" w:rsidRDefault="00560CEB" w:rsidP="00560CEB">
            <w:pPr>
              <w:jc w:val="both"/>
              <w:rPr>
                <w:rFonts w:ascii="Montserrat Regular" w:hAnsi="Montserrat Regular"/>
                <w:sz w:val="22"/>
                <w:szCs w:val="22"/>
              </w:rPr>
            </w:pPr>
            <w:r w:rsidRPr="00DF7E03">
              <w:rPr>
                <w:rFonts w:ascii="Montserrat" w:eastAsia="Montserrat" w:hAnsi="Montserrat" w:cs="Montserrat"/>
                <w:sz w:val="22"/>
                <w:szCs w:val="22"/>
              </w:rPr>
              <w:t>Provisión por obligaciones laborales.</w:t>
            </w:r>
          </w:p>
        </w:tc>
      </w:tr>
      <w:tr w:rsidR="00560CEB" w:rsidRPr="00BC5FD6" w14:paraId="2D921294" w14:textId="77777777" w:rsidTr="00522306">
        <w:trPr>
          <w:trHeight w:val="679"/>
        </w:trPr>
        <w:tc>
          <w:tcPr>
            <w:tcW w:w="1701" w:type="dxa"/>
          </w:tcPr>
          <w:p w14:paraId="26C11CFF" w14:textId="47C446DE" w:rsidR="00560CEB" w:rsidRPr="00BC5FD6" w:rsidRDefault="00453B99" w:rsidP="00560CEB">
            <w:pPr>
              <w:ind w:left="3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006/2023</w:t>
            </w:r>
          </w:p>
        </w:tc>
        <w:tc>
          <w:tcPr>
            <w:tcW w:w="2835" w:type="dxa"/>
          </w:tcPr>
          <w:p w14:paraId="59822AB7" w14:textId="3517BFB5" w:rsidR="00560CEB" w:rsidRPr="00BC5FD6" w:rsidRDefault="00560CEB" w:rsidP="00560CEB">
            <w:pPr>
              <w:ind w:left="36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344FBB">
              <w:rPr>
                <w:rFonts w:ascii="Montserrat" w:hAnsi="Montserrat" w:cs="Arial"/>
                <w:sz w:val="22"/>
                <w:szCs w:val="22"/>
              </w:rPr>
              <w:t>Auditoría Externa</w:t>
            </w:r>
          </w:p>
        </w:tc>
        <w:tc>
          <w:tcPr>
            <w:tcW w:w="4536" w:type="dxa"/>
          </w:tcPr>
          <w:p w14:paraId="71ADA4A4" w14:textId="6B2241FE" w:rsidR="00560CEB" w:rsidRPr="00BC5FD6" w:rsidRDefault="00560CEB" w:rsidP="00560CEB">
            <w:pPr>
              <w:spacing w:after="160" w:line="259" w:lineRule="auto"/>
              <w:jc w:val="both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Falta de ac</w:t>
            </w:r>
            <w:r w:rsidRPr="00DF7E03">
              <w:rPr>
                <w:rFonts w:ascii="Montserrat" w:eastAsia="Montserrat" w:hAnsi="Montserrat" w:cs="Montserrat"/>
                <w:sz w:val="22"/>
                <w:szCs w:val="22"/>
              </w:rPr>
              <w:t>tualización del Manual de Organización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>.</w:t>
            </w:r>
          </w:p>
        </w:tc>
      </w:tr>
      <w:tr w:rsidR="00560CEB" w:rsidRPr="00BC5FD6" w14:paraId="6BDA2B8D" w14:textId="77777777" w:rsidTr="00522306">
        <w:tc>
          <w:tcPr>
            <w:tcW w:w="1701" w:type="dxa"/>
          </w:tcPr>
          <w:p w14:paraId="57DF79ED" w14:textId="4FDF93C1" w:rsidR="00560CEB" w:rsidRPr="00BC5FD6" w:rsidRDefault="00453B99" w:rsidP="00560CEB">
            <w:pPr>
              <w:ind w:left="3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006/2023</w:t>
            </w:r>
          </w:p>
        </w:tc>
        <w:tc>
          <w:tcPr>
            <w:tcW w:w="2835" w:type="dxa"/>
          </w:tcPr>
          <w:p w14:paraId="335561D9" w14:textId="1C4A92CE" w:rsidR="00560CEB" w:rsidRPr="00BC5FD6" w:rsidRDefault="00560CEB" w:rsidP="00560CEB">
            <w:pPr>
              <w:ind w:left="36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344FBB">
              <w:rPr>
                <w:rFonts w:ascii="Montserrat" w:hAnsi="Montserrat" w:cs="Arial"/>
                <w:sz w:val="22"/>
                <w:szCs w:val="22"/>
              </w:rPr>
              <w:t>Auditoría Externa</w:t>
            </w:r>
          </w:p>
        </w:tc>
        <w:tc>
          <w:tcPr>
            <w:tcW w:w="4536" w:type="dxa"/>
          </w:tcPr>
          <w:p w14:paraId="73EEA11B" w14:textId="77777777" w:rsidR="00560CEB" w:rsidRPr="00DF7E03" w:rsidRDefault="00560CEB" w:rsidP="00560C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DF7E03">
              <w:rPr>
                <w:rFonts w:ascii="Montserrat" w:eastAsia="Montserrat" w:hAnsi="Montserrat" w:cs="Montserrat"/>
                <w:sz w:val="22"/>
                <w:szCs w:val="22"/>
              </w:rPr>
              <w:t>Cuentas por pagar y por cobrar.</w:t>
            </w:r>
          </w:p>
          <w:p w14:paraId="6D97991F" w14:textId="0A81F207" w:rsidR="00560CEB" w:rsidRPr="00BC5FD6" w:rsidRDefault="00560CEB" w:rsidP="00560CE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3DE0EAA" w14:textId="77777777" w:rsidR="001228E5" w:rsidRPr="00BC5FD6" w:rsidRDefault="001228E5" w:rsidP="001228E5">
      <w:pPr>
        <w:ind w:left="-284"/>
        <w:jc w:val="both"/>
        <w:rPr>
          <w:rFonts w:ascii="Montserrat" w:hAnsi="Montserrat" w:cs="Arial"/>
          <w:sz w:val="22"/>
          <w:szCs w:val="22"/>
        </w:rPr>
      </w:pPr>
    </w:p>
    <w:p w14:paraId="59BA1644" w14:textId="77777777" w:rsidR="00F211D7" w:rsidRDefault="00F211D7" w:rsidP="006F5A63">
      <w:pPr>
        <w:jc w:val="both"/>
        <w:rPr>
          <w:rFonts w:ascii="Montserrat" w:hAnsi="Montserrat" w:cs="Arial"/>
          <w:sz w:val="22"/>
          <w:szCs w:val="22"/>
        </w:rPr>
      </w:pPr>
    </w:p>
    <w:p w14:paraId="0ADC1DC8" w14:textId="4B7B7165" w:rsidR="006F5A63" w:rsidRPr="00BC5FD6" w:rsidRDefault="006F5A63" w:rsidP="006F5A63">
      <w:pPr>
        <w:jc w:val="both"/>
        <w:rPr>
          <w:rFonts w:ascii="Montserrat" w:hAnsi="Montserrat" w:cs="Arial"/>
          <w:sz w:val="22"/>
          <w:szCs w:val="22"/>
        </w:rPr>
      </w:pPr>
      <w:r w:rsidRPr="00BC5FD6">
        <w:rPr>
          <w:rFonts w:ascii="Montserrat" w:hAnsi="Montserrat" w:cs="Arial"/>
          <w:sz w:val="22"/>
          <w:szCs w:val="22"/>
        </w:rPr>
        <w:t>De acuerdo con su antigüedad se representan de la manera siguiente:</w:t>
      </w:r>
    </w:p>
    <w:p w14:paraId="4D4AEFE3" w14:textId="77777777" w:rsidR="007F5B08" w:rsidRPr="00BC5FD6" w:rsidRDefault="007F5B08" w:rsidP="006F5A63">
      <w:pPr>
        <w:jc w:val="both"/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4928" w:type="pct"/>
        <w:tblInd w:w="-5" w:type="dxa"/>
        <w:tblLook w:val="04A0" w:firstRow="1" w:lastRow="0" w:firstColumn="1" w:lastColumn="0" w:noHBand="0" w:noVBand="1"/>
      </w:tblPr>
      <w:tblGrid>
        <w:gridCol w:w="1608"/>
        <w:gridCol w:w="2086"/>
        <w:gridCol w:w="2070"/>
        <w:gridCol w:w="3307"/>
      </w:tblGrid>
      <w:tr w:rsidR="006F5A63" w:rsidRPr="00BC5FD6" w14:paraId="5C33D08C" w14:textId="77777777" w:rsidTr="00522306">
        <w:tc>
          <w:tcPr>
            <w:tcW w:w="3177" w:type="pct"/>
            <w:gridSpan w:val="3"/>
            <w:shd w:val="clear" w:color="auto" w:fill="AEAAAA" w:themeFill="background2" w:themeFillShade="BF"/>
          </w:tcPr>
          <w:p w14:paraId="396F46F7" w14:textId="77777777" w:rsidR="006F5A63" w:rsidRPr="00BC5FD6" w:rsidRDefault="006F5A63" w:rsidP="003C1684">
            <w:pPr>
              <w:ind w:left="-284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Antigüedad</w:t>
            </w:r>
          </w:p>
        </w:tc>
        <w:tc>
          <w:tcPr>
            <w:tcW w:w="1823" w:type="pct"/>
            <w:vMerge w:val="restart"/>
            <w:shd w:val="clear" w:color="auto" w:fill="AEAAAA" w:themeFill="background2" w:themeFillShade="BF"/>
          </w:tcPr>
          <w:p w14:paraId="7D024C3E" w14:textId="5FC0641C" w:rsidR="006F5A63" w:rsidRPr="00BC5FD6" w:rsidRDefault="00681D8D" w:rsidP="003C1684">
            <w:pPr>
              <w:ind w:left="-284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 xml:space="preserve">    </w:t>
            </w:r>
            <w:r w:rsidR="006F5A63" w:rsidRPr="00BC5FD6">
              <w:rPr>
                <w:rFonts w:ascii="Montserrat" w:hAnsi="Montserrat" w:cs="Arial"/>
                <w:sz w:val="22"/>
                <w:szCs w:val="22"/>
              </w:rPr>
              <w:t>Total de observaciones pendientes de atender</w:t>
            </w:r>
          </w:p>
        </w:tc>
      </w:tr>
      <w:tr w:rsidR="006F5A63" w:rsidRPr="00BC5FD6" w14:paraId="33A8A243" w14:textId="77777777" w:rsidTr="00522306">
        <w:tc>
          <w:tcPr>
            <w:tcW w:w="886" w:type="pct"/>
            <w:shd w:val="clear" w:color="auto" w:fill="AEAAAA" w:themeFill="background2" w:themeFillShade="BF"/>
          </w:tcPr>
          <w:p w14:paraId="4AD46599" w14:textId="72CD6614" w:rsidR="006F5A63" w:rsidRPr="00BC5FD6" w:rsidRDefault="006F5A63" w:rsidP="00681D8D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Mayor a 18 meses</w:t>
            </w:r>
          </w:p>
        </w:tc>
        <w:tc>
          <w:tcPr>
            <w:tcW w:w="1150" w:type="pct"/>
            <w:shd w:val="clear" w:color="auto" w:fill="AEAAAA" w:themeFill="background2" w:themeFillShade="BF"/>
          </w:tcPr>
          <w:p w14:paraId="514A7726" w14:textId="77777777" w:rsidR="006F5A63" w:rsidRPr="00BC5FD6" w:rsidRDefault="006F5A63" w:rsidP="003C1684">
            <w:pPr>
              <w:ind w:left="-284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De 6 a 18 meses</w:t>
            </w:r>
          </w:p>
        </w:tc>
        <w:tc>
          <w:tcPr>
            <w:tcW w:w="1141" w:type="pct"/>
            <w:shd w:val="clear" w:color="auto" w:fill="AEAAAA" w:themeFill="background2" w:themeFillShade="BF"/>
          </w:tcPr>
          <w:p w14:paraId="30C9BB1B" w14:textId="77777777" w:rsidR="006F5A63" w:rsidRPr="00BC5FD6" w:rsidRDefault="006F5A63" w:rsidP="003C1684">
            <w:pPr>
              <w:ind w:left="-284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sz w:val="22"/>
                <w:szCs w:val="22"/>
              </w:rPr>
              <w:t>Menor a 6 meses</w:t>
            </w:r>
          </w:p>
        </w:tc>
        <w:tc>
          <w:tcPr>
            <w:tcW w:w="1823" w:type="pct"/>
            <w:vMerge/>
          </w:tcPr>
          <w:p w14:paraId="461BCD88" w14:textId="77777777" w:rsidR="006F5A63" w:rsidRPr="00BC5FD6" w:rsidRDefault="006F5A63" w:rsidP="003C1684">
            <w:pPr>
              <w:ind w:left="-284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6F5A63" w:rsidRPr="00BC5FD6" w14:paraId="36DC5DC9" w14:textId="77777777" w:rsidTr="00522306">
        <w:trPr>
          <w:trHeight w:val="410"/>
        </w:trPr>
        <w:tc>
          <w:tcPr>
            <w:tcW w:w="886" w:type="pct"/>
            <w:vAlign w:val="center"/>
          </w:tcPr>
          <w:p w14:paraId="6765C598" w14:textId="77777777" w:rsidR="006F5A63" w:rsidRPr="00BC5FD6" w:rsidRDefault="006F5A63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BC5FD6">
              <w:rPr>
                <w:rFonts w:ascii="Montserrat" w:hAnsi="Montserrat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pct"/>
            <w:vAlign w:val="center"/>
          </w:tcPr>
          <w:p w14:paraId="465A4F94" w14:textId="463A9186" w:rsidR="006F5A63" w:rsidRPr="00BC5FD6" w:rsidRDefault="00560CEB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1" w:type="pct"/>
            <w:vAlign w:val="center"/>
          </w:tcPr>
          <w:p w14:paraId="11ABC82B" w14:textId="6B347AD0" w:rsidR="006F5A63" w:rsidRPr="00BC5FD6" w:rsidRDefault="00560CEB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23" w:type="pct"/>
            <w:vAlign w:val="center"/>
          </w:tcPr>
          <w:p w14:paraId="062AE694" w14:textId="74710CE7" w:rsidR="006F5A63" w:rsidRPr="00BC5FD6" w:rsidRDefault="00560CEB" w:rsidP="003C1684">
            <w:pPr>
              <w:ind w:left="-284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</w:rPr>
              <w:t>6</w:t>
            </w:r>
          </w:p>
        </w:tc>
      </w:tr>
    </w:tbl>
    <w:p w14:paraId="2129C212" w14:textId="77777777" w:rsidR="00F211D7" w:rsidRDefault="00F211D7" w:rsidP="00681D8D">
      <w:pPr>
        <w:jc w:val="both"/>
        <w:rPr>
          <w:rFonts w:ascii="Montserrat" w:hAnsi="Montserrat" w:cs="Arial"/>
          <w:sz w:val="22"/>
          <w:szCs w:val="22"/>
        </w:rPr>
      </w:pPr>
    </w:p>
    <w:p w14:paraId="6087CA6D" w14:textId="77777777" w:rsidR="00560CEB" w:rsidRDefault="00560CEB" w:rsidP="00681D8D">
      <w:pPr>
        <w:jc w:val="both"/>
        <w:rPr>
          <w:rFonts w:ascii="Montserrat" w:hAnsi="Montserrat" w:cs="Arial"/>
          <w:sz w:val="22"/>
          <w:szCs w:val="22"/>
        </w:rPr>
      </w:pPr>
    </w:p>
    <w:p w14:paraId="27D1112D" w14:textId="46DF7E17" w:rsidR="008B1351" w:rsidRDefault="008B1351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06F50C6E" w14:textId="01EA83CC" w:rsidR="007549DF" w:rsidRDefault="007549DF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1CCEE68E" w14:textId="77777777" w:rsidR="007549DF" w:rsidRPr="00BC5FD6" w:rsidRDefault="007549DF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671058A5" w14:textId="77777777" w:rsidR="00C65D23" w:rsidRPr="00BC5FD6" w:rsidRDefault="00C65D23" w:rsidP="009A729C">
      <w:pPr>
        <w:jc w:val="both"/>
        <w:rPr>
          <w:rFonts w:ascii="Montserrat" w:hAnsi="Montserrat" w:cs="Arial"/>
          <w:b/>
          <w:sz w:val="22"/>
          <w:szCs w:val="22"/>
        </w:rPr>
      </w:pPr>
      <w:r w:rsidRPr="00087B20">
        <w:rPr>
          <w:rFonts w:ascii="Montserrat" w:hAnsi="Montserrat" w:cs="Arial"/>
          <w:b/>
          <w:sz w:val="22"/>
          <w:szCs w:val="22"/>
        </w:rPr>
        <w:lastRenderedPageBreak/>
        <w:t>ASUNTOS</w:t>
      </w:r>
      <w:r w:rsidRPr="00BC5FD6">
        <w:rPr>
          <w:rFonts w:ascii="Montserrat" w:hAnsi="Montserrat" w:cs="Arial"/>
          <w:b/>
          <w:sz w:val="22"/>
          <w:szCs w:val="22"/>
        </w:rPr>
        <w:t xml:space="preserve"> DE QUEJAS Y DENUNCIAS</w:t>
      </w:r>
    </w:p>
    <w:p w14:paraId="7925AD0C" w14:textId="77777777" w:rsidR="00C65D23" w:rsidRPr="00BC5FD6" w:rsidRDefault="00C65D23" w:rsidP="009A729C">
      <w:pPr>
        <w:jc w:val="both"/>
        <w:rPr>
          <w:rFonts w:ascii="Montserrat" w:hAnsi="Montserrat" w:cs="Arial"/>
          <w:b/>
          <w:sz w:val="22"/>
          <w:szCs w:val="22"/>
        </w:rPr>
      </w:pPr>
    </w:p>
    <w:p w14:paraId="4E251BDC" w14:textId="60CE7507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Al inicio del ejercicio 202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3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se tenía un inventario de </w:t>
      </w:r>
      <w:r w:rsidR="00066C26">
        <w:rPr>
          <w:rFonts w:ascii="Montserrat" w:eastAsia="Times New Roman" w:hAnsi="Montserrat" w:cs="Arial"/>
          <w:sz w:val="22"/>
          <w:szCs w:val="22"/>
          <w:lang w:val="es-ES" w:eastAsia="es-ES"/>
        </w:rPr>
        <w:t>3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asuntos. Durante el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primer semestre del presente 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ejercicio se recibieron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4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denuncias, haciendo un total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de 7 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denuncias.</w:t>
      </w:r>
    </w:p>
    <w:p w14:paraId="00AAA350" w14:textId="77777777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</w:p>
    <w:p w14:paraId="2D47E61E" w14:textId="641A39F1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softHyphen/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softHyphen/>
        <w:t xml:space="preserve">Del total acumulado se concluyeron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4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denuncias</w:t>
      </w:r>
      <w:r w:rsidR="00C22801"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: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1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mediante acuerdo de archivo por falta de elementos y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3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mediante Informe de Presunta Responsabilidad Administrativa.</w:t>
      </w:r>
    </w:p>
    <w:p w14:paraId="3A53CD44" w14:textId="77777777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</w:p>
    <w:p w14:paraId="3BF669CE" w14:textId="6DBD91F9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Por lo que, al cierre del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primer semestre del 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ejercicio 202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3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se encuentran 3 asuntos en etapa de investigación (los 3 corresponden a 202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3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).</w:t>
      </w:r>
    </w:p>
    <w:p w14:paraId="7745D98D" w14:textId="77777777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</w:p>
    <w:p w14:paraId="4DB7EEA2" w14:textId="77777777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Cabe señalar que los asuntos en trámite conciernen a hechos que derivan de presuntas infracciones a procesos ubicados en diversas áreas:</w:t>
      </w:r>
    </w:p>
    <w:p w14:paraId="5BEE5CB2" w14:textId="74F1D4EE" w:rsidR="00E40A71" w:rsidRPr="00BC5FD6" w:rsidRDefault="008C0392" w:rsidP="00E40A71">
      <w:pPr>
        <w:numPr>
          <w:ilvl w:val="0"/>
          <w:numId w:val="5"/>
        </w:numPr>
        <w:contextualSpacing/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>
        <w:rPr>
          <w:rFonts w:ascii="Montserrat" w:eastAsia="Times New Roman" w:hAnsi="Montserrat" w:cs="Arial"/>
          <w:sz w:val="22"/>
          <w:szCs w:val="22"/>
          <w:lang w:val="es-ES" w:eastAsia="es-ES"/>
        </w:rPr>
        <w:t>1</w:t>
      </w:r>
      <w:r w:rsidR="00E40A71"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denuncia incide en el Área Académica.</w:t>
      </w:r>
    </w:p>
    <w:p w14:paraId="3A79ED58" w14:textId="77777777" w:rsidR="008C0392" w:rsidRDefault="00E40A71" w:rsidP="00E40A71">
      <w:pPr>
        <w:numPr>
          <w:ilvl w:val="0"/>
          <w:numId w:val="5"/>
        </w:numPr>
        <w:contextualSpacing/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1 denuncia incide en el Área de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Posgrado.</w:t>
      </w:r>
    </w:p>
    <w:p w14:paraId="62670888" w14:textId="0C866DB5" w:rsidR="00E40A71" w:rsidRPr="008C0392" w:rsidRDefault="008C0392" w:rsidP="008C0392">
      <w:pPr>
        <w:numPr>
          <w:ilvl w:val="0"/>
          <w:numId w:val="5"/>
        </w:numPr>
        <w:contextualSpacing/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1 denuncia incide en el Área </w:t>
      </w:r>
      <w:r w:rsidR="00E40A71"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Administra</w:t>
      </w:r>
      <w:r>
        <w:rPr>
          <w:rFonts w:ascii="Montserrat" w:eastAsia="Times New Roman" w:hAnsi="Montserrat" w:cs="Arial"/>
          <w:sz w:val="22"/>
          <w:szCs w:val="22"/>
          <w:lang w:val="es-ES" w:eastAsia="es-ES"/>
        </w:rPr>
        <w:t>tiva</w:t>
      </w:r>
      <w:r w:rsidR="00E40A71" w:rsidRPr="008C0392">
        <w:rPr>
          <w:rFonts w:ascii="Montserrat" w:eastAsia="Times New Roman" w:hAnsi="Montserrat" w:cs="Arial"/>
          <w:sz w:val="22"/>
          <w:szCs w:val="22"/>
          <w:lang w:val="es-ES" w:eastAsia="es-ES"/>
        </w:rPr>
        <w:t>.</w:t>
      </w:r>
    </w:p>
    <w:p w14:paraId="25BF2A84" w14:textId="77777777" w:rsidR="00E40A71" w:rsidRPr="00BC5FD6" w:rsidRDefault="00E40A71" w:rsidP="00E40A71">
      <w:pPr>
        <w:contextualSpacing/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</w:p>
    <w:p w14:paraId="31CECD04" w14:textId="77777777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El total de los asuntos se refleja estadísticamente de la siguiente manera:</w:t>
      </w:r>
    </w:p>
    <w:p w14:paraId="659BDBBB" w14:textId="77777777" w:rsidR="00E40A71" w:rsidRPr="00BC5FD6" w:rsidRDefault="00E40A71" w:rsidP="00E40A71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193"/>
        <w:gridCol w:w="1197"/>
        <w:gridCol w:w="1522"/>
        <w:gridCol w:w="1441"/>
        <w:gridCol w:w="1417"/>
        <w:gridCol w:w="1550"/>
      </w:tblGrid>
      <w:tr w:rsidR="008C0392" w:rsidRPr="00BC5FD6" w14:paraId="175A4646" w14:textId="77777777" w:rsidTr="00087B20">
        <w:trPr>
          <w:trHeight w:val="271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98780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ASUNTO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B87861" w14:textId="38BDEE7D" w:rsidR="008C0392" w:rsidRPr="00BC5FD6" w:rsidRDefault="008C0392" w:rsidP="003C1684">
            <w:pPr>
              <w:jc w:val="center"/>
              <w:rPr>
                <w:rFonts w:ascii="Montserrat" w:hAnsi="Montserrat"/>
                <w:b/>
                <w:sz w:val="12"/>
                <w:szCs w:val="12"/>
                <w:lang w:val="es-ES" w:eastAsia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ASUNTOS DEL AÑO 202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2</w:t>
            </w: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F081E" w14:textId="23E814D6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RECIBIDAS DEL 01/01 AL 3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0</w:t>
            </w: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/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06</w:t>
            </w: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/202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3</w:t>
            </w:r>
          </w:p>
        </w:tc>
        <w:tc>
          <w:tcPr>
            <w:tcW w:w="8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72970" w14:textId="689FA069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ACUMULADAS AL 3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0</w:t>
            </w: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/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06</w:t>
            </w: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/202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3</w:t>
            </w:r>
          </w:p>
        </w:tc>
        <w:tc>
          <w:tcPr>
            <w:tcW w:w="2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6C8E" w14:textId="582EB86E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SITUACIÓN AL 3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0</w:t>
            </w: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/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06</w:t>
            </w: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/202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3</w:t>
            </w:r>
          </w:p>
        </w:tc>
      </w:tr>
      <w:tr w:rsidR="008C0392" w:rsidRPr="00BC5FD6" w14:paraId="3AFC3412" w14:textId="77777777" w:rsidTr="00087B20">
        <w:trPr>
          <w:trHeight w:val="56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83A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AAB" w14:textId="77777777" w:rsidR="008C0392" w:rsidRPr="00BC5FD6" w:rsidRDefault="008C0392" w:rsidP="003C1684">
            <w:pPr>
              <w:jc w:val="center"/>
              <w:rPr>
                <w:rFonts w:ascii="Montserrat" w:hAnsi="Montserrat"/>
                <w:sz w:val="12"/>
                <w:szCs w:val="12"/>
                <w:lang w:val="es-ES" w:eastAsia="es-E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CD4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82A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C11C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 xml:space="preserve">CONCLUIDAS POR FALTA DE ELEMENTOS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1E73" w14:textId="75026AAD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TURNADAS A RESPONSABI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-LI</w:t>
            </w: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DADES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DBFF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 xml:space="preserve">EN </w:t>
            </w:r>
          </w:p>
          <w:p w14:paraId="58852EFC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 xml:space="preserve"> </w:t>
            </w:r>
          </w:p>
          <w:p w14:paraId="4A1FA4A5" w14:textId="7628CF72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INVESTIGACI</w:t>
            </w:r>
            <w:r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Ó</w:t>
            </w: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lang w:val="es-ES" w:eastAsia="es-ES"/>
              </w:rPr>
              <w:t>N</w:t>
            </w:r>
          </w:p>
        </w:tc>
      </w:tr>
      <w:tr w:rsidR="008C0392" w:rsidRPr="00BC5FD6" w14:paraId="668725CC" w14:textId="77777777" w:rsidTr="00087B20">
        <w:trPr>
          <w:trHeight w:val="148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601E" w14:textId="77777777" w:rsidR="008C0392" w:rsidRPr="00BC5FD6" w:rsidRDefault="008C0392" w:rsidP="003C1684">
            <w:pPr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  <w:t>Quejas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95E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</w:pPr>
            <w:r w:rsidRPr="00BC5FD6"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FB5" w14:textId="77777777" w:rsidR="008C0392" w:rsidRPr="00F211D7" w:rsidRDefault="008C0392" w:rsidP="003C1684">
            <w:pPr>
              <w:jc w:val="center"/>
              <w:rPr>
                <w:rFonts w:ascii="Montserrat" w:eastAsia="Times New Roman" w:hAnsi="Montserrat" w:cs="Arial"/>
                <w:bCs/>
                <w:sz w:val="12"/>
                <w:szCs w:val="12"/>
                <w:lang w:val="es-ES" w:eastAsia="es-ES"/>
              </w:rPr>
            </w:pPr>
            <w:r w:rsidRPr="00F211D7">
              <w:rPr>
                <w:rFonts w:ascii="Montserrat" w:eastAsia="Times New Roman" w:hAnsi="Montserrat" w:cs="Arial"/>
                <w:bCs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450" w14:textId="77777777" w:rsidR="008C0392" w:rsidRPr="00F211D7" w:rsidRDefault="008C0392" w:rsidP="003C1684">
            <w:pPr>
              <w:jc w:val="center"/>
              <w:rPr>
                <w:rFonts w:ascii="Montserrat" w:eastAsia="Times New Roman" w:hAnsi="Montserrat" w:cs="Arial"/>
                <w:bCs/>
                <w:sz w:val="12"/>
                <w:szCs w:val="12"/>
                <w:lang w:val="es-ES" w:eastAsia="es-ES"/>
              </w:rPr>
            </w:pPr>
            <w:r w:rsidRPr="00F211D7">
              <w:rPr>
                <w:rFonts w:ascii="Montserrat" w:eastAsia="Times New Roman" w:hAnsi="Montserrat" w:cs="Arial"/>
                <w:bCs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C793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02F5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3F74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  <w:t>0</w:t>
            </w:r>
          </w:p>
        </w:tc>
      </w:tr>
      <w:tr w:rsidR="008C0392" w:rsidRPr="00BC5FD6" w14:paraId="7460BBB6" w14:textId="77777777" w:rsidTr="00087B20">
        <w:trPr>
          <w:trHeight w:val="13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E916" w14:textId="77777777" w:rsidR="008C0392" w:rsidRPr="00BC5FD6" w:rsidRDefault="008C0392" w:rsidP="003C1684">
            <w:pPr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  <w:t>Denuncias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531" w14:textId="7B4A4186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</w:pPr>
            <w:r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FDE" w14:textId="164CFB98" w:rsidR="008C0392" w:rsidRPr="00F211D7" w:rsidRDefault="008C0392" w:rsidP="003C1684">
            <w:pPr>
              <w:jc w:val="center"/>
              <w:rPr>
                <w:rFonts w:ascii="Montserrat" w:eastAsia="Times New Roman" w:hAnsi="Montserrat" w:cs="Arial"/>
                <w:bCs/>
                <w:sz w:val="12"/>
                <w:szCs w:val="12"/>
                <w:lang w:val="es-ES" w:eastAsia="es-ES"/>
              </w:rPr>
            </w:pPr>
            <w:r>
              <w:rPr>
                <w:rFonts w:ascii="Montserrat" w:eastAsia="Times New Roman" w:hAnsi="Montserrat" w:cs="Arial"/>
                <w:bCs/>
                <w:sz w:val="12"/>
                <w:szCs w:val="12"/>
                <w:lang w:val="es-ES" w:eastAsia="es-ES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CE3" w14:textId="26F25B1E" w:rsidR="008C0392" w:rsidRPr="00F211D7" w:rsidRDefault="008C0392" w:rsidP="003C1684">
            <w:pPr>
              <w:jc w:val="center"/>
              <w:rPr>
                <w:rFonts w:ascii="Montserrat" w:eastAsia="Times New Roman" w:hAnsi="Montserrat" w:cs="Arial"/>
                <w:bCs/>
                <w:sz w:val="12"/>
                <w:szCs w:val="12"/>
                <w:lang w:val="es-ES" w:eastAsia="es-ES"/>
              </w:rPr>
            </w:pPr>
            <w:r>
              <w:rPr>
                <w:rFonts w:ascii="Montserrat" w:eastAsia="Times New Roman" w:hAnsi="Montserrat" w:cs="Arial"/>
                <w:bCs/>
                <w:sz w:val="12"/>
                <w:szCs w:val="12"/>
                <w:lang w:val="es-ES" w:eastAsia="es-ES"/>
              </w:rPr>
              <w:t>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84DE" w14:textId="518AA80F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21C6" w14:textId="4BBEF958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7CB3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  <w:t>3</w:t>
            </w:r>
          </w:p>
        </w:tc>
      </w:tr>
      <w:tr w:rsidR="008C0392" w:rsidRPr="00BC5FD6" w14:paraId="779F5108" w14:textId="77777777" w:rsidTr="00087B20">
        <w:trPr>
          <w:trHeight w:val="26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2968" w14:textId="77777777" w:rsidR="008C0392" w:rsidRPr="00BC5FD6" w:rsidRDefault="008C0392" w:rsidP="003C1684">
            <w:pPr>
              <w:rPr>
                <w:rFonts w:ascii="Montserrat" w:eastAsia="Times New Roman" w:hAnsi="Montserrat" w:cs="Arial"/>
                <w:sz w:val="12"/>
                <w:szCs w:val="12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sz w:val="12"/>
                <w:szCs w:val="12"/>
                <w:lang w:val="es-ES" w:eastAsia="es-ES"/>
              </w:rPr>
              <w:t>Totales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5F6" w14:textId="7EF06BC6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 w:eastAsia="es-ES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10C" w14:textId="573D4AF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 w:eastAsia="es-ES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BAA" w14:textId="688E3914" w:rsidR="008C0392" w:rsidRPr="00BC5FD6" w:rsidRDefault="008C0392" w:rsidP="008C0392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 w:eastAsia="es-ES"/>
              </w:rPr>
              <w:t>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EE96" w14:textId="699760E6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C491" w14:textId="10A08726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9A82" w14:textId="77777777" w:rsidR="008C0392" w:rsidRPr="00BC5FD6" w:rsidRDefault="008C0392" w:rsidP="003C1684">
            <w:pPr>
              <w:jc w:val="center"/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/>
              </w:rPr>
            </w:pPr>
            <w:r w:rsidRPr="00BC5FD6">
              <w:rPr>
                <w:rFonts w:ascii="Montserrat" w:eastAsia="Times New Roman" w:hAnsi="Montserrat" w:cs="Arial"/>
                <w:b/>
                <w:sz w:val="12"/>
                <w:szCs w:val="12"/>
                <w:u w:val="single"/>
                <w:lang w:val="es-ES"/>
              </w:rPr>
              <w:t>3</w:t>
            </w:r>
          </w:p>
        </w:tc>
      </w:tr>
    </w:tbl>
    <w:p w14:paraId="3D94B7D9" w14:textId="77777777" w:rsidR="00F8636F" w:rsidRPr="00BC5FD6" w:rsidRDefault="00F8636F" w:rsidP="009A729C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</w:p>
    <w:p w14:paraId="08F4C9E0" w14:textId="77777777" w:rsidR="00C65D23" w:rsidRPr="00BC5FD6" w:rsidRDefault="00C65D23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BC5FD6">
        <w:rPr>
          <w:rFonts w:ascii="Montserrat" w:eastAsia="Calibri" w:hAnsi="Montserrat" w:cs="Times New Roman"/>
          <w:b/>
          <w:bCs/>
          <w:sz w:val="22"/>
          <w:szCs w:val="22"/>
        </w:rPr>
        <w:t>INCONFORMIDADES</w:t>
      </w:r>
    </w:p>
    <w:p w14:paraId="31F14668" w14:textId="2D669D8F" w:rsidR="00C65D23" w:rsidRPr="00BC5FD6" w:rsidRDefault="00C65D23" w:rsidP="009A729C">
      <w:pPr>
        <w:jc w:val="both"/>
        <w:rPr>
          <w:rFonts w:ascii="Montserrat" w:hAnsi="Montserrat" w:cs="Arial"/>
          <w:sz w:val="22"/>
          <w:szCs w:val="22"/>
        </w:rPr>
      </w:pPr>
      <w:r w:rsidRPr="00BC5FD6">
        <w:rPr>
          <w:rFonts w:ascii="Montserrat" w:hAnsi="Montserrat" w:cs="Arial"/>
          <w:sz w:val="22"/>
          <w:szCs w:val="22"/>
        </w:rPr>
        <w:t xml:space="preserve">Durante el </w:t>
      </w:r>
      <w:r w:rsidR="008C0392">
        <w:rPr>
          <w:rFonts w:ascii="Montserrat" w:hAnsi="Montserrat" w:cs="Arial"/>
          <w:sz w:val="22"/>
          <w:szCs w:val="22"/>
        </w:rPr>
        <w:t xml:space="preserve">primer semestre del </w:t>
      </w:r>
      <w:r w:rsidRPr="00BC5FD6">
        <w:rPr>
          <w:rFonts w:ascii="Montserrat" w:hAnsi="Montserrat" w:cs="Arial"/>
          <w:sz w:val="22"/>
          <w:szCs w:val="22"/>
        </w:rPr>
        <w:t>ejercicio 202</w:t>
      </w:r>
      <w:r w:rsidR="008C0392">
        <w:rPr>
          <w:rFonts w:ascii="Montserrat" w:hAnsi="Montserrat" w:cs="Arial"/>
          <w:sz w:val="22"/>
          <w:szCs w:val="22"/>
        </w:rPr>
        <w:t>3</w:t>
      </w:r>
      <w:r w:rsidRPr="00BC5FD6">
        <w:rPr>
          <w:rFonts w:ascii="Montserrat" w:hAnsi="Montserrat" w:cs="Arial"/>
          <w:sz w:val="22"/>
          <w:szCs w:val="22"/>
        </w:rPr>
        <w:t>, no se presentaron asuntos de esta naturaleza.</w:t>
      </w:r>
    </w:p>
    <w:p w14:paraId="1026C7D2" w14:textId="77777777" w:rsidR="00C65D23" w:rsidRPr="00BC5FD6" w:rsidRDefault="00C65D23" w:rsidP="009A729C">
      <w:pPr>
        <w:jc w:val="both"/>
        <w:rPr>
          <w:rFonts w:ascii="Montserrat" w:eastAsia="Times New Roman" w:hAnsi="Montserrat" w:cs="Arial"/>
          <w:sz w:val="22"/>
          <w:szCs w:val="22"/>
          <w:lang w:eastAsia="es-ES"/>
        </w:rPr>
      </w:pPr>
    </w:p>
    <w:p w14:paraId="3ACC7411" w14:textId="77777777" w:rsidR="00C65D23" w:rsidRPr="00BC5FD6" w:rsidRDefault="00C65D23" w:rsidP="009A729C">
      <w:pPr>
        <w:rPr>
          <w:rFonts w:ascii="Montserrat" w:hAnsi="Montserrat"/>
          <w:sz w:val="22"/>
          <w:szCs w:val="22"/>
        </w:rPr>
      </w:pPr>
      <w:r w:rsidRPr="00BC5FD6">
        <w:rPr>
          <w:rFonts w:ascii="Montserrat" w:hAnsi="Montserrat" w:cs="Arial"/>
          <w:b/>
          <w:sz w:val="22"/>
          <w:szCs w:val="22"/>
        </w:rPr>
        <w:t>ASUNTOS DE RESPONSABILIDADES</w:t>
      </w:r>
    </w:p>
    <w:p w14:paraId="508D9388" w14:textId="6D11B758" w:rsidR="00C65D23" w:rsidRPr="00BC5FD6" w:rsidRDefault="00C65D23" w:rsidP="009A729C">
      <w:pPr>
        <w:jc w:val="both"/>
        <w:rPr>
          <w:rFonts w:ascii="Montserrat" w:eastAsia="Times New Roman" w:hAnsi="Montserrat" w:cs="Arial"/>
          <w:sz w:val="22"/>
          <w:szCs w:val="22"/>
          <w:lang w:val="es-ES" w:eastAsia="es-ES"/>
        </w:rPr>
      </w:pP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Los asuntos que derivan en Informe de Presunta Responsabilidad Administrativa son remitidos al Órgano Interno de Control del Consejo Nacional de 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Humanidades, 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Ciencia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s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y Tecnología</w:t>
      </w:r>
      <w:r w:rsidR="008C0392">
        <w:rPr>
          <w:rFonts w:ascii="Montserrat" w:eastAsia="Times New Roman" w:hAnsi="Montserrat" w:cs="Arial"/>
          <w:sz w:val="22"/>
          <w:szCs w:val="22"/>
          <w:lang w:val="es-ES" w:eastAsia="es-ES"/>
        </w:rPr>
        <w:t>s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de conformidad a lo establecido en el Acuerdo por el que se encomienda el ejercicio de las facultades que se indican a los titulares de los órganos internos de control en el Consejo Nacional de Ciencia y Tecnología y en la Secretaría de Gobernación, publicado en el Diario Oficial de la Federación el 19 de octubre de 2018</w:t>
      </w:r>
      <w:r w:rsidR="00F15C1A"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, al carecer de Titulares de Área</w:t>
      </w:r>
      <w:r w:rsidRPr="00BC5FD6">
        <w:rPr>
          <w:rFonts w:ascii="Montserrat" w:eastAsia="Times New Roman" w:hAnsi="Montserrat" w:cs="Arial"/>
          <w:sz w:val="22"/>
          <w:szCs w:val="22"/>
          <w:lang w:val="es-ES" w:eastAsia="es-ES"/>
        </w:rPr>
        <w:t>. Por lo que este ente fiscalizador no cuenta con asuntos de esta índole.</w:t>
      </w:r>
    </w:p>
    <w:p w14:paraId="7677A560" w14:textId="5BB38F5F" w:rsidR="00C65D23" w:rsidRDefault="00C65D23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129018A4" w14:textId="19A29958" w:rsidR="008C0392" w:rsidRDefault="008C0392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0DE171EE" w14:textId="77777777" w:rsidR="00087B20" w:rsidRDefault="00087B20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5C15B83B" w14:textId="77777777" w:rsidR="008C0392" w:rsidRPr="00BC5FD6" w:rsidRDefault="008C0392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4A59C917" w14:textId="13B23954" w:rsidR="00292DF8" w:rsidRPr="00BC5FD6" w:rsidRDefault="00292DF8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BC5FD6">
        <w:rPr>
          <w:rFonts w:ascii="Montserrat" w:eastAsia="Calibri" w:hAnsi="Montserrat" w:cs="Times New Roman"/>
          <w:b/>
          <w:bCs/>
          <w:sz w:val="22"/>
          <w:szCs w:val="22"/>
        </w:rPr>
        <w:lastRenderedPageBreak/>
        <w:t>DESARROLLO Y MEJORA DE LA GESTIÓN PÚBLICA</w:t>
      </w:r>
    </w:p>
    <w:p w14:paraId="718441C2" w14:textId="77777777" w:rsidR="00292DF8" w:rsidRPr="00BC5FD6" w:rsidRDefault="00292DF8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79DB9779" w14:textId="77777777" w:rsidR="00292DF8" w:rsidRPr="00BC5FD6" w:rsidRDefault="00292DF8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>SISTEMA DE CONTROL INTERNO INSTITUCIONAL (SCII).</w:t>
      </w:r>
    </w:p>
    <w:p w14:paraId="76E67DD4" w14:textId="4C1AC673" w:rsidR="00BB2149" w:rsidRPr="00BC5FD6" w:rsidRDefault="00BB2149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>El Informe de Resultados de la Evaluación al SCII correspondiente al ejercicio 202</w:t>
      </w:r>
      <w:r w:rsidR="008C0392">
        <w:rPr>
          <w:rFonts w:ascii="Montserrat" w:eastAsia="Calibri" w:hAnsi="Montserrat" w:cs="Times New Roman"/>
          <w:sz w:val="22"/>
          <w:szCs w:val="22"/>
        </w:rPr>
        <w:t>3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se emitió de manera oportuna, observándose un grado de madurez intermedio en la aplicación metodológica de evaluación y </w:t>
      </w:r>
      <w:r w:rsidR="00474E08">
        <w:rPr>
          <w:rFonts w:ascii="Montserrat" w:eastAsia="Calibri" w:hAnsi="Montserrat" w:cs="Times New Roman"/>
          <w:sz w:val="22"/>
          <w:szCs w:val="22"/>
        </w:rPr>
        <w:t xml:space="preserve">en </w:t>
      </w:r>
      <w:r w:rsidRPr="00BC5FD6">
        <w:rPr>
          <w:rFonts w:ascii="Montserrat" w:eastAsia="Calibri" w:hAnsi="Montserrat" w:cs="Times New Roman"/>
          <w:sz w:val="22"/>
          <w:szCs w:val="22"/>
        </w:rPr>
        <w:t>el cumplimiento de los Programas de Trabajo de Control Interno y Administración de Riesgos (PTCI y PTAR)</w:t>
      </w:r>
      <w:r w:rsidR="00474E08">
        <w:rPr>
          <w:rFonts w:ascii="Montserrat" w:eastAsia="Calibri" w:hAnsi="Montserrat" w:cs="Times New Roman"/>
          <w:sz w:val="22"/>
          <w:szCs w:val="22"/>
        </w:rPr>
        <w:t>,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emitiéndose las conclusiones y recomendaciones respectivas.</w:t>
      </w:r>
    </w:p>
    <w:p w14:paraId="03761F03" w14:textId="77777777" w:rsidR="00BB2149" w:rsidRPr="00BC5FD6" w:rsidRDefault="00BB2149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6FB03709" w14:textId="3E42D45E" w:rsidR="00BB2149" w:rsidRDefault="00BB2149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>Los informes de la evaluación al reporte de avances relativos al primer y segundo trimestre del PTCI y PTAR 202</w:t>
      </w:r>
      <w:r w:rsidR="008C0392">
        <w:rPr>
          <w:rFonts w:ascii="Montserrat" w:eastAsia="Calibri" w:hAnsi="Montserrat" w:cs="Times New Roman"/>
          <w:sz w:val="22"/>
          <w:szCs w:val="22"/>
        </w:rPr>
        <w:t>3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fueron emitidos de manera oportuna</w:t>
      </w:r>
      <w:r w:rsidR="008C0392">
        <w:rPr>
          <w:rFonts w:ascii="Montserrat" w:eastAsia="Calibri" w:hAnsi="Montserrat" w:cs="Times New Roman"/>
          <w:sz w:val="22"/>
          <w:szCs w:val="22"/>
        </w:rPr>
        <w:t xml:space="preserve">, desprendiéndose </w:t>
      </w:r>
      <w:r w:rsidRPr="00BC5FD6">
        <w:rPr>
          <w:rFonts w:ascii="Montserrat" w:eastAsia="Calibri" w:hAnsi="Montserrat" w:cs="Times New Roman"/>
          <w:sz w:val="22"/>
          <w:szCs w:val="22"/>
        </w:rPr>
        <w:t>lo siguiente:</w:t>
      </w:r>
    </w:p>
    <w:p w14:paraId="56DAD375" w14:textId="77777777" w:rsidR="00F211D7" w:rsidRPr="00BC5FD6" w:rsidRDefault="00F211D7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61DDCA95" w14:textId="4022E9D1" w:rsidR="00BB2149" w:rsidRPr="00BC5FD6" w:rsidRDefault="00BB2149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 xml:space="preserve"> -En cuánto al PTCI, de las 8</w:t>
      </w:r>
      <w:r w:rsidR="001B1BAD">
        <w:rPr>
          <w:rFonts w:ascii="Montserrat" w:eastAsia="Calibri" w:hAnsi="Montserrat" w:cs="Times New Roman"/>
          <w:sz w:val="22"/>
          <w:szCs w:val="22"/>
        </w:rPr>
        <w:t>5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acciones de mejora comprometidas, en términos porcentuales </w:t>
      </w:r>
      <w:r w:rsidR="008C0392">
        <w:rPr>
          <w:rFonts w:ascii="Montserrat" w:eastAsia="Calibri" w:hAnsi="Montserrat" w:cs="Times New Roman"/>
          <w:sz w:val="22"/>
          <w:szCs w:val="22"/>
        </w:rPr>
        <w:t>se tiene un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cumplimiento del </w:t>
      </w:r>
      <w:r w:rsidR="001B1BAD">
        <w:rPr>
          <w:rFonts w:ascii="Montserrat" w:eastAsia="Calibri" w:hAnsi="Montserrat" w:cs="Times New Roman"/>
          <w:sz w:val="22"/>
          <w:szCs w:val="22"/>
        </w:rPr>
        <w:t>77</w:t>
      </w:r>
      <w:r w:rsidRPr="00BC5FD6">
        <w:rPr>
          <w:rFonts w:ascii="Montserrat" w:eastAsia="Calibri" w:hAnsi="Montserrat" w:cs="Times New Roman"/>
          <w:sz w:val="22"/>
          <w:szCs w:val="22"/>
        </w:rPr>
        <w:t>%, en base a las evidencias proporcionadas</w:t>
      </w:r>
      <w:r w:rsidR="008C0392">
        <w:rPr>
          <w:rFonts w:ascii="Montserrat" w:eastAsia="Calibri" w:hAnsi="Montserrat" w:cs="Times New Roman"/>
          <w:sz w:val="22"/>
          <w:szCs w:val="22"/>
        </w:rPr>
        <w:t>.</w:t>
      </w:r>
    </w:p>
    <w:p w14:paraId="14B1B0B7" w14:textId="77777777" w:rsidR="00BB2149" w:rsidRPr="00BC5FD6" w:rsidRDefault="00BB2149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7FD5163F" w14:textId="4413A161" w:rsidR="00BB2149" w:rsidRDefault="00BB2149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 xml:space="preserve">- Respecto del PTAR, de las </w:t>
      </w:r>
      <w:r w:rsidR="001B1BAD">
        <w:rPr>
          <w:rFonts w:ascii="Montserrat" w:eastAsia="Calibri" w:hAnsi="Montserrat" w:cs="Times New Roman"/>
          <w:sz w:val="22"/>
          <w:szCs w:val="22"/>
        </w:rPr>
        <w:t>9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acciones de control comprometidas, en términos porcentuales </w:t>
      </w:r>
      <w:r w:rsidR="008C0392">
        <w:rPr>
          <w:rFonts w:ascii="Montserrat" w:eastAsia="Calibri" w:hAnsi="Montserrat" w:cs="Times New Roman"/>
          <w:sz w:val="22"/>
          <w:szCs w:val="22"/>
        </w:rPr>
        <w:t xml:space="preserve">se tiene 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un cumplimiento del </w:t>
      </w:r>
      <w:r w:rsidR="001B1BAD">
        <w:rPr>
          <w:rFonts w:ascii="Montserrat" w:eastAsia="Calibri" w:hAnsi="Montserrat" w:cs="Times New Roman"/>
          <w:sz w:val="22"/>
          <w:szCs w:val="22"/>
        </w:rPr>
        <w:t>61</w:t>
      </w:r>
      <w:r w:rsidRPr="00BC5FD6">
        <w:rPr>
          <w:rFonts w:ascii="Montserrat" w:eastAsia="Calibri" w:hAnsi="Montserrat" w:cs="Times New Roman"/>
          <w:sz w:val="22"/>
          <w:szCs w:val="22"/>
        </w:rPr>
        <w:t>%</w:t>
      </w:r>
      <w:r w:rsidRPr="00BC5FD6">
        <w:rPr>
          <w:rFonts w:ascii="Montserrat" w:hAnsi="Montserrat"/>
          <w:sz w:val="22"/>
          <w:szCs w:val="22"/>
        </w:rPr>
        <w:t xml:space="preserve">, </w:t>
      </w:r>
      <w:r w:rsidRPr="00BC5FD6">
        <w:rPr>
          <w:rFonts w:ascii="Montserrat" w:eastAsia="Calibri" w:hAnsi="Montserrat" w:cs="Times New Roman"/>
          <w:sz w:val="22"/>
          <w:szCs w:val="22"/>
        </w:rPr>
        <w:t>en base a las evidencias proporcionadas</w:t>
      </w:r>
      <w:r w:rsidR="008C0392">
        <w:rPr>
          <w:rFonts w:ascii="Montserrat" w:eastAsia="Calibri" w:hAnsi="Montserrat" w:cs="Times New Roman"/>
          <w:sz w:val="22"/>
          <w:szCs w:val="22"/>
        </w:rPr>
        <w:t>.</w:t>
      </w:r>
    </w:p>
    <w:p w14:paraId="38CE32E9" w14:textId="5983F899" w:rsidR="008C0392" w:rsidRDefault="008C0392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36E4EB43" w14:textId="726B590C" w:rsidR="008C0392" w:rsidRPr="00BC5FD6" w:rsidRDefault="008C0392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Se ha recomendado implementar las acciones necesarias a fin de que al cierre del ejercicio se garantice el cumplimiento de las acciones comprometidas en ambos programas.</w:t>
      </w:r>
    </w:p>
    <w:p w14:paraId="2CC370D0" w14:textId="77777777" w:rsidR="00BB2149" w:rsidRPr="00BC5FD6" w:rsidRDefault="00BB2149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7666D468" w14:textId="260E2ADA" w:rsidR="007B28B8" w:rsidRDefault="007B28B8" w:rsidP="007B28B8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>PROGRAMA NACIONAL DE COMBATE A LA CORRUPCIÓN Y A LA IMPUNIDAD, Y DE MEJORA DE LA GESTIÓN PÚBLICA 2019-2024.</w:t>
      </w:r>
    </w:p>
    <w:p w14:paraId="088EAB2A" w14:textId="77777777" w:rsidR="00BC5FD6" w:rsidRPr="00BC5FD6" w:rsidRDefault="00BC5FD6" w:rsidP="007B28B8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47258060" w14:textId="31F35942" w:rsidR="00BB2149" w:rsidRDefault="00BB2149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>Mediante los oficios No. OIC/11109/</w:t>
      </w:r>
      <w:r w:rsidR="00A51030">
        <w:rPr>
          <w:rFonts w:ascii="Montserrat" w:eastAsia="Calibri" w:hAnsi="Montserrat" w:cs="Times New Roman"/>
          <w:sz w:val="22"/>
          <w:szCs w:val="22"/>
        </w:rPr>
        <w:t>099</w:t>
      </w:r>
      <w:r w:rsidRPr="00BC5FD6">
        <w:rPr>
          <w:rFonts w:ascii="Montserrat" w:eastAsia="Calibri" w:hAnsi="Montserrat" w:cs="Times New Roman"/>
          <w:sz w:val="22"/>
          <w:szCs w:val="22"/>
        </w:rPr>
        <w:t>/202</w:t>
      </w:r>
      <w:r w:rsidR="008C0392">
        <w:rPr>
          <w:rFonts w:ascii="Montserrat" w:eastAsia="Calibri" w:hAnsi="Montserrat" w:cs="Times New Roman"/>
          <w:sz w:val="22"/>
          <w:szCs w:val="22"/>
        </w:rPr>
        <w:t xml:space="preserve">3 y </w:t>
      </w:r>
      <w:r w:rsidRPr="00BC5FD6">
        <w:rPr>
          <w:rFonts w:ascii="Montserrat" w:eastAsia="Calibri" w:hAnsi="Montserrat" w:cs="Times New Roman"/>
          <w:sz w:val="22"/>
          <w:szCs w:val="22"/>
        </w:rPr>
        <w:t>OIC/11109/</w:t>
      </w:r>
      <w:r w:rsidR="0064544E">
        <w:rPr>
          <w:rFonts w:ascii="Montserrat" w:eastAsia="Calibri" w:hAnsi="Montserrat" w:cs="Times New Roman"/>
          <w:sz w:val="22"/>
          <w:szCs w:val="22"/>
        </w:rPr>
        <w:t>190</w:t>
      </w:r>
      <w:r w:rsidRPr="00BC5FD6">
        <w:rPr>
          <w:rFonts w:ascii="Montserrat" w:eastAsia="Calibri" w:hAnsi="Montserrat" w:cs="Times New Roman"/>
          <w:sz w:val="22"/>
          <w:szCs w:val="22"/>
        </w:rPr>
        <w:t>/202</w:t>
      </w:r>
      <w:r w:rsidR="008C0392">
        <w:rPr>
          <w:rFonts w:ascii="Montserrat" w:eastAsia="Calibri" w:hAnsi="Montserrat" w:cs="Times New Roman"/>
          <w:sz w:val="22"/>
          <w:szCs w:val="22"/>
        </w:rPr>
        <w:t>3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, de fechas </w:t>
      </w:r>
      <w:r w:rsidR="00A51030">
        <w:rPr>
          <w:rFonts w:ascii="Montserrat" w:eastAsia="Calibri" w:hAnsi="Montserrat" w:cs="Times New Roman"/>
          <w:sz w:val="22"/>
          <w:szCs w:val="22"/>
        </w:rPr>
        <w:t>21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de abril </w:t>
      </w:r>
      <w:r w:rsidR="008C0392">
        <w:rPr>
          <w:rFonts w:ascii="Montserrat" w:eastAsia="Calibri" w:hAnsi="Montserrat" w:cs="Times New Roman"/>
          <w:sz w:val="22"/>
          <w:szCs w:val="22"/>
        </w:rPr>
        <w:t xml:space="preserve">y </w:t>
      </w:r>
      <w:r w:rsidR="0064544E">
        <w:rPr>
          <w:rFonts w:ascii="Montserrat" w:eastAsia="Calibri" w:hAnsi="Montserrat" w:cs="Times New Roman"/>
          <w:sz w:val="22"/>
          <w:szCs w:val="22"/>
        </w:rPr>
        <w:t xml:space="preserve">20 </w:t>
      </w:r>
      <w:r w:rsidR="008C0392">
        <w:rPr>
          <w:rFonts w:ascii="Montserrat" w:eastAsia="Calibri" w:hAnsi="Montserrat" w:cs="Times New Roman"/>
          <w:sz w:val="22"/>
          <w:szCs w:val="22"/>
        </w:rPr>
        <w:t>de julio de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202</w:t>
      </w:r>
      <w:r w:rsidR="008C0392">
        <w:rPr>
          <w:rFonts w:ascii="Montserrat" w:eastAsia="Calibri" w:hAnsi="Montserrat" w:cs="Times New Roman"/>
          <w:sz w:val="22"/>
          <w:szCs w:val="22"/>
        </w:rPr>
        <w:t>3</w:t>
      </w:r>
      <w:r w:rsidRPr="00BC5FD6">
        <w:rPr>
          <w:rFonts w:ascii="Montserrat" w:eastAsia="Calibri" w:hAnsi="Montserrat" w:cs="Times New Roman"/>
          <w:sz w:val="22"/>
          <w:szCs w:val="22"/>
        </w:rPr>
        <w:t>, respectivamente, se emitió evaluación al reporte del primero</w:t>
      </w:r>
      <w:r w:rsidR="008C0392">
        <w:rPr>
          <w:rFonts w:ascii="Montserrat" w:eastAsia="Calibri" w:hAnsi="Montserrat" w:cs="Times New Roman"/>
          <w:sz w:val="22"/>
          <w:szCs w:val="22"/>
        </w:rPr>
        <w:t xml:space="preserve"> y </w:t>
      </w:r>
      <w:r w:rsidRPr="00BC5FD6">
        <w:rPr>
          <w:rFonts w:ascii="Montserrat" w:eastAsia="Calibri" w:hAnsi="Montserrat" w:cs="Times New Roman"/>
          <w:sz w:val="22"/>
          <w:szCs w:val="22"/>
        </w:rPr>
        <w:t>segundo</w:t>
      </w:r>
      <w:r w:rsidR="008C0392">
        <w:rPr>
          <w:rFonts w:ascii="Montserrat" w:eastAsia="Calibri" w:hAnsi="Montserrat" w:cs="Times New Roman"/>
          <w:sz w:val="22"/>
          <w:szCs w:val="22"/>
        </w:rPr>
        <w:t xml:space="preserve"> 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trimestres de los 47 compromisos </w:t>
      </w:r>
      <w:r w:rsidR="008608EF" w:rsidRPr="00BC5FD6">
        <w:rPr>
          <w:rFonts w:ascii="Montserrat" w:eastAsia="Calibri" w:hAnsi="Montserrat" w:cs="Times New Roman"/>
          <w:sz w:val="22"/>
          <w:szCs w:val="22"/>
        </w:rPr>
        <w:t xml:space="preserve">y 12 indicadores 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aplicables </w:t>
      </w:r>
      <w:r w:rsidR="008608EF">
        <w:rPr>
          <w:rFonts w:ascii="Montserrat" w:eastAsia="Calibri" w:hAnsi="Montserrat" w:cs="Times New Roman"/>
          <w:sz w:val="22"/>
          <w:szCs w:val="22"/>
        </w:rPr>
        <w:t>del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 PNCCIMGP, considerándose un cumplimiento razonable, sugiriéndose el fortalecimiento de las acciones a fin de garantizar el cumplimiento de los compromisos establecidos en dicho programa.</w:t>
      </w:r>
    </w:p>
    <w:p w14:paraId="75C9CF65" w14:textId="5A265824" w:rsidR="008C0392" w:rsidRDefault="008C0392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0C104010" w14:textId="77777777" w:rsidR="008C0392" w:rsidRPr="00BC5FD6" w:rsidRDefault="008C0392" w:rsidP="00BB2149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3564DD03" w14:textId="0B65B436" w:rsidR="00292DF8" w:rsidRPr="00BC5FD6" w:rsidRDefault="00292DF8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 xml:space="preserve">SEGUIMIENTO DE ACCIONES EN MATERIA DE ÉTICA. </w:t>
      </w:r>
    </w:p>
    <w:p w14:paraId="68C2B379" w14:textId="77777777" w:rsidR="009E0904" w:rsidRPr="00BC5FD6" w:rsidRDefault="009E0904" w:rsidP="009A729C">
      <w:pPr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5DA9B59E" w14:textId="77777777" w:rsidR="0014335A" w:rsidRDefault="00292DF8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BC5FD6">
        <w:rPr>
          <w:rFonts w:ascii="Montserrat" w:eastAsia="Calibri" w:hAnsi="Montserrat" w:cs="Times New Roman"/>
          <w:sz w:val="22"/>
          <w:szCs w:val="22"/>
        </w:rPr>
        <w:t xml:space="preserve">Durante el </w:t>
      </w:r>
      <w:r w:rsidR="008C0392">
        <w:rPr>
          <w:rFonts w:ascii="Montserrat" w:eastAsia="Calibri" w:hAnsi="Montserrat" w:cs="Times New Roman"/>
          <w:sz w:val="22"/>
          <w:szCs w:val="22"/>
        </w:rPr>
        <w:t xml:space="preserve">primer semestre del </w:t>
      </w:r>
      <w:r w:rsidRPr="00BC5FD6">
        <w:rPr>
          <w:rFonts w:ascii="Montserrat" w:eastAsia="Calibri" w:hAnsi="Montserrat" w:cs="Times New Roman"/>
          <w:sz w:val="22"/>
          <w:szCs w:val="22"/>
        </w:rPr>
        <w:t xml:space="preserve">ejercicio </w:t>
      </w:r>
      <w:r w:rsidR="00664FC3" w:rsidRPr="00BC5FD6">
        <w:rPr>
          <w:rFonts w:ascii="Montserrat" w:eastAsia="Calibri" w:hAnsi="Montserrat" w:cs="Times New Roman"/>
          <w:sz w:val="22"/>
          <w:szCs w:val="22"/>
        </w:rPr>
        <w:t>202</w:t>
      </w:r>
      <w:r w:rsidR="008C0392">
        <w:rPr>
          <w:rFonts w:ascii="Montserrat" w:eastAsia="Calibri" w:hAnsi="Montserrat" w:cs="Times New Roman"/>
          <w:sz w:val="22"/>
          <w:szCs w:val="22"/>
        </w:rPr>
        <w:t>3</w:t>
      </w:r>
      <w:r w:rsidR="00664FC3" w:rsidRPr="00BC5FD6">
        <w:rPr>
          <w:rFonts w:ascii="Montserrat" w:eastAsia="Calibri" w:hAnsi="Montserrat" w:cs="Times New Roman"/>
          <w:sz w:val="22"/>
          <w:szCs w:val="22"/>
        </w:rPr>
        <w:t xml:space="preserve"> </w:t>
      </w:r>
      <w:r w:rsidRPr="00BC5FD6">
        <w:rPr>
          <w:rFonts w:ascii="Montserrat" w:eastAsia="Calibri" w:hAnsi="Montserrat" w:cs="Times New Roman"/>
          <w:sz w:val="22"/>
          <w:szCs w:val="22"/>
        </w:rPr>
        <w:t>se</w:t>
      </w:r>
      <w:r w:rsidR="008C0392">
        <w:rPr>
          <w:rFonts w:ascii="Montserrat" w:eastAsia="Calibri" w:hAnsi="Montserrat" w:cs="Times New Roman"/>
          <w:sz w:val="22"/>
          <w:szCs w:val="22"/>
        </w:rPr>
        <w:t xml:space="preserve"> ha participado</w:t>
      </w:r>
      <w:r w:rsidR="00664FC3" w:rsidRPr="00BC5FD6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B63D8C" w:rsidRPr="00BC5FD6">
        <w:rPr>
          <w:rFonts w:ascii="Montserrat" w:hAnsi="Montserrat" w:cs="Arial"/>
          <w:sz w:val="22"/>
          <w:szCs w:val="22"/>
        </w:rPr>
        <w:t xml:space="preserve">en </w:t>
      </w:r>
      <w:r w:rsidR="0014335A">
        <w:rPr>
          <w:rFonts w:ascii="Montserrat" w:hAnsi="Montserrat" w:cs="Arial"/>
          <w:sz w:val="22"/>
          <w:szCs w:val="22"/>
        </w:rPr>
        <w:t>9</w:t>
      </w:r>
      <w:r w:rsidR="00B63D8C" w:rsidRPr="00BC5FD6">
        <w:rPr>
          <w:rFonts w:ascii="Montserrat" w:hAnsi="Montserrat" w:cs="Arial"/>
          <w:sz w:val="22"/>
          <w:szCs w:val="22"/>
        </w:rPr>
        <w:t xml:space="preserve"> sesiones celebrad</w:t>
      </w:r>
      <w:r w:rsidR="008608EF">
        <w:rPr>
          <w:rFonts w:ascii="Montserrat" w:hAnsi="Montserrat" w:cs="Arial"/>
          <w:sz w:val="22"/>
          <w:szCs w:val="22"/>
        </w:rPr>
        <w:t>a</w:t>
      </w:r>
      <w:r w:rsidR="00B63D8C" w:rsidRPr="00BC5FD6">
        <w:rPr>
          <w:rFonts w:ascii="Montserrat" w:hAnsi="Montserrat" w:cs="Arial"/>
          <w:sz w:val="22"/>
          <w:szCs w:val="22"/>
        </w:rPr>
        <w:t>s por el Comité de Ética (</w:t>
      </w:r>
      <w:r w:rsidR="0014335A">
        <w:rPr>
          <w:rFonts w:ascii="Montserrat" w:hAnsi="Montserrat" w:cs="Arial"/>
          <w:sz w:val="22"/>
          <w:szCs w:val="22"/>
        </w:rPr>
        <w:t>2</w:t>
      </w:r>
      <w:r w:rsidR="00B63D8C" w:rsidRPr="00BC5FD6">
        <w:rPr>
          <w:rFonts w:ascii="Montserrat" w:hAnsi="Montserrat" w:cs="Arial"/>
          <w:sz w:val="22"/>
          <w:szCs w:val="22"/>
        </w:rPr>
        <w:t xml:space="preserve"> ordinarias y </w:t>
      </w:r>
      <w:r w:rsidR="0014335A">
        <w:rPr>
          <w:rFonts w:ascii="Montserrat" w:hAnsi="Montserrat" w:cs="Arial"/>
          <w:sz w:val="22"/>
          <w:szCs w:val="22"/>
        </w:rPr>
        <w:t>7</w:t>
      </w:r>
      <w:r w:rsidR="00B63D8C" w:rsidRPr="00BC5FD6">
        <w:rPr>
          <w:rFonts w:ascii="Montserrat" w:hAnsi="Montserrat" w:cs="Arial"/>
          <w:sz w:val="22"/>
          <w:szCs w:val="22"/>
        </w:rPr>
        <w:t xml:space="preserve"> extraordinarias). En ellas se brindó </w:t>
      </w:r>
      <w:r w:rsidRPr="00BC5FD6">
        <w:rPr>
          <w:rFonts w:ascii="Montserrat" w:eastAsia="Calibri" w:hAnsi="Montserrat" w:cs="Times New Roman"/>
          <w:sz w:val="22"/>
          <w:szCs w:val="22"/>
        </w:rPr>
        <w:t>asesoría</w:t>
      </w:r>
      <w:r w:rsidR="001554CB" w:rsidRPr="00BC5FD6">
        <w:rPr>
          <w:rFonts w:ascii="Montserrat" w:eastAsia="Calibri" w:hAnsi="Montserrat" w:cs="Times New Roman"/>
          <w:sz w:val="22"/>
          <w:szCs w:val="22"/>
        </w:rPr>
        <w:t xml:space="preserve"> en temas de su</w:t>
      </w:r>
      <w:r w:rsidR="007149FA" w:rsidRPr="00BC5FD6">
        <w:rPr>
          <w:rFonts w:ascii="Montserrat" w:eastAsia="Calibri" w:hAnsi="Montserrat" w:cs="Times New Roman"/>
          <w:sz w:val="22"/>
          <w:szCs w:val="22"/>
        </w:rPr>
        <w:t xml:space="preserve"> competencia</w:t>
      </w:r>
      <w:r w:rsidR="0014335A">
        <w:rPr>
          <w:rFonts w:ascii="Montserrat" w:eastAsia="Calibri" w:hAnsi="Montserrat" w:cs="Times New Roman"/>
          <w:sz w:val="22"/>
          <w:szCs w:val="22"/>
        </w:rPr>
        <w:t>.</w:t>
      </w:r>
    </w:p>
    <w:p w14:paraId="5AE7E6A6" w14:textId="77777777" w:rsidR="0014335A" w:rsidRDefault="0014335A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47359968" w14:textId="530ABEA5" w:rsidR="0014335A" w:rsidRDefault="0014335A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  <w:r w:rsidRPr="0014335A">
        <w:rPr>
          <w:rFonts w:ascii="Montserrat" w:eastAsia="Calibri" w:hAnsi="Montserrat" w:cs="Times New Roman"/>
          <w:sz w:val="22"/>
          <w:szCs w:val="22"/>
        </w:rPr>
        <w:t xml:space="preserve">Se emitió diagnóstico de riesgos éticos como insumo para la </w:t>
      </w:r>
      <w:r>
        <w:rPr>
          <w:rFonts w:ascii="Montserrat" w:eastAsia="Calibri" w:hAnsi="Montserrat" w:cs="Times New Roman"/>
          <w:sz w:val="22"/>
          <w:szCs w:val="22"/>
        </w:rPr>
        <w:t>actualización del Código de Conducta de El Colegio de la Frontera Sur, el cual se encuentra en proceso de actualización.</w:t>
      </w:r>
    </w:p>
    <w:p w14:paraId="1049FD41" w14:textId="77777777" w:rsidR="0014335A" w:rsidRPr="0014335A" w:rsidRDefault="0014335A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4B179966" w14:textId="68AA2FA2" w:rsidR="001A7AE4" w:rsidRPr="00BC5FD6" w:rsidRDefault="0014335A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Se ha brindado </w:t>
      </w:r>
      <w:r w:rsidR="00173BEE" w:rsidRPr="00BC5FD6">
        <w:rPr>
          <w:rFonts w:ascii="Montserrat" w:eastAsia="Calibri" w:hAnsi="Montserrat" w:cs="Times New Roman"/>
          <w:sz w:val="22"/>
          <w:szCs w:val="22"/>
        </w:rPr>
        <w:t xml:space="preserve">acompañamiento para </w:t>
      </w:r>
      <w:r w:rsidR="0064544E">
        <w:rPr>
          <w:rFonts w:ascii="Montserrat" w:eastAsia="Calibri" w:hAnsi="Montserrat" w:cs="Times New Roman"/>
          <w:sz w:val="22"/>
          <w:szCs w:val="22"/>
        </w:rPr>
        <w:t xml:space="preserve">el </w:t>
      </w:r>
      <w:r w:rsidR="00173BEE" w:rsidRPr="00BC5FD6">
        <w:rPr>
          <w:rFonts w:ascii="Montserrat" w:eastAsia="Calibri" w:hAnsi="Montserrat" w:cs="Times New Roman"/>
          <w:sz w:val="22"/>
          <w:szCs w:val="22"/>
        </w:rPr>
        <w:t>cumplimiento del Programa Anual de Trabajo</w:t>
      </w:r>
      <w:r w:rsidR="0064544E">
        <w:rPr>
          <w:rFonts w:ascii="Montserrat" w:eastAsia="Calibri" w:hAnsi="Montserrat" w:cs="Times New Roman"/>
          <w:sz w:val="22"/>
          <w:szCs w:val="22"/>
        </w:rPr>
        <w:t xml:space="preserve"> a través de las actividades establecidas en el Tablero de Control</w:t>
      </w:r>
      <w:r>
        <w:rPr>
          <w:rFonts w:ascii="Montserrat" w:eastAsia="Calibri" w:hAnsi="Montserrat" w:cs="Times New Roman"/>
          <w:sz w:val="22"/>
          <w:szCs w:val="22"/>
        </w:rPr>
        <w:t xml:space="preserve">, así como </w:t>
      </w:r>
      <w:r w:rsidR="0064544E">
        <w:rPr>
          <w:rFonts w:ascii="Montserrat" w:eastAsia="Calibri" w:hAnsi="Montserrat" w:cs="Times New Roman"/>
          <w:sz w:val="22"/>
          <w:szCs w:val="22"/>
        </w:rPr>
        <w:t>asesorías en la atención</w:t>
      </w:r>
      <w:r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9777D2">
        <w:rPr>
          <w:rFonts w:ascii="Montserrat" w:eastAsia="Calibri" w:hAnsi="Montserrat" w:cs="Times New Roman"/>
          <w:sz w:val="22"/>
          <w:szCs w:val="22"/>
        </w:rPr>
        <w:t xml:space="preserve">de </w:t>
      </w:r>
      <w:r>
        <w:rPr>
          <w:rFonts w:ascii="Montserrat" w:eastAsia="Calibri" w:hAnsi="Montserrat" w:cs="Times New Roman"/>
          <w:sz w:val="22"/>
          <w:szCs w:val="22"/>
        </w:rPr>
        <w:t>denuncias a cargo del Comité</w:t>
      </w:r>
      <w:r w:rsidR="00173BEE" w:rsidRPr="00BC5FD6">
        <w:rPr>
          <w:rFonts w:ascii="Montserrat" w:eastAsia="Calibri" w:hAnsi="Montserrat" w:cs="Times New Roman"/>
          <w:sz w:val="22"/>
          <w:szCs w:val="22"/>
        </w:rPr>
        <w:t>.</w:t>
      </w:r>
    </w:p>
    <w:p w14:paraId="139E5DC2" w14:textId="3D7FA2A9" w:rsidR="00173BEE" w:rsidRPr="00BC5FD6" w:rsidRDefault="00173BEE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2D2B789E" w14:textId="77777777" w:rsidR="001A7AE4" w:rsidRPr="00BC5FD6" w:rsidRDefault="001A7AE4" w:rsidP="009A729C">
      <w:pPr>
        <w:jc w:val="both"/>
        <w:rPr>
          <w:rFonts w:ascii="Montserrat" w:eastAsia="Calibri" w:hAnsi="Montserrat" w:cs="Times New Roman"/>
          <w:sz w:val="22"/>
          <w:szCs w:val="22"/>
        </w:rPr>
      </w:pPr>
    </w:p>
    <w:p w14:paraId="01667DF8" w14:textId="53FB54BB" w:rsidR="009A6D14" w:rsidRPr="00BC5FD6" w:rsidRDefault="009A6D14" w:rsidP="009A729C">
      <w:pPr>
        <w:jc w:val="both"/>
        <w:rPr>
          <w:rFonts w:ascii="Montserrat" w:hAnsi="Montserrat" w:cs="Arial"/>
          <w:sz w:val="22"/>
          <w:szCs w:val="22"/>
        </w:rPr>
      </w:pPr>
    </w:p>
    <w:sectPr w:rsidR="009A6D14" w:rsidRPr="00BC5FD6" w:rsidSect="006345BC">
      <w:headerReference w:type="default" r:id="rId8"/>
      <w:footerReference w:type="default" r:id="rId9"/>
      <w:pgSz w:w="12240" w:h="15840"/>
      <w:pgMar w:top="1701" w:right="1325" w:bottom="1985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00C6" w14:textId="77777777" w:rsidR="00FD3CF2" w:rsidRDefault="00FD3CF2">
      <w:r>
        <w:separator/>
      </w:r>
    </w:p>
  </w:endnote>
  <w:endnote w:type="continuationSeparator" w:id="0">
    <w:p w14:paraId="083B83DC" w14:textId="77777777" w:rsidR="00FD3CF2" w:rsidRDefault="00FD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altName w:val="Montserrat"/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39D0" w14:textId="61058DEA" w:rsidR="00C56FF9" w:rsidRDefault="004C1A4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C896184" wp14:editId="7B1B47FF">
          <wp:simplePos x="0" y="0"/>
          <wp:positionH relativeFrom="margin">
            <wp:posOffset>-76200</wp:posOffset>
          </wp:positionH>
          <wp:positionV relativeFrom="page">
            <wp:posOffset>9277350</wp:posOffset>
          </wp:positionV>
          <wp:extent cx="5724525" cy="451485"/>
          <wp:effectExtent l="0" t="0" r="9525" b="5715"/>
          <wp:wrapNone/>
          <wp:docPr id="15" name="Imagen 15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0" t="91636" r="7755" b="3882"/>
                  <a:stretch/>
                </pic:blipFill>
                <pic:spPr bwMode="auto">
                  <a:xfrm>
                    <a:off x="0" y="0"/>
                    <a:ext cx="5724525" cy="451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546">
      <w:rPr>
        <w:rFonts w:eastAsiaTheme="minorEastAsia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C3970" wp14:editId="2E9C7ABB">
              <wp:simplePos x="0" y="0"/>
              <wp:positionH relativeFrom="margin">
                <wp:align>right</wp:align>
              </wp:positionH>
              <wp:positionV relativeFrom="paragraph">
                <wp:posOffset>-531495</wp:posOffset>
              </wp:positionV>
              <wp:extent cx="5753100" cy="4191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793554" w14:textId="2BE5AAD2" w:rsidR="00C56FF9" w:rsidRPr="00D63161" w:rsidRDefault="0098640C" w:rsidP="004C1A4D">
                          <w:pPr>
                            <w:jc w:val="both"/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</w:pPr>
                          <w:r w:rsidRPr="00AB3BBE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Sede del Órgano Interno de Control en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>El Colegio de la Frontera Sur</w:t>
                          </w:r>
                          <w:r w:rsidRPr="00AB3BBE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 Carretera Panamericana y Periférico</w:t>
                          </w:r>
                          <w:r w:rsidR="004C1A4D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>Sur, sin número</w:t>
                          </w:r>
                          <w:r w:rsidR="006E28B7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Barrio María Auxiliadora, </w:t>
                          </w:r>
                          <w:r w:rsidRPr="00D63161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>C.P.29290,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 San Cristóbal de Las Casas, Estado de Chiapas.</w:t>
                          </w:r>
                          <w:r w:rsidR="004C1A4D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63161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Tel.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>967 674 9000, ext.119</w:t>
                          </w:r>
                          <w:r w:rsidR="00893A80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5, 1196 y 1197. </w:t>
                          </w:r>
                          <w:r w:rsidR="006F5A63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 Directo 967 674 9006, </w:t>
                          </w:r>
                          <w:r w:rsidR="00893A80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>orreo electrónico: ecosur_toic@funcionpublica.gob.mx</w:t>
                          </w:r>
                          <w:r w:rsidR="00893A80">
                            <w:rPr>
                              <w:rFonts w:ascii="Montserrat SemiBold" w:hAnsi="Montserrat SemiBold"/>
                              <w:b/>
                              <w:bCs/>
                              <w:color w:val="C8A264"/>
                              <w:sz w:val="14"/>
                              <w:szCs w:val="14"/>
                            </w:rPr>
                            <w:t xml:space="preserve"> / oic@ecosur.mx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9EC397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01.8pt;margin-top:-41.85pt;width:453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0LFgIAACw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" filled="f" stroked="f" strokeweight=".5pt">
              <v:textbox>
                <w:txbxContent>
                  <w:p w14:paraId="46793554" w14:textId="2BE5AAD2" w:rsidR="00C56FF9" w:rsidRPr="00D63161" w:rsidRDefault="0098640C" w:rsidP="004C1A4D">
                    <w:pPr>
                      <w:jc w:val="both"/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</w:pPr>
                    <w:r w:rsidRPr="00AB3BBE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Sede del Órgano Interno de Control en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>El Colegio de la Frontera Sur</w:t>
                    </w:r>
                    <w:r w:rsidRPr="00AB3BBE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 Carretera Panamericana y Periférico</w:t>
                    </w:r>
                    <w:r w:rsidR="004C1A4D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>Sur, sin número</w:t>
                    </w:r>
                    <w:r w:rsidR="006E28B7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Barrio María Auxiliadora, </w:t>
                    </w:r>
                    <w:r w:rsidRPr="00D63161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>C.P.29290,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 San Cristóbal de Las Casas, Estado de Chiapas.</w:t>
                    </w:r>
                    <w:r w:rsidR="004C1A4D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 </w:t>
                    </w:r>
                    <w:r w:rsidRPr="00D63161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Tel.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>967 674 9000, ext.119</w:t>
                    </w:r>
                    <w:r w:rsidR="00893A80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5, 1196 y 1197. </w:t>
                    </w:r>
                    <w:r w:rsidR="006F5A63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 Directo 967 674 9006, </w:t>
                    </w:r>
                    <w:r w:rsidR="00893A80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>orreo electrónico: ecosur_toic@funcionpublica.gob.mx</w:t>
                    </w:r>
                    <w:r w:rsidR="00893A80">
                      <w:rPr>
                        <w:rFonts w:ascii="Montserrat SemiBold" w:hAnsi="Montserrat SemiBold"/>
                        <w:b/>
                        <w:bCs/>
                        <w:color w:val="C8A264"/>
                        <w:sz w:val="14"/>
                        <w:szCs w:val="14"/>
                      </w:rPr>
                      <w:t xml:space="preserve"> / oic@ecosur.mx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4EDE" w14:textId="77777777" w:rsidR="00FD3CF2" w:rsidRDefault="00FD3CF2">
      <w:r>
        <w:separator/>
      </w:r>
    </w:p>
  </w:footnote>
  <w:footnote w:type="continuationSeparator" w:id="0">
    <w:p w14:paraId="5A6CB861" w14:textId="77777777" w:rsidR="00FD3CF2" w:rsidRDefault="00FD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6C5F" w14:textId="0369EE48" w:rsidR="004C1A4D" w:rsidRDefault="00945B6B" w:rsidP="00710C2C">
    <w:pPr>
      <w:ind w:left="-284"/>
      <w:jc w:val="right"/>
      <w:rPr>
        <w:rFonts w:ascii="Candara" w:hAnsi="Candara"/>
        <w:b/>
        <w:bCs/>
        <w:sz w:val="22"/>
        <w:szCs w:val="22"/>
        <w:lang w:val="es-ES"/>
      </w:rPr>
    </w:pPr>
    <w:r w:rsidRPr="00514FAE">
      <w:rPr>
        <w:rFonts w:ascii="Cambria" w:eastAsia="MS Mincho" w:hAnsi="Cambria" w:cs="Times New Roman"/>
        <w:noProof/>
        <w:lang w:val="es-ES_tradnl" w:eastAsia="es-ES"/>
      </w:rPr>
      <w:drawing>
        <wp:anchor distT="0" distB="0" distL="114300" distR="114300" simplePos="0" relativeHeight="251667456" behindDoc="0" locked="0" layoutInCell="1" allowOverlap="1" wp14:anchorId="54855B13" wp14:editId="74AE1900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4619625" cy="600075"/>
          <wp:effectExtent l="0" t="0" r="9525" b="9525"/>
          <wp:wrapNone/>
          <wp:docPr id="737972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2816" name="Imagen 7379728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50872C7C" wp14:editId="0A6FB1D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09650" cy="620395"/>
          <wp:effectExtent l="0" t="0" r="0" b="8255"/>
          <wp:wrapNone/>
          <wp:docPr id="2" name="Imagen 2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B4E0F" w14:textId="0EC39E52" w:rsidR="006345BC" w:rsidRDefault="006345BC" w:rsidP="00710C2C">
    <w:pPr>
      <w:ind w:left="-284"/>
      <w:jc w:val="right"/>
      <w:rPr>
        <w:rFonts w:ascii="Candara" w:hAnsi="Candara"/>
        <w:b/>
        <w:bCs/>
        <w:sz w:val="22"/>
        <w:szCs w:val="22"/>
        <w:lang w:val="es-ES"/>
      </w:rPr>
    </w:pPr>
  </w:p>
  <w:p w14:paraId="17D858B7" w14:textId="106AF629" w:rsidR="006345BC" w:rsidRDefault="006345BC" w:rsidP="00710C2C">
    <w:pPr>
      <w:ind w:left="-284"/>
      <w:jc w:val="right"/>
      <w:rPr>
        <w:rFonts w:ascii="Candara" w:hAnsi="Candara"/>
        <w:b/>
        <w:bCs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1A"/>
    <w:multiLevelType w:val="hybridMultilevel"/>
    <w:tmpl w:val="DB9A1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A9F"/>
    <w:multiLevelType w:val="hybridMultilevel"/>
    <w:tmpl w:val="E96EDF50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E5552E"/>
    <w:multiLevelType w:val="hybridMultilevel"/>
    <w:tmpl w:val="780251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086A"/>
    <w:multiLevelType w:val="hybridMultilevel"/>
    <w:tmpl w:val="FEEC6F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02FB"/>
    <w:multiLevelType w:val="hybridMultilevel"/>
    <w:tmpl w:val="08CE1DEE"/>
    <w:lvl w:ilvl="0" w:tplc="0C0A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1329094500">
    <w:abstractNumId w:val="4"/>
  </w:num>
  <w:num w:numId="2" w16cid:durableId="1966421670">
    <w:abstractNumId w:val="1"/>
  </w:num>
  <w:num w:numId="3" w16cid:durableId="1996568715">
    <w:abstractNumId w:val="3"/>
  </w:num>
  <w:num w:numId="4" w16cid:durableId="941885288">
    <w:abstractNumId w:val="2"/>
  </w:num>
  <w:num w:numId="5" w16cid:durableId="124807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61"/>
    <w:rsid w:val="00003073"/>
    <w:rsid w:val="00004207"/>
    <w:rsid w:val="00066C26"/>
    <w:rsid w:val="000753E1"/>
    <w:rsid w:val="00087B20"/>
    <w:rsid w:val="000A2C0C"/>
    <w:rsid w:val="000B60BE"/>
    <w:rsid w:val="000B616D"/>
    <w:rsid w:val="000D38F7"/>
    <w:rsid w:val="000D5D2D"/>
    <w:rsid w:val="000E484A"/>
    <w:rsid w:val="000E7420"/>
    <w:rsid w:val="000F1BC0"/>
    <w:rsid w:val="000F4A48"/>
    <w:rsid w:val="001216C0"/>
    <w:rsid w:val="001228E5"/>
    <w:rsid w:val="001267A8"/>
    <w:rsid w:val="00136497"/>
    <w:rsid w:val="0014335A"/>
    <w:rsid w:val="001467E3"/>
    <w:rsid w:val="001554CB"/>
    <w:rsid w:val="00160566"/>
    <w:rsid w:val="00173BEE"/>
    <w:rsid w:val="001743EE"/>
    <w:rsid w:val="00175F1F"/>
    <w:rsid w:val="00180A2D"/>
    <w:rsid w:val="00193FDF"/>
    <w:rsid w:val="001A0C63"/>
    <w:rsid w:val="001A7AE4"/>
    <w:rsid w:val="001B1BAD"/>
    <w:rsid w:val="001B38D0"/>
    <w:rsid w:val="001C3AC9"/>
    <w:rsid w:val="001D2F55"/>
    <w:rsid w:val="001E1CD7"/>
    <w:rsid w:val="001E4077"/>
    <w:rsid w:val="001F0D8D"/>
    <w:rsid w:val="001F3A12"/>
    <w:rsid w:val="001F5E45"/>
    <w:rsid w:val="002122D6"/>
    <w:rsid w:val="00215F7B"/>
    <w:rsid w:val="00224E9F"/>
    <w:rsid w:val="002343D7"/>
    <w:rsid w:val="00235922"/>
    <w:rsid w:val="00236B04"/>
    <w:rsid w:val="00241CE2"/>
    <w:rsid w:val="002630C3"/>
    <w:rsid w:val="00267901"/>
    <w:rsid w:val="00286591"/>
    <w:rsid w:val="00291329"/>
    <w:rsid w:val="00292DF8"/>
    <w:rsid w:val="002933D9"/>
    <w:rsid w:val="00293F60"/>
    <w:rsid w:val="002A1631"/>
    <w:rsid w:val="002B0E86"/>
    <w:rsid w:val="002B7084"/>
    <w:rsid w:val="002D3178"/>
    <w:rsid w:val="002E6888"/>
    <w:rsid w:val="002E76CC"/>
    <w:rsid w:val="00315303"/>
    <w:rsid w:val="00320F6F"/>
    <w:rsid w:val="0032572B"/>
    <w:rsid w:val="003274C6"/>
    <w:rsid w:val="00340143"/>
    <w:rsid w:val="00352357"/>
    <w:rsid w:val="0036757E"/>
    <w:rsid w:val="00382ECB"/>
    <w:rsid w:val="0038796C"/>
    <w:rsid w:val="003A780F"/>
    <w:rsid w:val="003B2BA1"/>
    <w:rsid w:val="003B5218"/>
    <w:rsid w:val="003C2131"/>
    <w:rsid w:val="003D103E"/>
    <w:rsid w:val="003D20F3"/>
    <w:rsid w:val="003F4D6D"/>
    <w:rsid w:val="00407B02"/>
    <w:rsid w:val="00413E82"/>
    <w:rsid w:val="00416F2B"/>
    <w:rsid w:val="00434F48"/>
    <w:rsid w:val="0044799C"/>
    <w:rsid w:val="004531D4"/>
    <w:rsid w:val="00453B99"/>
    <w:rsid w:val="00462EA9"/>
    <w:rsid w:val="004655C2"/>
    <w:rsid w:val="00472444"/>
    <w:rsid w:val="0047329B"/>
    <w:rsid w:val="00474E08"/>
    <w:rsid w:val="00476BA7"/>
    <w:rsid w:val="004823D6"/>
    <w:rsid w:val="00497259"/>
    <w:rsid w:val="004B29A5"/>
    <w:rsid w:val="004B7CC9"/>
    <w:rsid w:val="004C1A4D"/>
    <w:rsid w:val="004C558D"/>
    <w:rsid w:val="004E5656"/>
    <w:rsid w:val="004E56AE"/>
    <w:rsid w:val="004F2393"/>
    <w:rsid w:val="004F4811"/>
    <w:rsid w:val="00505FA0"/>
    <w:rsid w:val="0051644E"/>
    <w:rsid w:val="00522306"/>
    <w:rsid w:val="00523597"/>
    <w:rsid w:val="005277C1"/>
    <w:rsid w:val="00547FDC"/>
    <w:rsid w:val="00560CEB"/>
    <w:rsid w:val="00560F89"/>
    <w:rsid w:val="00563311"/>
    <w:rsid w:val="00580DE0"/>
    <w:rsid w:val="00593E45"/>
    <w:rsid w:val="005B67E2"/>
    <w:rsid w:val="005D54A0"/>
    <w:rsid w:val="005D54DC"/>
    <w:rsid w:val="005F47B8"/>
    <w:rsid w:val="006345BC"/>
    <w:rsid w:val="00637C81"/>
    <w:rsid w:val="006414D8"/>
    <w:rsid w:val="0064544E"/>
    <w:rsid w:val="00661A32"/>
    <w:rsid w:val="0066319D"/>
    <w:rsid w:val="00664FC3"/>
    <w:rsid w:val="00680931"/>
    <w:rsid w:val="00681D8D"/>
    <w:rsid w:val="006A3D75"/>
    <w:rsid w:val="006A4FCB"/>
    <w:rsid w:val="006A4FE1"/>
    <w:rsid w:val="006D112C"/>
    <w:rsid w:val="006D1CB9"/>
    <w:rsid w:val="006E28B7"/>
    <w:rsid w:val="006F5A63"/>
    <w:rsid w:val="007035C5"/>
    <w:rsid w:val="00707096"/>
    <w:rsid w:val="00710C2C"/>
    <w:rsid w:val="00713B10"/>
    <w:rsid w:val="007149FA"/>
    <w:rsid w:val="00753391"/>
    <w:rsid w:val="007549DF"/>
    <w:rsid w:val="00765413"/>
    <w:rsid w:val="00765ADE"/>
    <w:rsid w:val="00770241"/>
    <w:rsid w:val="00797F83"/>
    <w:rsid w:val="00797FBD"/>
    <w:rsid w:val="007A1638"/>
    <w:rsid w:val="007A41EE"/>
    <w:rsid w:val="007A5725"/>
    <w:rsid w:val="007B28B8"/>
    <w:rsid w:val="007C3E4A"/>
    <w:rsid w:val="007D3B49"/>
    <w:rsid w:val="007D59A3"/>
    <w:rsid w:val="007E4C8F"/>
    <w:rsid w:val="007E7D82"/>
    <w:rsid w:val="007F5B08"/>
    <w:rsid w:val="0081614E"/>
    <w:rsid w:val="00821B9B"/>
    <w:rsid w:val="0082539E"/>
    <w:rsid w:val="00827C60"/>
    <w:rsid w:val="008362F1"/>
    <w:rsid w:val="00841F67"/>
    <w:rsid w:val="00852E24"/>
    <w:rsid w:val="00853A0B"/>
    <w:rsid w:val="0085645F"/>
    <w:rsid w:val="008608EF"/>
    <w:rsid w:val="008658C0"/>
    <w:rsid w:val="0087036F"/>
    <w:rsid w:val="00874231"/>
    <w:rsid w:val="008746DC"/>
    <w:rsid w:val="00877678"/>
    <w:rsid w:val="00885F08"/>
    <w:rsid w:val="00887E18"/>
    <w:rsid w:val="008917D5"/>
    <w:rsid w:val="00893A80"/>
    <w:rsid w:val="008A6CD9"/>
    <w:rsid w:val="008B1351"/>
    <w:rsid w:val="008B460E"/>
    <w:rsid w:val="008C0392"/>
    <w:rsid w:val="008C4A6A"/>
    <w:rsid w:val="008D73F0"/>
    <w:rsid w:val="008E0446"/>
    <w:rsid w:val="008E586C"/>
    <w:rsid w:val="008E6D15"/>
    <w:rsid w:val="008E7993"/>
    <w:rsid w:val="008F0654"/>
    <w:rsid w:val="008F1DF4"/>
    <w:rsid w:val="00916C5A"/>
    <w:rsid w:val="00943E7A"/>
    <w:rsid w:val="00945B6B"/>
    <w:rsid w:val="00946F2B"/>
    <w:rsid w:val="00950061"/>
    <w:rsid w:val="00965A54"/>
    <w:rsid w:val="009754A9"/>
    <w:rsid w:val="009777D2"/>
    <w:rsid w:val="0098640C"/>
    <w:rsid w:val="00995B7C"/>
    <w:rsid w:val="009A6D14"/>
    <w:rsid w:val="009A729C"/>
    <w:rsid w:val="009B2F69"/>
    <w:rsid w:val="009C3791"/>
    <w:rsid w:val="009D06EB"/>
    <w:rsid w:val="009D6C88"/>
    <w:rsid w:val="009E0904"/>
    <w:rsid w:val="009F30F2"/>
    <w:rsid w:val="009F4C19"/>
    <w:rsid w:val="009F5CB5"/>
    <w:rsid w:val="00A10A0A"/>
    <w:rsid w:val="00A20C74"/>
    <w:rsid w:val="00A2658D"/>
    <w:rsid w:val="00A26BDB"/>
    <w:rsid w:val="00A273E8"/>
    <w:rsid w:val="00A34A0E"/>
    <w:rsid w:val="00A36734"/>
    <w:rsid w:val="00A40D17"/>
    <w:rsid w:val="00A51030"/>
    <w:rsid w:val="00A5264D"/>
    <w:rsid w:val="00A67BEF"/>
    <w:rsid w:val="00A81646"/>
    <w:rsid w:val="00A93509"/>
    <w:rsid w:val="00A960E5"/>
    <w:rsid w:val="00A96154"/>
    <w:rsid w:val="00AA153B"/>
    <w:rsid w:val="00AA1728"/>
    <w:rsid w:val="00AD075F"/>
    <w:rsid w:val="00AD3F18"/>
    <w:rsid w:val="00AE1057"/>
    <w:rsid w:val="00AE6D8F"/>
    <w:rsid w:val="00B13DC4"/>
    <w:rsid w:val="00B23CCB"/>
    <w:rsid w:val="00B474EE"/>
    <w:rsid w:val="00B4773E"/>
    <w:rsid w:val="00B56788"/>
    <w:rsid w:val="00B618D7"/>
    <w:rsid w:val="00B63D8C"/>
    <w:rsid w:val="00B913A1"/>
    <w:rsid w:val="00BA7063"/>
    <w:rsid w:val="00BB153F"/>
    <w:rsid w:val="00BB2149"/>
    <w:rsid w:val="00BC0920"/>
    <w:rsid w:val="00BC1823"/>
    <w:rsid w:val="00BC49AE"/>
    <w:rsid w:val="00BC596F"/>
    <w:rsid w:val="00BC5FD6"/>
    <w:rsid w:val="00BD1496"/>
    <w:rsid w:val="00BE03BE"/>
    <w:rsid w:val="00BE4B39"/>
    <w:rsid w:val="00BE7F29"/>
    <w:rsid w:val="00C11EE3"/>
    <w:rsid w:val="00C209AA"/>
    <w:rsid w:val="00C22801"/>
    <w:rsid w:val="00C30BB5"/>
    <w:rsid w:val="00C337FF"/>
    <w:rsid w:val="00C34BC9"/>
    <w:rsid w:val="00C35239"/>
    <w:rsid w:val="00C412A0"/>
    <w:rsid w:val="00C500A4"/>
    <w:rsid w:val="00C56FF9"/>
    <w:rsid w:val="00C609D8"/>
    <w:rsid w:val="00C65D23"/>
    <w:rsid w:val="00C66901"/>
    <w:rsid w:val="00C670EF"/>
    <w:rsid w:val="00C8067F"/>
    <w:rsid w:val="00C97A42"/>
    <w:rsid w:val="00CB6C4D"/>
    <w:rsid w:val="00CC53A9"/>
    <w:rsid w:val="00CC5531"/>
    <w:rsid w:val="00CD6BF0"/>
    <w:rsid w:val="00CE1F5D"/>
    <w:rsid w:val="00D04E75"/>
    <w:rsid w:val="00D05C72"/>
    <w:rsid w:val="00D1598C"/>
    <w:rsid w:val="00D17411"/>
    <w:rsid w:val="00D2706A"/>
    <w:rsid w:val="00D53A10"/>
    <w:rsid w:val="00D643DA"/>
    <w:rsid w:val="00D72A2F"/>
    <w:rsid w:val="00D81B76"/>
    <w:rsid w:val="00D92916"/>
    <w:rsid w:val="00D9306A"/>
    <w:rsid w:val="00D93CAF"/>
    <w:rsid w:val="00D94A8B"/>
    <w:rsid w:val="00DA044C"/>
    <w:rsid w:val="00DA34D9"/>
    <w:rsid w:val="00DC4759"/>
    <w:rsid w:val="00DC7041"/>
    <w:rsid w:val="00DD09FC"/>
    <w:rsid w:val="00DD2270"/>
    <w:rsid w:val="00DD30F5"/>
    <w:rsid w:val="00DE0CA3"/>
    <w:rsid w:val="00DE3876"/>
    <w:rsid w:val="00DF6E83"/>
    <w:rsid w:val="00E035DB"/>
    <w:rsid w:val="00E07D9C"/>
    <w:rsid w:val="00E214D7"/>
    <w:rsid w:val="00E31186"/>
    <w:rsid w:val="00E3714E"/>
    <w:rsid w:val="00E40A71"/>
    <w:rsid w:val="00E42AE0"/>
    <w:rsid w:val="00E510E1"/>
    <w:rsid w:val="00E53F70"/>
    <w:rsid w:val="00E54C2B"/>
    <w:rsid w:val="00E60462"/>
    <w:rsid w:val="00E82586"/>
    <w:rsid w:val="00EA2A03"/>
    <w:rsid w:val="00EB0B01"/>
    <w:rsid w:val="00EC0021"/>
    <w:rsid w:val="00EC6E54"/>
    <w:rsid w:val="00EC6FA4"/>
    <w:rsid w:val="00ED310E"/>
    <w:rsid w:val="00EE367E"/>
    <w:rsid w:val="00EF1D28"/>
    <w:rsid w:val="00EF3F36"/>
    <w:rsid w:val="00EF6EF5"/>
    <w:rsid w:val="00F15C1A"/>
    <w:rsid w:val="00F16F23"/>
    <w:rsid w:val="00F211D7"/>
    <w:rsid w:val="00F2762D"/>
    <w:rsid w:val="00F35586"/>
    <w:rsid w:val="00F36477"/>
    <w:rsid w:val="00F46814"/>
    <w:rsid w:val="00F474FA"/>
    <w:rsid w:val="00F52594"/>
    <w:rsid w:val="00F61435"/>
    <w:rsid w:val="00F6598F"/>
    <w:rsid w:val="00F65B28"/>
    <w:rsid w:val="00F70CB9"/>
    <w:rsid w:val="00F7525A"/>
    <w:rsid w:val="00F80AAE"/>
    <w:rsid w:val="00F8636F"/>
    <w:rsid w:val="00F8642B"/>
    <w:rsid w:val="00F909A0"/>
    <w:rsid w:val="00FA5140"/>
    <w:rsid w:val="00FC1F21"/>
    <w:rsid w:val="00FC79B2"/>
    <w:rsid w:val="00FD3CF2"/>
    <w:rsid w:val="00FD5CDC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1182A"/>
  <w15:docId w15:val="{73F085C1-1217-4496-B30A-E77D4F9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2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061"/>
    <w:pPr>
      <w:tabs>
        <w:tab w:val="center" w:pos="4419"/>
        <w:tab w:val="right" w:pos="8838"/>
      </w:tabs>
    </w:pPr>
    <w:rPr>
      <w:rFonts w:eastAsiaTheme="minorHAns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50061"/>
  </w:style>
  <w:style w:type="paragraph" w:styleId="Piedepgina">
    <w:name w:val="footer"/>
    <w:basedOn w:val="Normal"/>
    <w:link w:val="PiedepginaCar"/>
    <w:uiPriority w:val="99"/>
    <w:unhideWhenUsed/>
    <w:rsid w:val="00950061"/>
    <w:pPr>
      <w:tabs>
        <w:tab w:val="center" w:pos="4419"/>
        <w:tab w:val="right" w:pos="8838"/>
      </w:tabs>
    </w:pPr>
    <w:rPr>
      <w:rFonts w:eastAsiaTheme="minorHAns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061"/>
  </w:style>
  <w:style w:type="paragraph" w:styleId="Textodeglobo">
    <w:name w:val="Balloon Text"/>
    <w:basedOn w:val="Normal"/>
    <w:link w:val="TextodegloboCar"/>
    <w:uiPriority w:val="99"/>
    <w:semiHidden/>
    <w:unhideWhenUsed/>
    <w:rsid w:val="00320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F6F"/>
    <w:rPr>
      <w:rFonts w:ascii="Segoe UI" w:eastAsiaTheme="minorEastAsia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8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RETARIADELAFUNCIONPUBLICA">
    <w:name w:val="SECRETARIA DE LA FUNCION PUBLICA"/>
    <w:basedOn w:val="Normal"/>
    <w:rsid w:val="00E214D7"/>
    <w:rPr>
      <w:rFonts w:ascii="Arial" w:eastAsia="Batang" w:hAnsi="Arial" w:cs="Times New Roman"/>
      <w:kern w:val="18"/>
      <w:sz w:val="18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E214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Default">
    <w:name w:val="Default"/>
    <w:rsid w:val="00637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753E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9306A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93A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A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52594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849">
          <w:marLeft w:val="72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55">
          <w:marLeft w:val="72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718">
          <w:marLeft w:val="72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3">
          <w:marLeft w:val="72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803">
          <w:marLeft w:val="72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DC56-0837-4F27-9934-8385E76D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</dc:creator>
  <cp:keywords/>
  <dc:description/>
  <cp:lastModifiedBy>Daniel Cantoral</cp:lastModifiedBy>
  <cp:revision>3</cp:revision>
  <cp:lastPrinted>2021-07-30T20:24:00Z</cp:lastPrinted>
  <dcterms:created xsi:type="dcterms:W3CDTF">2023-09-18T19:11:00Z</dcterms:created>
  <dcterms:modified xsi:type="dcterms:W3CDTF">2023-09-21T18:28:00Z</dcterms:modified>
</cp:coreProperties>
</file>