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41CA" w:rsidP="000B68CA" w:rsidRDefault="000541CA" w14:paraId="7E31D6DD" w14:textId="21D73A7C">
      <w:pPr>
        <w:jc w:val="center"/>
        <w:rPr>
          <w:rFonts w:ascii="Montserrat" w:hAnsi="Montserrat"/>
          <w:b w:val="1"/>
          <w:bCs w:val="1"/>
        </w:rPr>
      </w:pPr>
      <w:r w:rsidRPr="130BD16E" w:rsidR="779AA519">
        <w:rPr>
          <w:rFonts w:ascii="Montserrat" w:hAnsi="Montserrat"/>
          <w:b w:val="1"/>
          <w:bCs w:val="1"/>
        </w:rPr>
        <w:t xml:space="preserve">6.F. </w:t>
      </w:r>
      <w:r w:rsidRPr="130BD16E" w:rsidR="000541CA">
        <w:rPr>
          <w:rFonts w:ascii="Montserrat" w:hAnsi="Montserrat"/>
          <w:b w:val="1"/>
          <w:bCs w:val="1"/>
        </w:rPr>
        <w:t xml:space="preserve">Proyectos </w:t>
      </w:r>
      <w:r w:rsidRPr="130BD16E" w:rsidR="000B68CA">
        <w:rPr>
          <w:rFonts w:ascii="Montserrat" w:hAnsi="Montserrat"/>
          <w:b w:val="1"/>
          <w:bCs w:val="1"/>
        </w:rPr>
        <w:t xml:space="preserve">vinculados a los </w:t>
      </w:r>
      <w:r w:rsidRPr="130BD16E" w:rsidR="000B68CA">
        <w:rPr>
          <w:rFonts w:ascii="Montserrat" w:hAnsi="Montserrat"/>
          <w:b w:val="1"/>
          <w:bCs w:val="1"/>
        </w:rPr>
        <w:t>p</w:t>
      </w:r>
      <w:bookmarkStart w:name="_GoBack" w:id="0"/>
      <w:bookmarkEnd w:id="0"/>
      <w:r w:rsidRPr="130BD16E" w:rsidR="000B68CA">
        <w:rPr>
          <w:rFonts w:ascii="Montserrat" w:hAnsi="Montserrat"/>
          <w:b w:val="1"/>
          <w:bCs w:val="1"/>
        </w:rPr>
        <w:t xml:space="preserve">roblemas </w:t>
      </w:r>
      <w:r w:rsidRPr="130BD16E" w:rsidR="000B68CA">
        <w:rPr>
          <w:rFonts w:ascii="Montserrat" w:hAnsi="Montserrat"/>
          <w:b w:val="1"/>
          <w:bCs w:val="1"/>
        </w:rPr>
        <w:t>n</w:t>
      </w:r>
      <w:r w:rsidRPr="130BD16E" w:rsidR="000B68CA">
        <w:rPr>
          <w:rFonts w:ascii="Montserrat" w:hAnsi="Montserrat"/>
          <w:b w:val="1"/>
          <w:bCs w:val="1"/>
        </w:rPr>
        <w:t>acionales</w:t>
      </w:r>
      <w:r w:rsidRPr="130BD16E" w:rsidR="000B68CA">
        <w:rPr>
          <w:rFonts w:ascii="Montserrat" w:hAnsi="Montserrat"/>
          <w:b w:val="1"/>
          <w:bCs w:val="1"/>
        </w:rPr>
        <w:t xml:space="preserve"> identificados en los P</w:t>
      </w:r>
      <w:r w:rsidRPr="130BD16E" w:rsidR="000B68CA">
        <w:rPr>
          <w:rFonts w:ascii="Montserrat" w:hAnsi="Montserrat"/>
          <w:b w:val="1"/>
          <w:bCs w:val="1"/>
        </w:rPr>
        <w:t xml:space="preserve">rogramas </w:t>
      </w:r>
      <w:r w:rsidRPr="130BD16E" w:rsidR="000B68CA">
        <w:rPr>
          <w:rFonts w:ascii="Montserrat" w:hAnsi="Montserrat"/>
          <w:b w:val="1"/>
          <w:bCs w:val="1"/>
        </w:rPr>
        <w:t>N</w:t>
      </w:r>
      <w:r w:rsidRPr="130BD16E" w:rsidR="000B68CA">
        <w:rPr>
          <w:rFonts w:ascii="Montserrat" w:hAnsi="Montserrat"/>
          <w:b w:val="1"/>
          <w:bCs w:val="1"/>
        </w:rPr>
        <w:t xml:space="preserve">acionales </w:t>
      </w:r>
      <w:r w:rsidRPr="130BD16E" w:rsidR="000B68CA">
        <w:rPr>
          <w:rFonts w:ascii="Montserrat" w:hAnsi="Montserrat"/>
          <w:b w:val="1"/>
          <w:bCs w:val="1"/>
        </w:rPr>
        <w:t>E</w:t>
      </w:r>
      <w:r w:rsidRPr="130BD16E" w:rsidR="000B68CA">
        <w:rPr>
          <w:rFonts w:ascii="Montserrat" w:hAnsi="Montserrat"/>
          <w:b w:val="1"/>
          <w:bCs w:val="1"/>
        </w:rPr>
        <w:t>stratégicos (PRONACES)</w:t>
      </w:r>
    </w:p>
    <w:p w:rsidR="000B68CA" w:rsidP="000B68CA" w:rsidRDefault="000B68CA" w14:paraId="02D07702" w14:textId="12724B3D">
      <w:pPr>
        <w:jc w:val="center"/>
        <w:rPr>
          <w:rFonts w:ascii="Montserrat" w:hAnsi="Montserrat"/>
          <w:b/>
          <w:bCs/>
        </w:rPr>
      </w:pPr>
    </w:p>
    <w:p w:rsidRPr="000B68CA" w:rsidR="000B68CA" w:rsidP="000B68CA" w:rsidRDefault="000B68CA" w14:paraId="45BD2FE4" w14:textId="6BAE455D">
      <w:pPr>
        <w:spacing w:line="276" w:lineRule="auto"/>
        <w:jc w:val="both"/>
        <w:rPr>
          <w:rFonts w:ascii="Montserrat" w:hAnsi="Montserrat"/>
        </w:rPr>
      </w:pPr>
      <w:r w:rsidRPr="000B68CA">
        <w:rPr>
          <w:rFonts w:ascii="Montserrat" w:hAnsi="Montserrat"/>
        </w:rPr>
        <w:t>En términos de la nueva política nacional en HCTI, ECOSUR ha mostrado una extensa participación en los programas nacionales estratégicos (PRONACES)</w:t>
      </w:r>
      <w:r>
        <w:rPr>
          <w:rFonts w:ascii="Montserrat" w:hAnsi="Montserrat"/>
        </w:rPr>
        <w:t xml:space="preserve"> durante el 2022</w:t>
      </w:r>
      <w:r w:rsidRPr="000B68CA">
        <w:rPr>
          <w:rFonts w:ascii="Montserrat" w:hAnsi="Montserrat"/>
        </w:rPr>
        <w:t>. A continuación,</w:t>
      </w:r>
      <w:r>
        <w:rPr>
          <w:rFonts w:ascii="Montserrat" w:hAnsi="Montserrat"/>
        </w:rPr>
        <w:t xml:space="preserve"> se enlistan 42 proyectos que han estado vigentes o bien que concluyeron en 2022. Sobre los proyectos concluidos se menciona brevemente su impacto o incidencia.</w:t>
      </w:r>
      <w:r w:rsidRPr="000B68CA">
        <w:rPr>
          <w:rFonts w:ascii="Montserrat" w:hAnsi="Montserrat"/>
        </w:rPr>
        <w:t xml:space="preserve"> </w:t>
      </w:r>
    </w:p>
    <w:p w:rsidR="000541CA" w:rsidRDefault="000541CA" w14:paraId="5E9E6BB5" w14:textId="77777777"/>
    <w:tbl>
      <w:tblPr>
        <w:tblW w:w="5000" w:type="pct"/>
        <w:tblCellMar>
          <w:left w:w="70" w:type="dxa"/>
          <w:right w:w="70" w:type="dxa"/>
        </w:tblCellMar>
        <w:tblLook w:val="04A0" w:firstRow="1" w:lastRow="0" w:firstColumn="1" w:lastColumn="0" w:noHBand="0" w:noVBand="1"/>
      </w:tblPr>
      <w:tblGrid>
        <w:gridCol w:w="2846"/>
        <w:gridCol w:w="3188"/>
        <w:gridCol w:w="3454"/>
      </w:tblGrid>
      <w:tr w:rsidRPr="000541CA" w:rsidR="000B68CA" w:rsidTr="000B68CA" w14:paraId="7BA326A4" w14:textId="77777777">
        <w:trPr>
          <w:trHeight w:val="551"/>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36D43BEF" w14:textId="77777777">
            <w:pPr>
              <w:jc w:val="center"/>
              <w:rPr>
                <w:rFonts w:ascii="Montserrat" w:hAnsi="Montserrat" w:eastAsia="Times New Roman" w:cs="Arial"/>
                <w:b/>
                <w:bCs/>
                <w:color w:val="000000" w:themeColor="text1"/>
                <w:szCs w:val="22"/>
                <w:lang w:val="es-MX" w:eastAsia="es-MX"/>
              </w:rPr>
            </w:pPr>
            <w:r w:rsidRPr="000541CA">
              <w:rPr>
                <w:rFonts w:ascii="Montserrat" w:hAnsi="Montserrat" w:eastAsia="Times New Roman" w:cs="Arial"/>
                <w:b/>
                <w:bCs/>
                <w:color w:val="000000" w:themeColor="text1"/>
                <w:szCs w:val="22"/>
                <w:lang w:val="es-MX" w:eastAsia="es-MX"/>
              </w:rPr>
              <w:t>Titulo</w:t>
            </w:r>
            <w:r w:rsidRPr="000541CA">
              <w:rPr>
                <w:rFonts w:ascii="Montserrat Light" w:hAnsi="Montserrat Light" w:eastAsia="Times New Roman" w:cs="Montserrat Light"/>
                <w:b/>
                <w:bCs/>
                <w:color w:val="000000" w:themeColor="text1"/>
                <w:szCs w:val="22"/>
                <w:lang w:val="es-MX" w:eastAsia="es-MX"/>
              </w:rPr>
              <w:t> </w:t>
            </w:r>
          </w:p>
        </w:tc>
        <w:tc>
          <w:tcPr>
            <w:tcW w:w="1680" w:type="pct"/>
            <w:tcBorders>
              <w:top w:val="single" w:color="auto" w:sz="4" w:space="0"/>
              <w:left w:val="nil"/>
              <w:bottom w:val="single" w:color="auto" w:sz="4" w:space="0"/>
              <w:right w:val="single" w:color="auto" w:sz="4" w:space="0"/>
            </w:tcBorders>
            <w:shd w:val="clear" w:color="auto" w:fill="auto"/>
            <w:vAlign w:val="center"/>
            <w:hideMark/>
          </w:tcPr>
          <w:p w:rsidRPr="000541CA" w:rsidR="000B68CA" w:rsidP="000B68CA" w:rsidRDefault="000B68CA" w14:paraId="17E95A9A" w14:textId="21C37180">
            <w:pPr>
              <w:jc w:val="center"/>
              <w:rPr>
                <w:rFonts w:ascii="Montserrat" w:hAnsi="Montserrat" w:eastAsia="Times New Roman" w:cs="Arial"/>
                <w:b/>
                <w:bCs/>
                <w:color w:val="000000" w:themeColor="text1"/>
                <w:szCs w:val="22"/>
                <w:lang w:val="es-MX" w:eastAsia="es-MX"/>
              </w:rPr>
            </w:pPr>
            <w:r w:rsidRPr="000541CA">
              <w:rPr>
                <w:rFonts w:ascii="Montserrat" w:hAnsi="Montserrat" w:eastAsia="Times New Roman" w:cs="Arial"/>
                <w:b/>
                <w:bCs/>
                <w:color w:val="000000" w:themeColor="text1"/>
                <w:szCs w:val="22"/>
                <w:lang w:val="es-MX" w:eastAsia="es-MX"/>
              </w:rPr>
              <w:t>Impacto o incidencia</w:t>
            </w:r>
          </w:p>
        </w:tc>
        <w:tc>
          <w:tcPr>
            <w:tcW w:w="1820" w:type="pct"/>
            <w:tcBorders>
              <w:top w:val="single" w:color="auto" w:sz="4" w:space="0"/>
              <w:left w:val="nil"/>
              <w:bottom w:val="single" w:color="auto" w:sz="4" w:space="0"/>
              <w:right w:val="single" w:color="auto" w:sz="4" w:space="0"/>
            </w:tcBorders>
            <w:shd w:val="clear" w:color="auto" w:fill="auto"/>
            <w:vAlign w:val="center"/>
            <w:hideMark/>
          </w:tcPr>
          <w:p w:rsidRPr="000541CA" w:rsidR="000B68CA" w:rsidP="000B68CA" w:rsidRDefault="000B68CA" w14:paraId="6E458243" w14:textId="77777777">
            <w:pPr>
              <w:jc w:val="center"/>
              <w:rPr>
                <w:rFonts w:ascii="Montserrat" w:hAnsi="Montserrat" w:eastAsia="Times New Roman" w:cs="Arial"/>
                <w:b/>
                <w:bCs/>
                <w:color w:val="000000" w:themeColor="text1"/>
                <w:szCs w:val="22"/>
                <w:lang w:val="es-MX" w:eastAsia="es-MX"/>
              </w:rPr>
            </w:pPr>
            <w:r w:rsidRPr="000541CA">
              <w:rPr>
                <w:rFonts w:ascii="Montserrat" w:hAnsi="Montserrat" w:eastAsia="Times New Roman" w:cs="Arial"/>
                <w:b/>
                <w:bCs/>
                <w:color w:val="000000" w:themeColor="text1"/>
                <w:szCs w:val="22"/>
                <w:lang w:val="es-MX" w:eastAsia="es-MX"/>
              </w:rPr>
              <w:t>Objetivo</w:t>
            </w:r>
          </w:p>
        </w:tc>
      </w:tr>
      <w:tr w:rsidRPr="000541CA" w:rsidR="000B68CA" w:rsidTr="000B68CA" w14:paraId="5482D757"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3D0E6DC5"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Evaluación de plantaciones forestales experimentales y estudio de mercado de dos variedades de Ochroma Pyramidale en el trópico húmedo de Chiapas y Campeche.</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39A9EEFE"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Las plantaciones de madera balsa pueden funcionar como una opción más para el desarrollo de la actividad forestal en la región sur sureste del país.</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474245F6"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Evaluar el establecimiento y crecimiento de los árboles de dos variedades de O. pyramidale en diferentes calidades de sitio, monocultivo, policultivo, así como las características del mercado nacional e internacional de su madera para la región tropical de México.</w:t>
            </w:r>
          </w:p>
        </w:tc>
      </w:tr>
      <w:tr w:rsidRPr="000541CA" w:rsidR="000B68CA" w:rsidTr="000B68CA" w14:paraId="0D2C44A0"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3A8C10CD"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Programa de salud ambiental para la disminución de las desigualdades socioambientales derivadas de la exposición a contaminantes en la región de Coatzacoalcos-Minatitlan-Jaltipan de Morelos, Veracruz.</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1B10582" w14:textId="68D0B612">
            <w:pPr>
              <w:jc w:val="both"/>
              <w:rPr>
                <w:rFonts w:ascii="Montserrat" w:hAnsi="Montserrat" w:eastAsia="Times New Roman" w:cs="Arial"/>
                <w:szCs w:val="22"/>
                <w:lang w:val="es-MX" w:eastAsia="es-MX"/>
              </w:rPr>
            </w:pP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4F2D052C"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Ejecutar y evaluar un programa de evaluación integrada de riesgos para disminuir la exposición ambiental y los efectos adversos para la salud frente a los agentes tóxicos prioritarios generados por la actividad petrolera de la región de Interés. Establecer un programa de salud ambiental para la disminución de las desigualdades socioambientales derivadas de la exposición a contaminantes basados en criterios de evaluación de riesgos por exposición a agentes tóxicos relacionados con la Industria petrolera.</w:t>
            </w:r>
          </w:p>
        </w:tc>
      </w:tr>
      <w:tr w:rsidRPr="000541CA" w:rsidR="000B68CA" w:rsidTr="000B68CA" w14:paraId="544E52C3"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76516738"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Abejas y territorios: fortalecimiento de la acción colectiva de apicultoras y apicultores en territorios con diversidad biocultural de la península de Yucatán para transitar hacia regímenes socioambientales más equitativos y sostenibles.</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5B50D2AF" w14:textId="48AA52BD">
            <w:pPr>
              <w:jc w:val="both"/>
              <w:rPr>
                <w:rFonts w:ascii="Montserrat" w:hAnsi="Montserrat" w:eastAsia="Times New Roman" w:cs="Arial"/>
                <w:szCs w:val="22"/>
                <w:lang w:val="es-MX" w:eastAsia="es-MX"/>
              </w:rPr>
            </w:pP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46AF75FD"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Incidir en el fortalecimiento de la acción colectiva en territorios campesino e indígenas de la Peninsula de Yucatán, construcción de aprendizajes y capacidades sociales y técnicas en la producción agroecológica, la conservación de la agrobiodiversidad solidarias y la generación de espacios para la defensa del patrimonio biocultura, esto se logrará con base en trabajos de investigación para comprender en profundidad las afectaciones a las abejas, polinizadores y apicultores, derivadas de la intensificación agrícola en la península como las estrategias de las y los apicultores ante la situación identificada.</w:t>
            </w:r>
          </w:p>
        </w:tc>
      </w:tr>
      <w:tr w:rsidRPr="000541CA" w:rsidR="000B68CA" w:rsidTr="000B68CA" w14:paraId="1F3C1BE2"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5BC9D33D"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Sistemas socioecológicos sustentables en territorios cafetaleros del sureste de México, segunda fase.</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41610173" w14:textId="49350A35">
            <w:pPr>
              <w:jc w:val="both"/>
              <w:rPr>
                <w:rFonts w:ascii="Montserrat" w:hAnsi="Montserrat" w:eastAsia="Times New Roman" w:cs="Arial"/>
                <w:szCs w:val="22"/>
                <w:lang w:val="es-MX" w:eastAsia="es-MX"/>
              </w:rPr>
            </w:pP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41817A42"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Desarrollar estrategias de investigación e incidencia para contribuir al fortalecimiento de organizaciones y productores/as en territorios cafetaleros mediante cinco ejes de acción: adaptación al cambio climático, innovación de una caja de herramientas de buenas prácticas para la producción de café, alimentación saludable, innovación de mercado y actividades transversales de incidencia.</w:t>
            </w:r>
          </w:p>
        </w:tc>
      </w:tr>
      <w:tr w:rsidRPr="000541CA" w:rsidR="000B68CA" w:rsidTr="000B68CA" w14:paraId="1F72A66B"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600661C6"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Escenarios de riesgo zoonótico en el neotrópico mexicano: uso de modelos nulos.</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7081C1CF"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 xml:space="preserve">Este proyecto, conjuntó de manera novedosa, la información disponible en repositorios nacionales y extranjeros de acceso </w:t>
            </w:r>
            <w:r w:rsidRPr="000541CA">
              <w:rPr>
                <w:rFonts w:ascii="Montserrat" w:hAnsi="Montserrat" w:eastAsia="Times New Roman" w:cs="Arial"/>
                <w:szCs w:val="22"/>
                <w:lang w:val="es-MX" w:eastAsia="es-MX"/>
              </w:rPr>
              <w:lastRenderedPageBreak/>
              <w:t xml:space="preserve">abierto, para generar por primera vez: 1) un listado de las 34 especies de roedores y murciélagos que fungen como potenciales reservorios de virus causantes de fiebres hemorrágicas, cuyas distribuciones geográficas son amplias y se sobrelapan unas sobre otras en el Neotrópico mexicano (incluyendo el sureste); 2) que coincidentemente en estas áreas confluyen una serie de factores biosocioeconómicos involucrados en el origen de áreas de riesgo zoonótico o hotspots para fiebres hemorrágicas virales (FVH); 3) los escenarios 2040-2060, planteados por Gao y Pasaressi (2021) de diferentes tasas de cambio de uso de suelo en el Neotrópico mexicano con el traslape de la riqueza de especies de roedores y murciélagos posibles reservorios de fiebres hemorrágicas virales y 4) la ocurrencia de casos humanos de FHV en el Neotrópico mexicano. Lo anterior ayuda a responder las preguntas fundamentales en el tema de enfermedades infecciosas zoonóticas y la información se adiciona en bases de datos y mapas para la identificación de </w:t>
            </w:r>
            <w:r w:rsidRPr="000541CA">
              <w:rPr>
                <w:rFonts w:ascii="Montserrat" w:hAnsi="Montserrat" w:eastAsia="Times New Roman" w:cs="Arial"/>
                <w:szCs w:val="22"/>
                <w:lang w:val="es-MX" w:eastAsia="es-MX"/>
              </w:rPr>
              <w:lastRenderedPageBreak/>
              <w:t>áreas potenciales de brotes de enfermedades infecciosas zoonóticas en el Neotrópico mexicano. El conjunto de información (bases de datos y mapas) es relevante y puede servir de base para futuros estudios dentro del paradigma de Una Salud (One Health) el cual ha cobrado mayor relevancia a partir de la pandemia de COVID-19.</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3CF5094D"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 xml:space="preserve">Pretende comprobar la hipótesis a una escala nacional de que el riesgo de emergencia de enfermedades infecciosas zoonóticas de tipo </w:t>
            </w:r>
            <w:r w:rsidRPr="000541CA">
              <w:rPr>
                <w:rFonts w:ascii="Montserrat" w:hAnsi="Montserrat" w:eastAsia="Times New Roman" w:cs="Arial"/>
                <w:szCs w:val="22"/>
                <w:lang w:val="es-MX" w:eastAsia="es-MX"/>
              </w:rPr>
              <w:t>de fiebres hemorrágicas virales se ve favorecida con la degradación antropogénica del hábitat (deforestación, urbanización y agricultura intensiva), la densidad poblacional y la riqueza de reservorios potenciales. Se enfoca en roedores y murciélagos y el pronóstico de la ubicación de áreas de riesgo zoonótico se hará bajo diferentes escenarios hipotéticos basados en tasas contrastantes de cambio del uso del suelo.</w:t>
            </w:r>
          </w:p>
        </w:tc>
      </w:tr>
      <w:tr w:rsidRPr="000541CA" w:rsidR="000B68CA" w:rsidTr="000B68CA" w14:paraId="78A68B1D"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0C670960"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Rescate y mejoramiento participativo de prácticas agroecológicas tradicionales de producción de carne y leche de las regiones de clima tropical de México para mejorar el autoabasto de alimentos de calidad de las familias campesinas vulnerable</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CC0E4B4" w14:textId="12D55C2A">
            <w:pPr>
              <w:jc w:val="both"/>
              <w:rPr>
                <w:rFonts w:ascii="Montserrat" w:hAnsi="Montserrat" w:eastAsia="Times New Roman" w:cs="Arial"/>
                <w:szCs w:val="22"/>
                <w:lang w:val="es-MX" w:eastAsia="es-MX"/>
              </w:rPr>
            </w:pP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2F12A090"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Incrementar la disponibilidad y el consumo de leche y carne de bovino y/o ovino para las familias y las comunidades de los sistemas campesinos de producción de ganado de las</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regiones de clima tropical y semitropical del centro y sur de México, a través del desarrollo de mejores estrategias de alimentación para el ganado bovino y la mejora de los agroecosistemas tradicionales de producción para llevar a cabo una ganadería campesina más productiva, social y ambientalmente sustentable y baja en emisiones de carbono.</w:t>
            </w:r>
          </w:p>
        </w:tc>
      </w:tr>
      <w:tr w:rsidRPr="000541CA" w:rsidR="000B68CA" w:rsidTr="000B68CA" w14:paraId="40619F7C"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2833D514"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Jardín etnobiológico de las selvas del Soconusco: Propuesta del Jardín Botánico Regional del Soconusco (ECO-TAP-JB) y Herbario (ECO-TA-H)</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4E91300A"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 xml:space="preserve">La región del Soconusco, está a riesgo de perder su patrimonio natural, la identidad cultural, y las posibilidades para los comunitarios de mantener un sustento digno e independiente a largo plazo. La experiencia y conocimientos empíricos </w:t>
            </w:r>
            <w:r w:rsidRPr="000541CA">
              <w:rPr>
                <w:rFonts w:ascii="Montserrat" w:hAnsi="Montserrat" w:eastAsia="Times New Roman" w:cs="Arial"/>
                <w:szCs w:val="22"/>
                <w:lang w:val="es-MX" w:eastAsia="es-MX"/>
              </w:rPr>
              <w:lastRenderedPageBreak/>
              <w:t xml:space="preserve">se ignoran y se desprecian por las olas de programas para la “modernización” y la “tecnificación” de la producción agrícola, que se trata de productos ajenos a la región y cuya comercialización solo favorezca las caras anónimas de compañías transnacionales. El Jardín Etnobiológico de las Selvas del Soconusco (JESS) ahora representa un puente para reconectar el entorno y trayectoria ecológico, ambiental y cultural de la región, con las poblaciones modernas, actuales, que sufren de pérdida de identidad, un grave deterioro en su salud físico y mental y procesos educativos mediocres y hasta irrelevantes para poder enfrentar los retos y crisis de este siglo. Nos vinculamos con las comunidades rurales, las poblaciones urbanas, el sector educativo y agrupaciones de personas con metas educativas, sociales, ambientales o culturales particulares. Ofrecemos capacitación, experiencias prácticas, asesorías, acompañamiento y acceso a las bases de datos y las otras fuentes informativas (publicaciones, folletos, manuales etc.). Actualmente estamos </w:t>
            </w:r>
            <w:r w:rsidRPr="000541CA">
              <w:rPr>
                <w:rFonts w:ascii="Montserrat" w:hAnsi="Montserrat" w:eastAsia="Times New Roman" w:cs="Arial"/>
                <w:szCs w:val="22"/>
                <w:lang w:val="es-MX" w:eastAsia="es-MX"/>
              </w:rPr>
              <w:lastRenderedPageBreak/>
              <w:t>aprovechando las vías modernas de las redes sociales, los cortometrajes, y las opciones de enseñanzas y participaciones en línea para extender los alcances de nuestros conocimientos, actividades y propuestas.</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32ECC580"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 xml:space="preserve">El Jardín Botánico Regional del Soconusco solicita ser participe y apoyar en “el establecimiento, desarrollo o consolidación de una red de Jardines Etnobiológicos”, y en lo particular, de ser seleccionados, cambiaremos de nombre a Jardín Etnobiológico de las Selvas </w:t>
            </w:r>
            <w:r w:rsidRPr="000541CA">
              <w:rPr>
                <w:rFonts w:ascii="Montserrat" w:hAnsi="Montserrat" w:eastAsia="Times New Roman" w:cs="Arial"/>
                <w:szCs w:val="22"/>
                <w:lang w:val="es-MX" w:eastAsia="es-MX"/>
              </w:rPr>
              <w:lastRenderedPageBreak/>
              <w:t>del Soconusco. Fortaleceremos nuestras capacidades para representar, exhibir y conservar la flora regional del Soconusco de altitudes de 20 a 600m, y la fauna asociada a ella. Nos dedicaremos a la recuperación, generación y resguardo del conocimiento etnobiológico relacionado con las selvas de esta región geográfica. Promoveremos la difusión y el acceso universal a este conocimiento y acompañaremos a comunidades cercanas para fomentar el cuidado consiente de su patrimonio natural y el manejo informado y sustentable de sus recursos naturales.</w:t>
            </w:r>
          </w:p>
        </w:tc>
      </w:tr>
      <w:tr w:rsidRPr="000541CA" w:rsidR="000B68CA" w:rsidTr="000B68CA" w14:paraId="30168E9C"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7C3025AB"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Desarrollo de bases de datos y recursos bioinformáticos novedosos para el análisis metagenómico masivo de metazoa: más allá de una forma fácil de estudiar la diversidad alfa en los bosques tropicales de México.</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29C5BDB" w14:textId="1E3D609F">
            <w:pPr>
              <w:jc w:val="both"/>
              <w:rPr>
                <w:rFonts w:ascii="Montserrat" w:hAnsi="Montserrat" w:eastAsia="Times New Roman" w:cs="Arial"/>
                <w:szCs w:val="22"/>
                <w:lang w:val="es-MX" w:eastAsia="es-MX"/>
              </w:rPr>
            </w:pP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37CA6C5"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Descubrir la diversidad genética de Metazoa en los bosques tropicales de México a a través de un muestreo riguroso de muestras ambientales colectadas en hábitats acuáticos y terrestres, y el desarrollo de recursos, herramientas y análisis bioinformáticos</w:t>
            </w:r>
          </w:p>
        </w:tc>
      </w:tr>
      <w:tr w:rsidRPr="000541CA" w:rsidR="000B68CA" w:rsidTr="000B68CA" w14:paraId="2E445825"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6C69D59B"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Alternativas biorracionales para el manejo de mosca de la fruta sin agrotóxicos y su interacción con residuos de glifosato en la región del soconusco, Chiapas.</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7F68B3AF"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 xml:space="preserve">(1) La Técnica del Insecto Estéril (TIE) es un método de control de plagas amigable con el ambiente y que representa una alternativa para el uso de agrotóxicos. En el caso de la mosca de la fruta, Anastrepha obliqua, se conocerá y comparará la microbiota asociada a moscas silvestres y estériles. A partir de esta comparación se identificarán especies con potencial de ser usadas como probióticos para mejorar el desempeño de los insectos estériles. </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 xml:space="preserve">(2) Varios aislados de los hongos entomopatógenos Beauveria bassiana y Metarhizium anisopliae han </w:t>
            </w:r>
            <w:r w:rsidRPr="000541CA">
              <w:rPr>
                <w:rFonts w:ascii="Montserrat" w:hAnsi="Montserrat" w:eastAsia="Times New Roman" w:cs="Arial"/>
                <w:szCs w:val="22"/>
                <w:lang w:val="es-MX" w:eastAsia="es-MX"/>
              </w:rPr>
              <w:lastRenderedPageBreak/>
              <w:t>resultado eficaces para infectar y causar la muerte de moscas de la fruta. Para la mosca mexicana de la fruta, Anastrepha ludens, se conocerá y comparará la eficacia del control de moscas silvestres utilizando dispositivos de infección con esporas del hongo entomopatógeno B. bassiana en poblaciones silvestres de la plaga. También se determinará la densidad óptima de dispositivos/ha en huertos de mango cv. “Ataulfo” para hacer un manejo eficaz de la plaga libre de agrotóxicos.</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(3) A pesar de que el glifosato se considera altamente específico para el control de arvenses, se han observado efectos indeseados en microorganismos y animales. Se cuantificará la concentración de glifosato en cuerpos de agua y suelo, y los microorganismos de los puntos 1 y 2 se someterán a pruebas de susceptibilidad a las concentraciones de glifosato detectadas.</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(4) Estos resultados permitirán mejorar las técnicas de control de moscas de la fruta en la región.</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6EC247AB"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Cuantificar concentraciones de glifosato en el agropaisaje y su impacto en tecnologías sustentables de manejo de moscas de la fruta basadas en conocimientos ecológicos, libres de agrotóxicos.</w:t>
            </w:r>
          </w:p>
        </w:tc>
      </w:tr>
      <w:tr w:rsidRPr="000541CA" w:rsidR="000B68CA" w:rsidTr="000B68CA" w14:paraId="617A0EB7"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0EF64203"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Desarrollo de protocolo para la degradación de glifosato en suelos y agua empleando microorganismos y enzimas con capacidades ligninolíticas inmovilizados en diversos soportes</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2BB34433"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Si se obtienen los resultados esperados, esta tecnología podría ser empleada en suelos y agua contaminada, provocando una disminución del impacto ambiental, la biodiversidad se vería menos impactada así como también se eliminarían problemas de salud humana y animal al estar menos expuestos a este herbicida.</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Los beneficios sería a nivel local pero que también pueden ser extrapolables a nivel nacional o mundial, ya que el glifosato distribuido en todo el planeta. Si la tecnología desarrollada logra obtener buenos niveles de degradación del glifosato, se podrían realizar una segunda etapa para escalar los procesos que se obtengan en esta primer etapa y posteriormente se podrían realizar transferencias de tecnología, obtener patentes, realizar el desarrollo tecnológico para obtener un producto de innovación tecnológica que pueda ser comercializado en un futuro a mediano y largo plazo.</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74C342B"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Evaluar diversos sistemas de inmovilización de microorganismos y enzimas con capacidades ligninolíticas para la degradación de glifosato en suelos y agua.</w:t>
            </w:r>
          </w:p>
        </w:tc>
      </w:tr>
      <w:tr w:rsidRPr="000541CA" w:rsidR="000B68CA" w:rsidTr="000B68CA" w14:paraId="0D338746"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22936C0E"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 xml:space="preserve">Virus de plantas en aguas residuales y superficiales: ¿indicadores de la calidad del agua o </w:t>
            </w:r>
            <w:r w:rsidRPr="000541CA">
              <w:rPr>
                <w:rFonts w:ascii="Montserrat" w:hAnsi="Montserrat" w:eastAsia="Times New Roman" w:cs="Arial"/>
                <w:szCs w:val="22"/>
                <w:lang w:val="es-MX" w:eastAsia="es-MX"/>
              </w:rPr>
              <w:lastRenderedPageBreak/>
              <w:t>amenazas para la agricultura?</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475DE3C8"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 xml:space="preserve">El Soconusco es una región eminentemente agrícola. Los resultados sugieren que la presencia de Tobamovirus en aguas residuales utilizadas para el </w:t>
            </w:r>
            <w:r w:rsidRPr="000541CA">
              <w:rPr>
                <w:rFonts w:ascii="Montserrat" w:hAnsi="Montserrat" w:eastAsia="Times New Roman" w:cs="Arial"/>
                <w:szCs w:val="22"/>
                <w:lang w:val="es-MX" w:eastAsia="es-MX"/>
              </w:rPr>
              <w:lastRenderedPageBreak/>
              <w:t>riego agrícola debe ser monitoreada y de ser necesario implementar normas de calidad de agua que establezcan los límites permitidos de estos virus, así como fortalecer las estrategias de tratamiento de aguas residuales domésticas en la región.</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77F85721"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 xml:space="preserve">Evaluar la presencia de tobamovirus en aguas residuales y aguas superficiales a través de análisis bioinformáticos de metagenomas albergados en </w:t>
            </w:r>
            <w:r w:rsidRPr="000541CA">
              <w:rPr>
                <w:rFonts w:ascii="Montserrat" w:hAnsi="Montserrat" w:eastAsia="Times New Roman" w:cs="Arial"/>
                <w:szCs w:val="22"/>
                <w:lang w:val="es-MX" w:eastAsia="es-MX"/>
              </w:rPr>
              <w:lastRenderedPageBreak/>
              <w:t>bases de datos públicas, para comparar su diversidad y distribución; así como para comparar los genomas de las cepas infecciosas reportadas previamente con los genomas de tobamovirus detectados en otros metagenomas. De esta manera se podrá estimar si existe riesgo potencial infecciones por estos virus y sus alcances geográficos.</w:t>
            </w:r>
          </w:p>
        </w:tc>
      </w:tr>
      <w:tr w:rsidRPr="000541CA" w:rsidR="000B68CA" w:rsidTr="000B68CA" w14:paraId="43A155E7"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0CD94CB1"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Marcos normativos y morales en las prácticas de los derechos humanos en atención a la población migrante en la frontera sur de México.</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7036D48C"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El análisis crítico del paradigma de derechos humanos y sus problemáticas en las prácticas políticas pueden ser insumo para la elaboración de políticas en un futuro; la base de datos de los instrumentos internacionales sobre los derechos humanos para la población migrante para ser consultado. Además, la investigación sobre los derechos humanos de la población migrantes se alinea con los ejes de prácticas del Plan Municipal de Desarrollo (2022-2024) de Tapachula, donde el enfoque de derechos humanos es uno de los ejes transversales de sus planes.</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028501C3"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Desafiar al paradigma normativo de los derechos humanos en la materia de la movilidad humana y analizarlo de manera crítica, retomando el enfoque anterior a los dispositivos político como un producto cultural y esclarecer el aspecto moral y ético de este término que se resalta a lo largo de las prácticas locales en donde se interactúa día a día diferentes actores, los habitantes locales, los funcionarios de diferentes niveles, las organziaciones civíles entre otros.</w:t>
            </w:r>
          </w:p>
        </w:tc>
      </w:tr>
      <w:tr w:rsidRPr="000541CA" w:rsidR="000B68CA" w:rsidTr="000B68CA" w14:paraId="2DBA6163"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1F696460"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Moderación del paisaje sobre patrones de biodiversidad: contribución a la teoría del paisaje.</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3E1F1341"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 xml:space="preserve">Se ha contribuido enormemente a caracterizar 128 sitios de estudio y a mapear la zona de acuerdo con las principales coberturas de suelo que existen. Esto es de vital importancia ya que </w:t>
            </w:r>
            <w:r w:rsidRPr="000541CA">
              <w:rPr>
                <w:rFonts w:ascii="Montserrat" w:hAnsi="Montserrat" w:eastAsia="Times New Roman" w:cs="Arial"/>
                <w:szCs w:val="22"/>
                <w:lang w:val="es-MX" w:eastAsia="es-MX"/>
              </w:rPr>
              <w:lastRenderedPageBreak/>
              <w:t>al caracterizar la estructura del paisaje con métricas de composición y configuración podremos probar hipótesis y evaluar las predicciones propuestas en este proyecto de investigación. Además de aportar información a la hipótesis del papel del paisaje como moderador de patrones de biodiversidad y poder predecir los impactos de las actividades humanas sobre la comunidad de especies arbóreas.</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49326786"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 xml:space="preserve">Contribuir con datos a la teoria ecológica del paisaje, de manera particular a la dicusión en torno a la hi´´otesis del papel del paisaje como moderdor de patrones de biodiversidad, usando como modelo de </w:t>
            </w:r>
            <w:r w:rsidRPr="000541CA">
              <w:rPr>
                <w:rFonts w:ascii="Montserrat" w:hAnsi="Montserrat" w:eastAsia="Times New Roman" w:cs="Arial"/>
                <w:szCs w:val="22"/>
                <w:lang w:val="es-MX" w:eastAsia="es-MX"/>
              </w:rPr>
              <w:lastRenderedPageBreak/>
              <w:t>estudio comunidades de árboles tropicales en diferentes ecosistemas de la Sierra Madre de Chiapas y su variación ante la composición y configuracion del paisaje.</w:t>
            </w:r>
          </w:p>
        </w:tc>
      </w:tr>
      <w:tr w:rsidRPr="000541CA" w:rsidR="000B68CA" w:rsidTr="000B68CA" w14:paraId="73A41057"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6236E768"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Jardín etnobiológico de las selvas del soconusco: propuesta del jardín botánico regional del soconusco herbario (ECO-TAP-H). Segunda etapa.</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2943D1A"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Se ha consolidado y legitimizado el desarrollo de de este importante reservorio de germoplasma y saberes de la región del Soconusco, que ahora representa el estado de Chiapas en la Red Nacional de Jardínes Etnobiológicos.</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5BF8D22E"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Representar, ehibir y conservar la flora regional del soconusco de altitudes de 20 a 600 M y la fauna asociada a eli recuperación, generación y resguardo del conocimiento etnobiológico relacionado con las selvas de esta región geográfica.</w:t>
            </w:r>
          </w:p>
        </w:tc>
      </w:tr>
      <w:tr w:rsidRPr="000541CA" w:rsidR="000B68CA" w:rsidTr="000B68CA" w14:paraId="1C077D06"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7813CD71"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Ensamblaje y anotación funcional de genomas de los murciélagos endémicos mexicanos</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26B736D7" w14:textId="33B0716E">
            <w:pPr>
              <w:jc w:val="both"/>
              <w:rPr>
                <w:rFonts w:ascii="Montserrat" w:hAnsi="Montserrat" w:eastAsia="Times New Roman" w:cs="Arial"/>
                <w:szCs w:val="22"/>
                <w:lang w:val="es-MX" w:eastAsia="es-MX"/>
              </w:rPr>
            </w:pPr>
            <w:r w:rsidRPr="000541CA">
              <w:rPr>
                <w:rFonts w:ascii="Montserrat Light" w:hAnsi="Montserrat Light" w:eastAsia="Times New Roman" w:cs="Montserrat Light"/>
                <w:szCs w:val="22"/>
                <w:lang w:val="es-MX" w:eastAsia="es-MX"/>
              </w:rPr>
              <w:t> </w:t>
            </w: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5DBFA41B"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Ensamblar de novo y caracterizar los genomas mediante su anotación funcional de las especies de murciélagos endémicos de México.</w:t>
            </w:r>
          </w:p>
        </w:tc>
      </w:tr>
      <w:tr w:rsidRPr="000541CA" w:rsidR="000B68CA" w:rsidTr="000B68CA" w14:paraId="19489069"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66540128"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Plataforma multi-actor para la democratización energética desde iniciativas de economía social y solidaria en comunidades rurales-urbanas en Tabasco.</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466644D3"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 xml:space="preserve">El impacto ya generado en la región (Chontalpa, principalmente Cunduacán y Comalcalco) es que ha habido discusiones innovadoras con segmentos de la población organizada en cooperativas sobre la necesidad y la posibilidad de una transición energética que considera la generación </w:t>
            </w:r>
            <w:r w:rsidRPr="000541CA">
              <w:rPr>
                <w:rFonts w:ascii="Montserrat" w:hAnsi="Montserrat" w:eastAsia="Times New Roman" w:cs="Arial"/>
                <w:szCs w:val="22"/>
                <w:lang w:val="es-MX" w:eastAsia="es-MX"/>
              </w:rPr>
              <w:lastRenderedPageBreak/>
              <w:t>distribuida de energía en apoyo a iniciativas económicas de la población, particularmente artesanas, carpinteros, productores de cacao, productoras de chocolate y productores de funciones ecosistémicos.</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5C6B3E79"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 xml:space="preserve">Elaboración de un diagnóstico socio-económico y energético de las iniciativas de economía social y solidaria y los emprendimientos familiares. </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 xml:space="preserve">Formulación participativa entre actores de alternativas energéticas desde la transdisciplina. </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 xml:space="preserve">Implementar alternativas de generación de energía </w:t>
            </w:r>
            <w:r w:rsidRPr="000541CA">
              <w:rPr>
                <w:rFonts w:ascii="Montserrat" w:hAnsi="Montserrat" w:eastAsia="Times New Roman" w:cs="Arial"/>
                <w:szCs w:val="22"/>
                <w:lang w:val="es-MX" w:eastAsia="es-MX"/>
              </w:rPr>
              <w:lastRenderedPageBreak/>
              <w:t>renovable comunitario a nivel piloto con una selección de actores en la zona de estudio (municipio de Comalcalco y Nacajuca, Tabasco).</w:t>
            </w:r>
          </w:p>
        </w:tc>
      </w:tr>
      <w:tr w:rsidRPr="000541CA" w:rsidR="000B68CA" w:rsidTr="000B68CA" w14:paraId="4D27D349"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0FD8C791"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El impacto de megaproyectos en sistemas socioecológicos desde una perspectiva transdisciplinaria: el programa de desarrollo integral en los territorios del tren maya.</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3CC36733" w14:textId="12FC4F3F">
            <w:pPr>
              <w:jc w:val="both"/>
              <w:rPr>
                <w:rFonts w:ascii="Montserrat" w:hAnsi="Montserrat" w:eastAsia="Times New Roman" w:cs="Arial"/>
                <w:szCs w:val="22"/>
                <w:lang w:val="es-MX" w:eastAsia="es-MX"/>
              </w:rPr>
            </w:pP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2F5AE59F"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Fortalecer la capacidad de organización y empoderamiento de los diferentes actores sociales que habitan los territorios que serán impactados por el megaproyecto asociado al Tren Maya, a partir de información independiente y certera generada por un monitoreo que favorezca la autogestión del territorio con la finalidad de co-fortalecer la salvaguarda de la biodiversidad y patrimonio biocultural con un enfoque de desarrollo orientado a la sustentabilidad. Esto a partir de procesos participativos, co-generativos para la producción de conocimiento independiente, confiable, continuo, accesible y asequible que permita reconocer y alertar sobre las condiciones de cambio del sistema de estudio durante los próximos tres años.</w:t>
            </w:r>
          </w:p>
        </w:tc>
      </w:tr>
      <w:tr w:rsidRPr="000541CA" w:rsidR="000B68CA" w:rsidTr="000B68CA" w14:paraId="5E598DF6"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0BE17F26" w14:textId="77777777">
            <w:pPr>
              <w:rPr>
                <w:rFonts w:ascii="Montserrat" w:hAnsi="Montserrat" w:eastAsia="Times New Roman" w:cs="Arial"/>
                <w:color w:val="000000"/>
                <w:szCs w:val="22"/>
                <w:lang w:val="es-MX" w:eastAsia="es-MX"/>
              </w:rPr>
            </w:pPr>
            <w:r w:rsidRPr="000541CA">
              <w:rPr>
                <w:rFonts w:ascii="Montserrat" w:hAnsi="Montserrat" w:eastAsia="Times New Roman" w:cs="Arial"/>
                <w:color w:val="000000"/>
                <w:szCs w:val="22"/>
                <w:lang w:val="es-MX" w:eastAsia="es-MX"/>
              </w:rPr>
              <w:t>Eco</w:t>
            </w:r>
            <w:r w:rsidRPr="000541CA">
              <w:rPr>
                <w:rFonts w:ascii="Montserrat Light" w:hAnsi="Montserrat Light" w:eastAsia="Times New Roman" w:cs="Montserrat Light"/>
                <w:color w:val="000000"/>
                <w:szCs w:val="22"/>
                <w:lang w:val="es-MX" w:eastAsia="es-MX"/>
              </w:rPr>
              <w:t> </w:t>
            </w:r>
            <w:r w:rsidRPr="000541CA">
              <w:rPr>
                <w:rFonts w:ascii="Montserrat" w:hAnsi="Montserrat" w:eastAsia="Times New Roman" w:cs="Arial"/>
                <w:color w:val="000000"/>
                <w:szCs w:val="22"/>
                <w:lang w:val="es-MX" w:eastAsia="es-MX"/>
              </w:rPr>
              <w:t>hidrología para la sustentabilidad y gobernanza del agua y cuencas para el bien común.</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4FD1F7B5" w14:textId="7478E5E5">
            <w:pPr>
              <w:jc w:val="both"/>
              <w:rPr>
                <w:rFonts w:ascii="Montserrat" w:hAnsi="Montserrat" w:eastAsia="Times New Roman" w:cs="Arial"/>
                <w:szCs w:val="22"/>
                <w:lang w:val="es-MX" w:eastAsia="es-MX"/>
              </w:rPr>
            </w:pP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4518AAB4"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Generar las bases para la Gobernanza climáticamente resiliente usando el diálogo de saberes en cinco zonas</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 xml:space="preserve">Piloto, para co-d iseñar un sistema de evaluación/monitoreo que </w:t>
            </w:r>
            <w:r w:rsidRPr="000541CA">
              <w:rPr>
                <w:rFonts w:ascii="Montserrat" w:hAnsi="Montserrat" w:eastAsia="Times New Roman" w:cs="Arial"/>
                <w:szCs w:val="22"/>
                <w:lang w:val="es-MX" w:eastAsia="es-MX"/>
              </w:rPr>
              <w:lastRenderedPageBreak/>
              <w:t>garantice el buen manejo del agua y sus cuencas, el buen común y la justicia ambiental.</w:t>
            </w:r>
          </w:p>
        </w:tc>
      </w:tr>
      <w:tr w:rsidRPr="000541CA" w:rsidR="000B68CA" w:rsidTr="000B68CA" w14:paraId="149CBC1A"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2CA7F6A7"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Pesca artesanal y Soberanía Alimentaria: Nichos de Innovación para promover el consumo y ampliar la distribución de productos pesqueros en la Península de Yucatán.</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7C704612"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El proyecto es una primera fase que comprendió la elaboración de una propuesta en extenso. De esta forma, no hay impacto, dado que no se ha realizado la propuesta entregada a CONACYT.</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7A3D16B3"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Identificar nichos de innovación propuestos por actores sociales, que por un lado, promuevan un consumo culturalmente adecuado de pescado y mariscos para incidir en la mejora del estado nutricional de grupos comunitarios de ingresos medio y bajo de la península de Yucatán, y por el otro lado, evalúen y consideren la viabilidad de ampliar el circuito territorial actual del producto-consumo de pescado y mariscos en la península de Yucatán.</w:t>
            </w:r>
          </w:p>
        </w:tc>
      </w:tr>
      <w:tr w:rsidRPr="000541CA" w:rsidR="000B68CA" w:rsidTr="000B68CA" w14:paraId="0454FE5C"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5BE8FAA6"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Las selvas de la Península de Yucatán durante el Holoceno Medio y Tardío: Una compleja interacción de dinámica y resilencia.</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0F88EF04" w14:textId="5D18835E">
            <w:pPr>
              <w:jc w:val="both"/>
              <w:rPr>
                <w:rFonts w:ascii="Montserrat" w:hAnsi="Montserrat" w:eastAsia="Times New Roman" w:cs="Arial"/>
                <w:szCs w:val="22"/>
                <w:lang w:val="es-MX" w:eastAsia="es-MX"/>
              </w:rPr>
            </w:pP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3462062"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Analizar la paleoecología de selvas de la penìnsula de Yucatán, usando diferentes proxies y analizar su resilencia ante cambios climáticos del Holoceno tardío</w:t>
            </w:r>
          </w:p>
        </w:tc>
      </w:tr>
      <w:tr w:rsidRPr="000541CA" w:rsidR="000B68CA" w:rsidTr="000B68CA" w14:paraId="69E94B77"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4BAED016"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Nichos isotópicos de invertebrados marinos clave para entender la degradación de los arrecifes coralinos del Caribe.</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08E3DDC8" w14:textId="10748CAF">
            <w:pPr>
              <w:jc w:val="both"/>
              <w:rPr>
                <w:rFonts w:ascii="Montserrat" w:hAnsi="Montserrat" w:eastAsia="Times New Roman" w:cs="Arial"/>
                <w:szCs w:val="22"/>
                <w:lang w:val="es-MX" w:eastAsia="es-MX"/>
              </w:rPr>
            </w:pP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28C0076B"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Identificar los procesos biológicos y ecológicos que modifican las</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interacciones biológicas, la estructura trófica y la resiliencia de ecosistemas de arrecifes de coral en un</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gradiente de degradación, con el fin de establecer el papel de las interaciones tróficas de especies clave</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para entender la degradación arrecifa! en una escala espacio-temporal en los arrecifes coralinos del sur de</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Quintana Roo.</w:t>
            </w:r>
          </w:p>
        </w:tc>
      </w:tr>
      <w:tr w:rsidRPr="000541CA" w:rsidR="000B68CA" w:rsidTr="000B68CA" w14:paraId="7C45986E"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36010BE4"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El color, sonido, gusto y tacto del mundo maya en representación de los saberes ambientales mayas macehuales y la riqueza biocultural de la Península de Yucatán.</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4FAAA2A7"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 xml:space="preserve">Impactamos directamente en la región al coadyuvar en la conservación de la riqueza biocultural y el desarrollo sustentable de la Península de Yucatán, no sólo de las 65 hectáreas en las que se ubica el JBDABM, sino también de las áreas aledañas señaladas en el Plan de Desarrollo Urbano vigente como “Parque Ecológico” y extensivamente en la Península de Yucatán. </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 xml:space="preserve">Por las altas tasas de turismo nacional e internacional de la zona, la relevancia de la riqueza biocultural de la Península de Yucatán y la conciencia de sus particulares problemáticas ambientales, culturales y económicas, tiene alcance internacional. </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 xml:space="preserve">Considerando que la estrategia de interpretación ambiental permanecerá instalada en el Jardín Botánico, la población local y visitante se verá favorecida por las diferentes intervenciones, el intercambio de saberes y la experiencia en los senderos interpretativos, así como por el enriquecimiento de los acervos de conocimientos científicos, culturales y creativos. Al ampliar el </w:t>
            </w:r>
            <w:r w:rsidRPr="000541CA">
              <w:rPr>
                <w:rFonts w:ascii="Montserrat" w:hAnsi="Montserrat" w:eastAsia="Times New Roman" w:cs="Arial"/>
                <w:szCs w:val="22"/>
                <w:lang w:val="es-MX" w:eastAsia="es-MX"/>
              </w:rPr>
              <w:lastRenderedPageBreak/>
              <w:t xml:space="preserve">pensamiento alternativo con ayuda de estas intervenciones, se propicia la toma de decisiones responsables y conscientes sobre la forma en que se utilizan los recursos: agua, aire, suelo, energía, alimentos, etc., así como la capacidad de las personas para controlar e influir sobre las decisiones que adoptan quienes gestionan los recursos, tanto políticos como técnicos. </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Todo el material interpretativo tiene un alcance regional, podrá ser utilizado para replicar nuestra estrategia en diferentes espacios.</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602EBE40"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Diseñar, desarrollar e implementar una estrategia de comunicación, interpretación y educación ambiental, en el Jardín Botánico Dr. Alfredo Barrera Marín (JBDABM), abordando las problemáticas socioambientales de la región. Mediante un diálogo con los saberes Mayas Macehuales y su riqueza biocultural, y utilizando el arte en todas sus facetas de color, sonido, gusto y tacto cómo vehículo, fomentar el cuidado al medio ambiente, la conciencia para una vida saludable y la prevención de la violencia de género.</w:t>
            </w:r>
          </w:p>
        </w:tc>
      </w:tr>
      <w:tr w:rsidRPr="000541CA" w:rsidR="000B68CA" w:rsidTr="000B68CA" w14:paraId="6C0443F6"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14F5A57B"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Memoria, conocimiento y valor social a partir del uso de la flora y fauna medicinal en Ich Ek, Hopelchén, Campeche.</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2319292" w14:textId="1606C930">
            <w:pPr>
              <w:jc w:val="both"/>
              <w:rPr>
                <w:rFonts w:ascii="Montserrat" w:hAnsi="Montserrat" w:eastAsia="Times New Roman" w:cs="Arial"/>
                <w:szCs w:val="22"/>
                <w:lang w:val="es-MX" w:eastAsia="es-MX"/>
              </w:rPr>
            </w:pPr>
            <w:r>
              <w:rPr>
                <w:rFonts w:ascii="Montserrat" w:hAnsi="Montserrat" w:eastAsia="Times New Roman" w:cs="Arial"/>
                <w:szCs w:val="22"/>
                <w:lang w:val="es-MX" w:eastAsia="es-MX"/>
              </w:rPr>
              <w:t>E</w:t>
            </w:r>
            <w:r w:rsidRPr="000541CA">
              <w:rPr>
                <w:rFonts w:ascii="Montserrat" w:hAnsi="Montserrat" w:eastAsia="Times New Roman" w:cs="Arial"/>
                <w:szCs w:val="22"/>
                <w:lang w:val="es-MX" w:eastAsia="es-MX"/>
              </w:rPr>
              <w:t>n el caso de Ich Ek, las expresiones asociadas a la herbolaria y fauna medicinal muestran indicios de innovaciones culturales porque se observan en conflicto anhelos, aspiraciones, valores necesidades locales contrarias al dominio socioeconómico.</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2D0B6DF"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Elaborar una propuesta de proyecto para registrar y analizar la memoria cultural, los valores sociales a partir del uso de la herbolaria y fauna medicinal, que utilizan hombres y mujeres de mediana edad de la comunidad de ICh Ek, hopelchén, campeche.</w:t>
            </w:r>
          </w:p>
        </w:tc>
      </w:tr>
      <w:tr w:rsidRPr="000541CA" w:rsidR="000B68CA" w:rsidTr="000B68CA" w14:paraId="6C9DE5FA"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7AB0142E" w14:textId="77777777">
            <w:pPr>
              <w:jc w:val="center"/>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La desafiante coexistencia de los sistemas socio-ecológicos acoplados; las industrias de la pesca y petróleo en la sonda de Campeche</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7B006125" w14:textId="6245DFC0">
            <w:pPr>
              <w:jc w:val="both"/>
              <w:rPr>
                <w:rFonts w:ascii="Montserrat" w:hAnsi="Montserrat" w:eastAsia="Times New Roman" w:cs="Arial"/>
                <w:szCs w:val="22"/>
                <w:lang w:val="es-MX" w:eastAsia="es-MX"/>
              </w:rPr>
            </w:pP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589BD096"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 xml:space="preserve">Identificar y representar espacialmente el sistema socio-ecológico acoplado que opera en la Sonda de Campeche para comprender las circunstancias actuales de los conflictos entre pesca y extracción de hidrocarburos, y así poder promover esquemas de planificación transdisciplinaria que </w:t>
            </w:r>
            <w:r w:rsidRPr="000541CA">
              <w:rPr>
                <w:rFonts w:ascii="Montserrat" w:hAnsi="Montserrat" w:eastAsia="Times New Roman" w:cs="Arial"/>
                <w:szCs w:val="22"/>
                <w:lang w:val="es-MX" w:eastAsia="es-MX"/>
              </w:rPr>
              <w:lastRenderedPageBreak/>
              <w:t>favorezcan la convivencia sostenible de ambas actividades productivas en el mismo gran paisaje marino.</w:t>
            </w:r>
          </w:p>
        </w:tc>
      </w:tr>
      <w:tr w:rsidRPr="000541CA" w:rsidR="000B68CA" w:rsidTr="000B68CA" w14:paraId="1FEED619"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008C9FB6"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lastRenderedPageBreak/>
              <w:t>Programa de salud ambiental para la disminución de las desigualdades socioambiéntales derivadas de la exposición a contaminantes en la región de Coatzacoalcos-Minatitlan-Jaltipan de Morelos, Veracruz.</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30C78B7" w14:textId="2DA5C236">
            <w:pPr>
              <w:jc w:val="both"/>
              <w:rPr>
                <w:rFonts w:ascii="Montserrat" w:hAnsi="Montserrat" w:eastAsia="Times New Roman" w:cs="Arial"/>
                <w:szCs w:val="22"/>
                <w:lang w:val="es-MX" w:eastAsia="es-MX"/>
              </w:rPr>
            </w:pP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607FBFD2"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Elaborar una propuesta de investigación de largo alcance</w:t>
            </w:r>
          </w:p>
        </w:tc>
      </w:tr>
      <w:tr w:rsidRPr="000541CA" w:rsidR="000B68CA" w:rsidTr="000B68CA" w14:paraId="2F1FAC60"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28984BC2"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t>Sistemas socioecológicos sustentables en territorios cafetaleros del sureste de México.</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6E289FFF" w14:textId="4B1855F4">
            <w:pPr>
              <w:jc w:val="both"/>
              <w:rPr>
                <w:rFonts w:ascii="Montserrat" w:hAnsi="Montserrat" w:eastAsia="Times New Roman" w:cs="Arial"/>
                <w:szCs w:val="22"/>
                <w:lang w:val="es-MX" w:eastAsia="es-MX"/>
              </w:rPr>
            </w:pP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278EDF77"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Planificación de un proyecto sobre sistemas socioecológicos en territorios cafetaleros.</w:t>
            </w:r>
          </w:p>
        </w:tc>
      </w:tr>
      <w:tr w:rsidRPr="000541CA" w:rsidR="000B68CA" w:rsidTr="000B68CA" w14:paraId="5B175077"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6D24B80A"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t>Abejas y territorios: análisis y fortalecimiento del papel de los apicultores del sureste de México en la sustentabilidad de sus territorios en un contexto de intensificación agrícola.</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5D5CDD38" w14:textId="7FA63E4A">
            <w:pPr>
              <w:jc w:val="both"/>
              <w:rPr>
                <w:rFonts w:ascii="Montserrat" w:hAnsi="Montserrat" w:eastAsia="Times New Roman" w:cs="Arial"/>
                <w:szCs w:val="22"/>
                <w:lang w:val="es-MX" w:eastAsia="es-MX"/>
              </w:rPr>
            </w:pP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4E9F94AB"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Es entender y fortalecer la acción colectiva de los apicultores por la defensa del patrimonio biocultural del sureste de México, a través de un conjunto de análisis, acciones concretas y procesos formativos. Para ello se buscará dar cada paso con base en el diálogo de saberes entre los actores de este proyecto y en los territorios en los cuales se trabajará, considerando su gran diversidad, lo cual permitirá construir un acercamiento transdisciplinario .</w:t>
            </w:r>
          </w:p>
        </w:tc>
      </w:tr>
      <w:tr w:rsidRPr="000541CA" w:rsidR="000B68CA" w:rsidTr="000B68CA" w14:paraId="5B89C54F"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2876D819"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t xml:space="preserve">Evaluación de plantaciones forestales experimentales y estudio de mercado de dos variedades de </w:t>
            </w:r>
            <w:r w:rsidRPr="000541CA">
              <w:rPr>
                <w:rFonts w:ascii="Montserrat" w:hAnsi="Montserrat" w:eastAsia="Times New Roman"/>
                <w:color w:val="000000"/>
                <w:szCs w:val="22"/>
                <w:lang w:val="es-MX" w:eastAsia="es-MX"/>
              </w:rPr>
              <w:lastRenderedPageBreak/>
              <w:t xml:space="preserve">Ochroma Pyramidale en el trópico húmedo de Chiapas y Campeche.                                                                                                                                                                                                                                                   </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072BAAC1" w14:textId="77777777">
            <w:pPr>
              <w:jc w:val="both"/>
              <w:rPr>
                <w:rFonts w:ascii="Montserrat" w:hAnsi="Montserrat" w:eastAsia="Times New Roman" w:cs="Arial"/>
                <w:szCs w:val="22"/>
                <w:lang w:val="es-MX" w:eastAsia="es-MX"/>
              </w:rPr>
            </w:pPr>
            <w:r w:rsidRPr="000541CA">
              <w:rPr>
                <w:rFonts w:ascii="Montserrat Light" w:hAnsi="Montserrat Light" w:eastAsia="Times New Roman" w:cs="Montserrat Light"/>
                <w:szCs w:val="22"/>
                <w:lang w:val="es-MX" w:eastAsia="es-MX"/>
              </w:rPr>
              <w:lastRenderedPageBreak/>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31426782"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 xml:space="preserve">Evaluar el establecimiento y crecimiento de los árboles de dos variedades de O. pyramidale en diferentes calidades de sitio, </w:t>
            </w:r>
            <w:r w:rsidRPr="000541CA">
              <w:rPr>
                <w:rFonts w:ascii="Montserrat" w:hAnsi="Montserrat" w:eastAsia="Times New Roman" w:cs="Arial"/>
                <w:szCs w:val="22"/>
                <w:lang w:val="es-MX" w:eastAsia="es-MX"/>
              </w:rPr>
              <w:lastRenderedPageBreak/>
              <w:t>monocultivo, policultivo, así como las características del mercado nacional e internacional de su madera para la región tropical de México.</w:t>
            </w:r>
          </w:p>
        </w:tc>
      </w:tr>
      <w:tr w:rsidRPr="000541CA" w:rsidR="000B68CA" w:rsidTr="000B68CA" w14:paraId="04D624B9"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4F6354CB"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lastRenderedPageBreak/>
              <w:t>Fortalecimiento de infraestructura y acreditación de métodos analíticos para evaluación de riesgos por exposición a contaminantes en escenarios rurales vulnerables del sureste de México.</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3AABD768"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Se fortalecerá la capacidad analítica de ECOSUR consolidándose como un centro referente en análisis instrumentales de diversa índole para el Sur de México.</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6D738C31"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Proyecto de adquisición de infraestructura</w:t>
            </w:r>
          </w:p>
        </w:tc>
      </w:tr>
      <w:tr w:rsidRPr="000541CA" w:rsidR="000B68CA" w:rsidTr="000B68CA" w14:paraId="33610FBE"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264B767F"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t>Integridad, manejo y restauración de los socio-ecosistemas de cuencas transfronterizas del sur de México.</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5E1DB72" w14:textId="27B0961E">
            <w:pPr>
              <w:jc w:val="both"/>
              <w:rPr>
                <w:rFonts w:ascii="Montserrat" w:hAnsi="Montserrat" w:eastAsia="Times New Roman" w:cs="Arial"/>
                <w:szCs w:val="22"/>
                <w:lang w:val="es-MX" w:eastAsia="es-MX"/>
              </w:rPr>
            </w:pP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4AC5C63"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Elaborar una propuesta de investigación que permita generar conocimiento y alternativas que incidan en el desarrollo sustentable del paisaje socioambiental de cuencas transfronterizas del sur de México.</w:t>
            </w:r>
          </w:p>
        </w:tc>
      </w:tr>
      <w:tr w:rsidRPr="000541CA" w:rsidR="000B68CA" w:rsidTr="000B68CA" w14:paraId="48DF467F"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2DA5B455"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t xml:space="preserve">Fortalecimiento del laboratorio nacional LABTAA para el análisis de contaminantes emergentes en cuerpos de agua de regiones de emergencia ambiental   </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2A647179" w14:textId="3680EE4A">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El fortalecimiento de la infraestructura de LaBTAA, contribuirá a corto plazo en el monitoreo de contaminantes emergentes y moléculas que contaminan los ecosistemas tropicales. Por tanto, además del académico, el sector de la salud y el sector agrícola se ven beneficiados al aumentar las capacidades de métodos para detección de plaguicidas y otras sustancias químicas utilizadas que no se encuentran en cantidades referidas en las normativas.</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 xml:space="preserve">Este proyecto contribuye </w:t>
            </w:r>
            <w:r w:rsidRPr="000541CA">
              <w:rPr>
                <w:rFonts w:ascii="Montserrat" w:hAnsi="Montserrat" w:eastAsia="Times New Roman" w:cs="Arial"/>
                <w:szCs w:val="22"/>
                <w:lang w:val="es-MX" w:eastAsia="es-MX"/>
              </w:rPr>
              <w:lastRenderedPageBreak/>
              <w:t>en la generación de conocimiento y la innovación por el uso de métodos y servicios que no son de fácil acceso en el sur de México. Particularmente, se tienen mayores elementos para incrementar y asegurar una oferta de servicios analíticos para el desarrollo de proyectos de investigación e incidencia socio - ambiental, de los Proyectos Nacionales de Investigación e Incidencia (PRONAIIS) del Programa Nacional Estratégico de Agentes Tóxicos y Procesos Contaminantes.</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6A61E6C7"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Fortalecer las capacidades del Laboratorios Nacionales LaBTAA (Laboratorio de Biotecnología Ambiental y Agroecológica) para el desarrollo de proyectos de investigación e incidencia socio-ambiental, que fortalezcan a los Proyectos Nacionales de Investigación e Incidencia (PRONAIIs) del Programa Nacional Estratégico de Agentes Tóxicos y Procesos Contaminantes.</w:t>
            </w:r>
          </w:p>
        </w:tc>
      </w:tr>
      <w:tr w:rsidRPr="000541CA" w:rsidR="000B68CA" w:rsidTr="000B68CA" w14:paraId="372B98F1"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38A046AF"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t>Alternativas biorracionales para el manejo de mosca de la fruta sin agrotóxicos y su interacción con residuos de glifosato en la región del soconusco, Chiapas.</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39E1426A" w14:textId="3C7BD2D7">
            <w:pPr>
              <w:jc w:val="both"/>
              <w:rPr>
                <w:rFonts w:ascii="Montserrat" w:hAnsi="Montserrat" w:eastAsia="Times New Roman" w:cs="Arial"/>
                <w:szCs w:val="22"/>
                <w:lang w:val="es-MX" w:eastAsia="es-MX"/>
              </w:rPr>
            </w:pPr>
            <w:r w:rsidRPr="000541CA">
              <w:rPr>
                <w:rFonts w:ascii="Montserrat Light" w:hAnsi="Montserrat Light" w:eastAsia="Times New Roman" w:cs="Montserrat Light"/>
                <w:szCs w:val="22"/>
                <w:lang w:val="es-MX" w:eastAsia="es-MX"/>
              </w:rPr>
              <w:t> </w:t>
            </w: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1BDBDEB"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Cuantificar concentraciones de glifosato en el agropaisaje y su impacto en tecnologías sustentables de manejo de moscas de la fruta basadas en conocimientos ecológicos, libres de agrotóxicos.</w:t>
            </w:r>
          </w:p>
        </w:tc>
      </w:tr>
      <w:tr w:rsidRPr="000541CA" w:rsidR="000B68CA" w:rsidTr="000B68CA" w14:paraId="6474D2F0"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1E9734B6"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t>Pesca y petróleo: línea base para el uso compartido de los espacios marinos en la costa de Tabasco</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35BD86F3"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 xml:space="preserve">La meta del proyecto fue establecer las bases de futuras investigaciones. Por ello es que con el proyecto se proporcionó información, métodos y productos que buscan mejorar –a corto, mediano y largo plazo– el quehacer científico sobre el entendimiento y gestión de los sistemas socioecológicos marinos y, a su vez, explorar los caminos a seguir para que actividades como la pesca </w:t>
            </w:r>
            <w:r w:rsidRPr="000541CA">
              <w:rPr>
                <w:rFonts w:ascii="Montserrat" w:hAnsi="Montserrat" w:eastAsia="Times New Roman" w:cs="Arial"/>
                <w:szCs w:val="22"/>
                <w:lang w:val="es-MX" w:eastAsia="es-MX"/>
              </w:rPr>
              <w:lastRenderedPageBreak/>
              <w:t>(alimento) puedan coexistir en regiones marinas como el Golfo de México, donde es clave el aprovechamiento de los recursos petroleros (energía).</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42EEF68A"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Establecer una línea base de conocimiento sistémico que permita entender las circunstancias actuales de los conflictos entre la pesca ribereña marina y la extracción de hidrocarburos en la costa de Tabasco, y así poder promover esquemas de planeación que propicien la coexistencia sostenible de ambas actividades productivas</w:t>
            </w:r>
          </w:p>
        </w:tc>
      </w:tr>
      <w:tr w:rsidRPr="000541CA" w:rsidR="000B68CA" w:rsidTr="000B68CA" w14:paraId="412A7688"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70CD33FA"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t>Adaptabilidad de los mosaicos rurales al cambio climático</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2C586E21"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 xml:space="preserve">Se ha generado conocimiento desde las disciplinas involucradas en el proyecto de las características socio-ecológicas de tres mosaicos rurales del sur de México, realizando las actividades del proyecto en los mismos sitios y los muestreos en diferentes temas en los mismos puntos en los agroecosistemas más importantes de cada mosaico rural y estableciendo espacios de intercambio de saberes con los actores locales en cada uno. Ello ha permitido abordar desde las distintas disciplinas y perspectivas, la adaptabilidad a las mismas escalas en los mismos contextos; lo cual permite relacionar lo encontrado en las diferentes temáticas (geografía, historia, antropología social, ecología espacial, biología, edafología, agronomía) y generar un entendimiento transdisciplinario de los mosaicos rurales estudiados en lo relativo a la adaptación al cambio </w:t>
            </w:r>
            <w:r w:rsidRPr="000541CA">
              <w:rPr>
                <w:rFonts w:ascii="Montserrat" w:hAnsi="Montserrat" w:eastAsia="Times New Roman" w:cs="Arial"/>
                <w:szCs w:val="22"/>
                <w:lang w:val="es-MX" w:eastAsia="es-MX"/>
              </w:rPr>
              <w:lastRenderedPageBreak/>
              <w:t>climático, desde una propuesta teórica que distingue adaptación, capacidad adaptativa y adaptabilidad transformativa como dimensiones de la misma. Esta aportación contribuye a generar una metodología transdisciplinaria en lo relativo al cambio climático en el mundo rural biocultural diverso de México, y es una alternativa para recetas verticales y empíricas, escasamente relacionadas con los saberes locales y la dinámica socio-ecológica local y regional.</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5785C02E"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Generar una metodología de análisis de las características socio-ambientales de mosaicos de uso de la tierra en el medio rural que definen su adaptabilidad al cambio climático</w:t>
            </w:r>
          </w:p>
        </w:tc>
      </w:tr>
      <w:tr w:rsidRPr="000541CA" w:rsidR="000B68CA" w:rsidTr="000B68CA" w14:paraId="27A70D61"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151226BC"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t>Factores asociados a las dislipidemias en población infantil de las regiones fronteriza de Chiapas y centro de Tabasco</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77D65667" w14:textId="424F2DF4">
            <w:pPr>
              <w:jc w:val="both"/>
              <w:rPr>
                <w:rFonts w:ascii="Montserrat" w:hAnsi="Montserrat" w:eastAsia="Times New Roman" w:cs="Arial"/>
                <w:szCs w:val="22"/>
                <w:lang w:val="es-MX" w:eastAsia="es-MX"/>
              </w:rPr>
            </w:pPr>
            <w:r>
              <w:rPr>
                <w:rFonts w:ascii="Montserrat" w:hAnsi="Montserrat" w:eastAsia="Times New Roman" w:cs="Arial"/>
                <w:szCs w:val="22"/>
                <w:lang w:val="es-MX" w:eastAsia="es-MX"/>
              </w:rPr>
              <w:t>P</w:t>
            </w:r>
            <w:r w:rsidRPr="000541CA">
              <w:rPr>
                <w:rFonts w:ascii="Montserrat" w:hAnsi="Montserrat" w:eastAsia="Times New Roman" w:cs="Arial"/>
                <w:szCs w:val="22"/>
                <w:lang w:val="es-MX" w:eastAsia="es-MX"/>
              </w:rPr>
              <w:t>ermite identificar las principales causas de problemas de salud relacionada con la obesidad infantil, diabetes y dislipidemias, para evitar problemas cardiovasculares tempranos</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74BD926B"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Conocer los factores sociales, hábitos saludables, uso de drogas, factores genéticos y el papel del microbioma intestinal que asociados a las dislipidemias en población pediátrica. En población en las regiones fronteriza de Chiapas y Centro de Tabasco.</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Conocer el impacto de las dislipidemias en población infantil y adolescente de estas entidades.</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Emitir recomendaciones y estrategias para la intervención o prevención de estas enfermedades con base a los hallazgos encontrados</w:t>
            </w:r>
          </w:p>
        </w:tc>
      </w:tr>
      <w:tr w:rsidRPr="000541CA" w:rsidR="000B68CA" w:rsidTr="000B68CA" w14:paraId="15BF8C59"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4EB91B7A"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t>Ampliación, complementación y conclusión de diagnóstico y escenarios en los territorios tren maya</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77D3E65E"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 xml:space="preserve">Dado que el propósito de CONACyT con la información aportada por el GC-TTM, es ofrecer información fundamentada a las comunidades, </w:t>
            </w:r>
            <w:r w:rsidRPr="000541CA">
              <w:rPr>
                <w:rFonts w:ascii="Montserrat" w:hAnsi="Montserrat" w:eastAsia="Times New Roman" w:cs="Arial"/>
                <w:szCs w:val="22"/>
                <w:lang w:val="es-MX" w:eastAsia="es-MX"/>
              </w:rPr>
              <w:lastRenderedPageBreak/>
              <w:t>gobierno, academia y sociedad interesada, con el propósito de acompañar, vigilar y en su caso corregir o proponer la suspensión de proyectos y procesos de alto riesgo asociados al Tren Maya, resulta prioritario proseguir, bajo los siguientes alcances:</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1)        Un libro científico ampliado a partir de los documentos de pre-diagnóstico entregado por el GC-TTM, listo para solicitud de ISBN y posterior distribución en formato digital y/o para enviar a impresión.</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2)        Un atlas cartográfico complementario independiente, de forma tal que pueda ser difundido sin necesidad de estar acompañada del libro científico y en formato PDF que pueda visualizarse en una página de internet.</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3)        Un directorio a la manera de un mapa de actores a partir de identificar organizaciones ciudadanas, liderazgos y autoridades locales presentes en la región.</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4)        Una cápsula de video con duración de 6 minutos que explique los escenarios, desafíos y riesgos a atenderse durante y después del Tren Maya a partir de los resultados expuestos en el libro científico.</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7398C14"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 xml:space="preserve">Ofrecer información fundamentada con el propósito de acompañar  proyectos y procesos de alto riesgo asociados al Tren Maya, a partir de un libro </w:t>
            </w:r>
            <w:r w:rsidRPr="000541CA">
              <w:rPr>
                <w:rFonts w:ascii="Montserrat" w:hAnsi="Montserrat" w:eastAsia="Times New Roman" w:cs="Arial"/>
                <w:szCs w:val="22"/>
                <w:lang w:val="es-MX" w:eastAsia="es-MX"/>
              </w:rPr>
              <w:lastRenderedPageBreak/>
              <w:t>científico ampliado a partir de los documentos de pre-diagnóstico, un atlas cartográfico, un mapa de actores, una cápsula de video y el diseño de página de internet del GC-TTM, colgado a servidor de CONACyT.</w:t>
            </w:r>
          </w:p>
        </w:tc>
      </w:tr>
      <w:tr w:rsidRPr="000541CA" w:rsidR="000B68CA" w:rsidTr="000B68CA" w14:paraId="20ECA410"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7077E4D5"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lastRenderedPageBreak/>
              <w:t>Metabolismo del ecosistema en ríos tropicales: la influencia de la estacionalidad hidrológica y las presiones humanas.</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26CE3DE1" w14:textId="77777777">
            <w:pPr>
              <w:jc w:val="both"/>
              <w:rPr>
                <w:rFonts w:ascii="Montserrat" w:hAnsi="Montserrat" w:eastAsia="Times New Roman" w:cs="Arial"/>
                <w:szCs w:val="22"/>
                <w:lang w:val="es-MX" w:eastAsia="es-MX"/>
              </w:rPr>
            </w:pP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5128AFC9"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Evaluar las respuestas del metabolismo del ecosistema en ríos tropicales a los cambios inducidos por la estacionalidad hidrológica y por las presiones humanas.</w:t>
            </w:r>
          </w:p>
        </w:tc>
      </w:tr>
      <w:tr w:rsidRPr="000541CA" w:rsidR="000B68CA" w:rsidTr="000B68CA" w14:paraId="5909E29E"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315EBED3"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t>El impacto de megaproyectos en sistemas socioecológicos desde una perspectiva transdisciplinaria: elprograma de desarrollo integral en los territorios del tren maya.</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427BD7F"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 xml:space="preserve">Este colectivo proponente con presencia (mayoritaria) física y vivida en los estados de la región del Tren Maya (Tabasco, Chiapas, Campeche, Yucatán y Quintana Roo), favorecerá la acción a partir de una agenda de investigación e incidencia en aras de estimar y valuar la amplitud, alcances, potencial pero también riesgos del programa de desarrollo asociado al megaproyecto que integra al Tren Maya, proponiendo, diseñando e implementando acciones alternativas. El colectivo complementará, pero también identificará contradicciones, desviaciones e impactos tanto positivos como potencialmente negativos; ofrecerá diseños para la construcción social de alternativas a partir del diálogo, trabajo colaborativo y co-generativo. Por tanto, la agenda de investigación e incidencia se complementará y validará en articulación con pueblos, diálogo constante con aquellos que </w:t>
            </w:r>
            <w:r w:rsidRPr="000541CA">
              <w:rPr>
                <w:rFonts w:ascii="Montserrat" w:hAnsi="Montserrat" w:eastAsia="Times New Roman" w:cs="Arial"/>
                <w:szCs w:val="22"/>
                <w:lang w:val="es-MX" w:eastAsia="es-MX"/>
              </w:rPr>
              <w:lastRenderedPageBreak/>
              <w:t>habitamos en la región que fortalezcan la salvaguarda de la biodiversidad con un enfoque de desarrollo orientado a la sustentabilidad.</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539D6A75"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El propósito central será posibilitar en los próximos 5 años, un uso ciudadano de información que permita la comprensión y análisis crítico del programa de desarrollo en el cual se adscribe el Tren Maya, a partir de:</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a) identificar los aspectos sociales, ambientales, culturales, económicos y políticos más relevantes y vulnerables para los territorios,</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b)seguimiento crítico y constructivo sobre impactos y posibles escenarios futuros.</w:t>
            </w:r>
          </w:p>
        </w:tc>
      </w:tr>
      <w:tr w:rsidRPr="000541CA" w:rsidR="000B68CA" w:rsidTr="000B68CA" w14:paraId="20C531B2"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6B47B89D"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t>Factores sociales, económicos, ecológicos y técnicos que limitan la consolidación del programa sembrandovida en tabasco.</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2AD988CC"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Atendiendo las demandas de la temática sobre el apuntalamiento de programas federales como Sembrando Vida, se buscó detectar las debilidades del programa para consolidarlo dentro de todas las áreas dividiéndolas en dos partes: la social y productiva, las cuales dentro de cada una se desarrollaron aspectos primordiales para fortalecerlo y que alcance el éxito socioeconómico, ecológico y técnico esperado. La importancia de concientizar y erradicar las prácticas de contaminación y mal manejo de recursos naturales, así como los usos y costumbres sociales y económicos que limitan la vida social de las comunidades e impiden el crecimiento personal de las y los beneficiarios, así como sus familias.</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 xml:space="preserve">Es importante recalcar la importancia y ambición del programa Sembrando Vida que busca enaltecer la vida campesina y la enseñanza de la sustentabilidad no sólo alimenticia sino </w:t>
            </w:r>
            <w:r w:rsidRPr="000541CA">
              <w:rPr>
                <w:rFonts w:ascii="Montserrat" w:hAnsi="Montserrat" w:eastAsia="Times New Roman" w:cs="Arial"/>
                <w:szCs w:val="22"/>
                <w:lang w:val="es-MX" w:eastAsia="es-MX"/>
              </w:rPr>
              <w:lastRenderedPageBreak/>
              <w:t>económica y social, siendo justamente estos elementos los que se atienden a través de este proyecto semilla. La salud pública, cultura ambiental, así como el manejo de los recursos económicos de las familias de las y los sembradores son indispensables para ver reflejada una mejor calidad de vida, pero también un mejor medio ambiente.</w:t>
            </w:r>
            <w:r w:rsidRPr="000541CA">
              <w:rPr>
                <w:rFonts w:ascii="Montserrat" w:hAnsi="Montserrat" w:eastAsia="Times New Roman" w:cs="Arial"/>
                <w:szCs w:val="22"/>
                <w:lang w:val="es-MX" w:eastAsia="es-MX"/>
              </w:rPr>
              <w:br/>
            </w:r>
            <w:r w:rsidRPr="000541CA">
              <w:rPr>
                <w:rFonts w:ascii="Montserrat" w:hAnsi="Montserrat" w:eastAsia="Times New Roman" w:cs="Arial"/>
                <w:szCs w:val="22"/>
                <w:lang w:val="es-MX" w:eastAsia="es-MX"/>
              </w:rPr>
              <w:t>Otro aspecto que cubre este proyecto es la atención a las y los jóvenes involucrados en un cambio mental y disciplinario que puede ser alentador para el futuro ambiental no sólo del país sino del mundo.</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7661CB67"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Es integrar una propuesta de investigación que identifique los factores socioeconómicos, ecológicos y técnicos que potencian o limitan la consolidación del programa sembrando vida en tabasco, así como determinar los beneficios en las comunidades incorporadas al proyecto</w:t>
            </w:r>
          </w:p>
        </w:tc>
      </w:tr>
      <w:tr w:rsidRPr="000541CA" w:rsidR="000B68CA" w:rsidTr="000B68CA" w14:paraId="37E38C1B"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48103622"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t>Descifrando el microbioma de la piel en ajolotes y las consecuencias de la interacción</w:t>
            </w:r>
            <w:r w:rsidRPr="000541CA">
              <w:rPr>
                <w:rFonts w:ascii="Montserrat" w:hAnsi="Montserrat" w:eastAsia="Times New Roman"/>
                <w:color w:val="000000"/>
                <w:szCs w:val="22"/>
                <w:lang w:val="es-MX" w:eastAsia="es-MX"/>
              </w:rPr>
              <w:br/>
            </w:r>
            <w:r w:rsidRPr="000541CA">
              <w:rPr>
                <w:rFonts w:ascii="Montserrat" w:hAnsi="Montserrat" w:eastAsia="Times New Roman"/>
                <w:color w:val="000000"/>
                <w:szCs w:val="22"/>
                <w:lang w:val="es-MX" w:eastAsia="es-MX"/>
              </w:rPr>
              <w:t>huésped-microbioma sobre una enfermedad letal emergente</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5233D5A2" w14:textId="72A2CAD2">
            <w:pPr>
              <w:jc w:val="both"/>
              <w:rPr>
                <w:rFonts w:ascii="Montserrat" w:hAnsi="Montserrat" w:eastAsia="Times New Roman" w:cs="Arial"/>
                <w:szCs w:val="22"/>
                <w:lang w:val="es-MX" w:eastAsia="es-MX"/>
              </w:rPr>
            </w:pPr>
            <w:r w:rsidRPr="000541CA">
              <w:rPr>
                <w:rFonts w:ascii="Montserrat Light" w:hAnsi="Montserrat Light" w:eastAsia="Times New Roman" w:cs="Montserrat Light"/>
                <w:szCs w:val="22"/>
                <w:lang w:val="es-MX" w:eastAsia="es-MX"/>
              </w:rPr>
              <w:t> </w:t>
            </w:r>
            <w:r w:rsidRPr="000B68CA">
              <w:rPr>
                <w:rFonts w:ascii="Montserrat" w:hAnsi="Montserrat" w:eastAsia="Times New Roman" w:cs="Arial"/>
                <w:szCs w:val="22"/>
                <w:lang w:val="es-MX" w:eastAsia="es-MX"/>
              </w:rPr>
              <w:t>En curso</w:t>
            </w:r>
            <w:r w:rsidRPr="000541CA">
              <w:rPr>
                <w:rFonts w:ascii="Montserrat Light" w:hAnsi="Montserrat Light" w:eastAsia="Times New Roman" w:cs="Montserrat Light"/>
                <w:szCs w:val="22"/>
                <w:lang w:val="es-MX" w:eastAsia="es-MX"/>
              </w:rPr>
              <w:t> </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2997995F"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Determinar si los factores genéticos del hospedero (diversidad genética, historia demográfica y respuesta inmune modulan la diversidad y estructura de las comunidades simbióticas de la piel en especies de ajolote (Ambystoma) endémicas a la Faja Volcánica Trans-Mexicana. Adicionalmente, se determinará si la incidencia de patógenos fúngicos en las poblaciones de ajolote se asocian con combinaciones específicas de factores asociados al hospedero y los rasgos del microbioma.</w:t>
            </w:r>
          </w:p>
        </w:tc>
      </w:tr>
      <w:tr w:rsidRPr="000541CA" w:rsidR="000B68CA" w:rsidTr="000B68CA" w14:paraId="5D3CE3A0"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2F82C34C"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lastRenderedPageBreak/>
              <w:t>Sembrando economías solidarias y soberanía agroalimentaria en territorios campesinos de la Península de Yucatán.</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765984E"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Contribuir en la transformación de la política pública para el campo mexicano y coadyuvar con SV a remontar el relegamiento en el bienestar de los sujetos agrarios, el desarrollo rural integral y la degradación ambiental en la PY, corresponde a un problema nacional debido a que en ello se identifican sujetos sociales, reconocen obstáculos a remontar, determina un espacio de incidencia y se busca acompañar a los sujetos en la construcción de instrumentos y de un contexto institucional propicio para solventar el problema. Los sujetos del proyecto son los sembradores y no sembradores de territorios campesinos-indígenas en micro-regiones de la PY, así como los funcionarios del programa. El espacio de incidencia es apuntalar regionalmente el funcionamiento de SV para que se articule con los sistemas productivos comunitarios, con las necesidades y culturas alimentarias locales y para que mejore los esquemas regionales de comercialización. El contexto institucional a construir es una nueva relación Estado-</w:t>
            </w:r>
            <w:r w:rsidRPr="000541CA">
              <w:rPr>
                <w:rFonts w:ascii="Montserrat" w:hAnsi="Montserrat" w:eastAsia="Times New Roman" w:cs="Arial"/>
                <w:szCs w:val="22"/>
                <w:lang w:val="es-MX" w:eastAsia="es-MX"/>
              </w:rPr>
              <w:lastRenderedPageBreak/>
              <w:t>campesinos-mercados, y entre los instrumentos destacan las alternativas agroecológicas de producción, los sistemas alimentarios localizados, y las figuras asociativas y expresiones comunitarias propias de las economías solidarias.</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2F90B357"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lastRenderedPageBreak/>
              <w:t>Apuntalar el programa sembrando vida para la construcción de soberanía  agroalimentaria y economías solidarias que coadyuven a mejorar el bienestar de los sujetos agrarios y a activar el desarrollo rural integral en territorios campesinos de la península de Yucatán</w:t>
            </w:r>
          </w:p>
        </w:tc>
      </w:tr>
      <w:tr w:rsidRPr="000541CA" w:rsidR="000B68CA" w:rsidTr="000B68CA" w14:paraId="1862A937" w14:textId="77777777">
        <w:trPr>
          <w:trHeight w:val="1290"/>
        </w:trPr>
        <w:tc>
          <w:tcPr>
            <w:tcW w:w="1500" w:type="pct"/>
            <w:tcBorders>
              <w:top w:val="nil"/>
              <w:left w:val="single" w:color="auto" w:sz="4" w:space="0"/>
              <w:bottom w:val="single" w:color="auto" w:sz="4" w:space="0"/>
              <w:right w:val="single" w:color="auto" w:sz="4" w:space="0"/>
            </w:tcBorders>
            <w:shd w:val="clear" w:color="auto" w:fill="auto"/>
            <w:vAlign w:val="center"/>
            <w:hideMark/>
          </w:tcPr>
          <w:p w:rsidRPr="000541CA" w:rsidR="000B68CA" w:rsidP="000B68CA" w:rsidRDefault="000B68CA" w14:paraId="03F554DC" w14:textId="77777777">
            <w:pPr>
              <w:rPr>
                <w:rFonts w:ascii="Montserrat" w:hAnsi="Montserrat" w:eastAsia="Times New Roman"/>
                <w:color w:val="000000"/>
                <w:szCs w:val="22"/>
                <w:lang w:val="es-MX" w:eastAsia="es-MX"/>
              </w:rPr>
            </w:pPr>
            <w:r w:rsidRPr="000541CA">
              <w:rPr>
                <w:rFonts w:ascii="Montserrat" w:hAnsi="Montserrat" w:eastAsia="Times New Roman"/>
                <w:color w:val="000000"/>
                <w:szCs w:val="22"/>
                <w:lang w:val="es-MX" w:eastAsia="es-MX"/>
              </w:rPr>
              <w:t>Vulnerabilidad de los sistemas socioambientales costeros del sur del Golfo de México y Caribe: amenazas y adaptación</w:t>
            </w:r>
          </w:p>
        </w:tc>
        <w:tc>
          <w:tcPr>
            <w:tcW w:w="168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1D770544"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El proyecto fue un fondo semilla para generar un proyecto en extenso.</w:t>
            </w:r>
          </w:p>
        </w:tc>
        <w:tc>
          <w:tcPr>
            <w:tcW w:w="1820" w:type="pct"/>
            <w:tcBorders>
              <w:top w:val="nil"/>
              <w:left w:val="nil"/>
              <w:bottom w:val="single" w:color="auto" w:sz="4" w:space="0"/>
              <w:right w:val="single" w:color="auto" w:sz="4" w:space="0"/>
            </w:tcBorders>
            <w:shd w:val="clear" w:color="auto" w:fill="auto"/>
            <w:vAlign w:val="center"/>
            <w:hideMark/>
          </w:tcPr>
          <w:p w:rsidRPr="000541CA" w:rsidR="000B68CA" w:rsidP="000B68CA" w:rsidRDefault="000B68CA" w14:paraId="7A11CFED" w14:textId="77777777">
            <w:pPr>
              <w:jc w:val="both"/>
              <w:rPr>
                <w:rFonts w:ascii="Montserrat" w:hAnsi="Montserrat" w:eastAsia="Times New Roman" w:cs="Arial"/>
                <w:szCs w:val="22"/>
                <w:lang w:val="es-MX" w:eastAsia="es-MX"/>
              </w:rPr>
            </w:pPr>
            <w:r w:rsidRPr="000541CA">
              <w:rPr>
                <w:rFonts w:ascii="Montserrat" w:hAnsi="Montserrat" w:eastAsia="Times New Roman" w:cs="Arial"/>
                <w:szCs w:val="22"/>
                <w:lang w:val="es-MX" w:eastAsia="es-MX"/>
              </w:rPr>
              <w:t>Evaluar la vulnerabilidad de los sistemas socioambientales ante las amenazas que ponen en riesgo la sustentabilidad de la zona costera del sur del Golfo de México y Caribe Mexicano para identificar estrategias de adaptación</w:t>
            </w:r>
          </w:p>
        </w:tc>
      </w:tr>
    </w:tbl>
    <w:p w:rsidRPr="000541CA" w:rsidR="00A34EBC" w:rsidP="00340623" w:rsidRDefault="00A34EBC" w14:paraId="013B4DB2" w14:textId="77777777">
      <w:pPr>
        <w:rPr>
          <w:lang w:val="es-MX"/>
        </w:rPr>
      </w:pPr>
    </w:p>
    <w:sectPr w:rsidRPr="000541CA" w:rsidR="00A34EBC" w:rsidSect="001D1271">
      <w:headerReference w:type="default" r:id="rId7"/>
      <w:footerReference w:type="default" r:id="rId8"/>
      <w:pgSz w:w="12240" w:h="15840" w:orient="portrait"/>
      <w:pgMar w:top="2127" w:right="1041" w:bottom="1702"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5E16" w:rsidP="009D36E7" w:rsidRDefault="00435E16" w14:paraId="77C1C7BB" w14:textId="77777777">
      <w:r>
        <w:separator/>
      </w:r>
    </w:p>
  </w:endnote>
  <w:endnote w:type="continuationSeparator" w:id="0">
    <w:p w:rsidR="00435E16" w:rsidP="009D36E7" w:rsidRDefault="00435E16" w14:paraId="1D8C18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ontserrat">
    <w:panose1 w:val="020B0604020202020204"/>
    <w:charset w:val="4D"/>
    <w:family w:val="auto"/>
    <w:pitch w:val="variable"/>
    <w:sig w:usb0="8000002F" w:usb1="4000204A" w:usb2="00000000" w:usb3="00000000" w:csb0="00000001" w:csb1="00000000"/>
  </w:font>
  <w:font w:name="Montserrat Light">
    <w:panose1 w:val="020B0604020202020204"/>
    <w:charset w:val="4D"/>
    <w:family w:val="auto"/>
    <w:pitch w:val="variable"/>
    <w:sig w:usb0="20000007" w:usb1="00000001" w:usb2="00000000" w:usb3="00000000" w:csb0="000001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B68CA" w:rsidR="000B68CA" w:rsidP="000B68CA" w:rsidRDefault="000B68CA" w14:paraId="337900B5" w14:textId="522095C9">
    <w:pPr>
      <w:pStyle w:val="Piedepgina"/>
      <w:jc w:val="center"/>
      <w:rPr>
        <w:rFonts w:ascii="Montserrat" w:hAnsi="Montserrat"/>
        <w:color w:val="000000" w:themeColor="text1"/>
        <w:sz w:val="20"/>
        <w:szCs w:val="20"/>
      </w:rPr>
    </w:pPr>
    <w:r w:rsidRPr="000B68CA">
      <w:rPr>
        <w:rFonts w:ascii="Montserrat" w:hAnsi="Montserrat"/>
        <w:color w:val="000000" w:themeColor="text1"/>
        <w:sz w:val="20"/>
        <w:szCs w:val="20"/>
      </w:rPr>
      <w:t>Primera Sesión Ordinaria de Organo de Gobierno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5E16" w:rsidP="009D36E7" w:rsidRDefault="00435E16" w14:paraId="4969C97A" w14:textId="77777777">
      <w:r>
        <w:separator/>
      </w:r>
    </w:p>
  </w:footnote>
  <w:footnote w:type="continuationSeparator" w:id="0">
    <w:p w:rsidR="00435E16" w:rsidP="009D36E7" w:rsidRDefault="00435E16" w14:paraId="4B9122A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1D1271" w:rsidRDefault="001D1271" w14:paraId="705FD86D" w14:textId="616673FD">
    <w:pPr>
      <w:pStyle w:val="Encabezado"/>
    </w:pPr>
    <w:r>
      <w:rPr>
        <w:noProof/>
      </w:rPr>
      <w:drawing>
        <wp:inline distT="0" distB="0" distL="0" distR="0" wp14:anchorId="2A8E660E" wp14:editId="112F5F44">
          <wp:extent cx="5883275" cy="640080"/>
          <wp:effectExtent l="0" t="0" r="3175" b="7620"/>
          <wp:docPr id="807027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2C3E"/>
    <w:multiLevelType w:val="hybridMultilevel"/>
    <w:tmpl w:val="C62E47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784608"/>
    <w:multiLevelType w:val="hybridMultilevel"/>
    <w:tmpl w:val="A79A5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354C45"/>
    <w:multiLevelType w:val="hybridMultilevel"/>
    <w:tmpl w:val="92868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027C81"/>
    <w:multiLevelType w:val="hybridMultilevel"/>
    <w:tmpl w:val="60761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D562DA"/>
    <w:multiLevelType w:val="hybridMultilevel"/>
    <w:tmpl w:val="B9823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210BA8"/>
    <w:multiLevelType w:val="hybridMultilevel"/>
    <w:tmpl w:val="CBCAC21E"/>
    <w:lvl w:ilvl="0" w:tplc="9F46EFE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943A4"/>
    <w:multiLevelType w:val="hybridMultilevel"/>
    <w:tmpl w:val="A4E42EBC"/>
    <w:lvl w:ilvl="0" w:tplc="080A0009">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4F0F4278"/>
    <w:multiLevelType w:val="hybridMultilevel"/>
    <w:tmpl w:val="CC3E1B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5D4088"/>
    <w:multiLevelType w:val="hybridMultilevel"/>
    <w:tmpl w:val="1C5C6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DF36F5"/>
    <w:multiLevelType w:val="hybridMultilevel"/>
    <w:tmpl w:val="0C0806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9880D17"/>
    <w:multiLevelType w:val="hybridMultilevel"/>
    <w:tmpl w:val="BE74F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F509CF"/>
    <w:multiLevelType w:val="hybridMultilevel"/>
    <w:tmpl w:val="432435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81168E"/>
    <w:multiLevelType w:val="hybridMultilevel"/>
    <w:tmpl w:val="B6627D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B517EB"/>
    <w:multiLevelType w:val="hybridMultilevel"/>
    <w:tmpl w:val="979E1E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17E46BE"/>
    <w:multiLevelType w:val="hybridMultilevel"/>
    <w:tmpl w:val="E1C86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C8590A"/>
    <w:multiLevelType w:val="hybridMultilevel"/>
    <w:tmpl w:val="79289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2C1BEA"/>
    <w:multiLevelType w:val="hybridMultilevel"/>
    <w:tmpl w:val="3998E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C65AE5"/>
    <w:multiLevelType w:val="hybridMultilevel"/>
    <w:tmpl w:val="AC56F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
  </w:num>
  <w:num w:numId="3">
    <w:abstractNumId w:val="12"/>
  </w:num>
  <w:num w:numId="4">
    <w:abstractNumId w:val="19"/>
  </w:num>
  <w:num w:numId="5">
    <w:abstractNumId w:val="2"/>
  </w:num>
  <w:num w:numId="6">
    <w:abstractNumId w:val="4"/>
  </w:num>
  <w:num w:numId="7">
    <w:abstractNumId w:val="8"/>
  </w:num>
  <w:num w:numId="8">
    <w:abstractNumId w:val="0"/>
  </w:num>
  <w:num w:numId="9">
    <w:abstractNumId w:val="10"/>
  </w:num>
  <w:num w:numId="10">
    <w:abstractNumId w:val="9"/>
  </w:num>
  <w:num w:numId="11">
    <w:abstractNumId w:val="15"/>
  </w:num>
  <w:num w:numId="12">
    <w:abstractNumId w:val="1"/>
  </w:num>
  <w:num w:numId="13">
    <w:abstractNumId w:val="17"/>
  </w:num>
  <w:num w:numId="14">
    <w:abstractNumId w:val="3"/>
  </w:num>
  <w:num w:numId="15">
    <w:abstractNumId w:val="16"/>
  </w:num>
  <w:num w:numId="16">
    <w:abstractNumId w:val="11"/>
  </w:num>
  <w:num w:numId="17">
    <w:abstractNumId w:val="13"/>
  </w:num>
  <w:num w:numId="18">
    <w:abstractNumId w:val="14"/>
  </w:num>
  <w:num w:numId="19">
    <w:abstractNumId w:val="18"/>
  </w:num>
  <w:num w:numId="2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E7"/>
    <w:rsid w:val="000005EC"/>
    <w:rsid w:val="00003023"/>
    <w:rsid w:val="00004587"/>
    <w:rsid w:val="00011C94"/>
    <w:rsid w:val="00011E59"/>
    <w:rsid w:val="00025A82"/>
    <w:rsid w:val="00041DC8"/>
    <w:rsid w:val="00050163"/>
    <w:rsid w:val="00051D96"/>
    <w:rsid w:val="000541CA"/>
    <w:rsid w:val="0007008B"/>
    <w:rsid w:val="00072711"/>
    <w:rsid w:val="00086863"/>
    <w:rsid w:val="000B68CA"/>
    <w:rsid w:val="000C2A3D"/>
    <w:rsid w:val="000D1070"/>
    <w:rsid w:val="00104C6B"/>
    <w:rsid w:val="00136142"/>
    <w:rsid w:val="00136E0F"/>
    <w:rsid w:val="00144D4B"/>
    <w:rsid w:val="00150AF3"/>
    <w:rsid w:val="00170643"/>
    <w:rsid w:val="00170F47"/>
    <w:rsid w:val="00183A1B"/>
    <w:rsid w:val="001870D0"/>
    <w:rsid w:val="00194865"/>
    <w:rsid w:val="00195D97"/>
    <w:rsid w:val="001A1EB6"/>
    <w:rsid w:val="001B7E38"/>
    <w:rsid w:val="001D07B4"/>
    <w:rsid w:val="001D1271"/>
    <w:rsid w:val="001F3DCD"/>
    <w:rsid w:val="00216AA3"/>
    <w:rsid w:val="0022665B"/>
    <w:rsid w:val="00236D2B"/>
    <w:rsid w:val="002440BD"/>
    <w:rsid w:val="00250052"/>
    <w:rsid w:val="002671A7"/>
    <w:rsid w:val="00267A36"/>
    <w:rsid w:val="002858B0"/>
    <w:rsid w:val="00287B6E"/>
    <w:rsid w:val="00292167"/>
    <w:rsid w:val="002B7385"/>
    <w:rsid w:val="002C041C"/>
    <w:rsid w:val="002C0E25"/>
    <w:rsid w:val="002C11E5"/>
    <w:rsid w:val="002E07A7"/>
    <w:rsid w:val="003057D3"/>
    <w:rsid w:val="00307400"/>
    <w:rsid w:val="00320742"/>
    <w:rsid w:val="00320B24"/>
    <w:rsid w:val="00320FC5"/>
    <w:rsid w:val="00340623"/>
    <w:rsid w:val="00354CD9"/>
    <w:rsid w:val="0036062E"/>
    <w:rsid w:val="00367B7E"/>
    <w:rsid w:val="00383CB8"/>
    <w:rsid w:val="00396E41"/>
    <w:rsid w:val="003A17A9"/>
    <w:rsid w:val="003B351B"/>
    <w:rsid w:val="003B7978"/>
    <w:rsid w:val="003F078F"/>
    <w:rsid w:val="003F4B33"/>
    <w:rsid w:val="00405A69"/>
    <w:rsid w:val="0041677E"/>
    <w:rsid w:val="0043149E"/>
    <w:rsid w:val="00435E16"/>
    <w:rsid w:val="00453810"/>
    <w:rsid w:val="00471892"/>
    <w:rsid w:val="0049481A"/>
    <w:rsid w:val="004A09C3"/>
    <w:rsid w:val="004B51D0"/>
    <w:rsid w:val="004C37A1"/>
    <w:rsid w:val="004C7C15"/>
    <w:rsid w:val="004D0594"/>
    <w:rsid w:val="004D11D6"/>
    <w:rsid w:val="004D245F"/>
    <w:rsid w:val="004D70E7"/>
    <w:rsid w:val="004D7373"/>
    <w:rsid w:val="004E5237"/>
    <w:rsid w:val="00510037"/>
    <w:rsid w:val="0051698F"/>
    <w:rsid w:val="00517093"/>
    <w:rsid w:val="005325DD"/>
    <w:rsid w:val="005360E5"/>
    <w:rsid w:val="005411BF"/>
    <w:rsid w:val="005672A8"/>
    <w:rsid w:val="00572F28"/>
    <w:rsid w:val="00572F3E"/>
    <w:rsid w:val="00574739"/>
    <w:rsid w:val="0058580A"/>
    <w:rsid w:val="00592A26"/>
    <w:rsid w:val="00593BEC"/>
    <w:rsid w:val="005B4223"/>
    <w:rsid w:val="005C1816"/>
    <w:rsid w:val="005C3D69"/>
    <w:rsid w:val="005D79FF"/>
    <w:rsid w:val="005D7FA7"/>
    <w:rsid w:val="005E1ED3"/>
    <w:rsid w:val="005E46A8"/>
    <w:rsid w:val="00606D05"/>
    <w:rsid w:val="006123F0"/>
    <w:rsid w:val="006166BF"/>
    <w:rsid w:val="00617FA7"/>
    <w:rsid w:val="0062304F"/>
    <w:rsid w:val="00653110"/>
    <w:rsid w:val="00663F43"/>
    <w:rsid w:val="006731D8"/>
    <w:rsid w:val="00683C9B"/>
    <w:rsid w:val="006A1429"/>
    <w:rsid w:val="006C2BC8"/>
    <w:rsid w:val="00707E8F"/>
    <w:rsid w:val="00725A6E"/>
    <w:rsid w:val="00743CF4"/>
    <w:rsid w:val="00745BA0"/>
    <w:rsid w:val="0074692E"/>
    <w:rsid w:val="00755E60"/>
    <w:rsid w:val="00756733"/>
    <w:rsid w:val="00772CB4"/>
    <w:rsid w:val="007748C1"/>
    <w:rsid w:val="007A4CF8"/>
    <w:rsid w:val="007D2B61"/>
    <w:rsid w:val="007D6DC9"/>
    <w:rsid w:val="007D7503"/>
    <w:rsid w:val="007E7893"/>
    <w:rsid w:val="0080262A"/>
    <w:rsid w:val="0085579C"/>
    <w:rsid w:val="008666E2"/>
    <w:rsid w:val="00870D2F"/>
    <w:rsid w:val="00872CB9"/>
    <w:rsid w:val="00881B87"/>
    <w:rsid w:val="0088743C"/>
    <w:rsid w:val="00891DF2"/>
    <w:rsid w:val="00894F63"/>
    <w:rsid w:val="008965BA"/>
    <w:rsid w:val="008A0331"/>
    <w:rsid w:val="008A2162"/>
    <w:rsid w:val="008B2D5C"/>
    <w:rsid w:val="008B7455"/>
    <w:rsid w:val="008C0F41"/>
    <w:rsid w:val="008C3297"/>
    <w:rsid w:val="008C3C8D"/>
    <w:rsid w:val="008C7A7C"/>
    <w:rsid w:val="008D7F31"/>
    <w:rsid w:val="008E1161"/>
    <w:rsid w:val="008E1F20"/>
    <w:rsid w:val="008E212E"/>
    <w:rsid w:val="00927BEF"/>
    <w:rsid w:val="00936061"/>
    <w:rsid w:val="009412E8"/>
    <w:rsid w:val="00943BA4"/>
    <w:rsid w:val="00944649"/>
    <w:rsid w:val="00953876"/>
    <w:rsid w:val="00961E3B"/>
    <w:rsid w:val="009677C6"/>
    <w:rsid w:val="009807D5"/>
    <w:rsid w:val="00982D83"/>
    <w:rsid w:val="009A2C01"/>
    <w:rsid w:val="009A7608"/>
    <w:rsid w:val="009C4DCE"/>
    <w:rsid w:val="009C4DF5"/>
    <w:rsid w:val="009D36E7"/>
    <w:rsid w:val="009F70AB"/>
    <w:rsid w:val="00A0050B"/>
    <w:rsid w:val="00A13732"/>
    <w:rsid w:val="00A16B2D"/>
    <w:rsid w:val="00A30664"/>
    <w:rsid w:val="00A34EBC"/>
    <w:rsid w:val="00A537D1"/>
    <w:rsid w:val="00A54D3C"/>
    <w:rsid w:val="00A66B2A"/>
    <w:rsid w:val="00A74BA4"/>
    <w:rsid w:val="00A83211"/>
    <w:rsid w:val="00A919A5"/>
    <w:rsid w:val="00A926CB"/>
    <w:rsid w:val="00AA3E88"/>
    <w:rsid w:val="00AA61C8"/>
    <w:rsid w:val="00AB10F4"/>
    <w:rsid w:val="00AD4706"/>
    <w:rsid w:val="00AD6B65"/>
    <w:rsid w:val="00AE6874"/>
    <w:rsid w:val="00B22D66"/>
    <w:rsid w:val="00B35563"/>
    <w:rsid w:val="00B51C38"/>
    <w:rsid w:val="00B526EA"/>
    <w:rsid w:val="00B60AD9"/>
    <w:rsid w:val="00B61D00"/>
    <w:rsid w:val="00B668B1"/>
    <w:rsid w:val="00B71D27"/>
    <w:rsid w:val="00B854EF"/>
    <w:rsid w:val="00B95DAB"/>
    <w:rsid w:val="00BA65D8"/>
    <w:rsid w:val="00BB078F"/>
    <w:rsid w:val="00BC21E4"/>
    <w:rsid w:val="00BC5C9F"/>
    <w:rsid w:val="00BD5F10"/>
    <w:rsid w:val="00BE0AC0"/>
    <w:rsid w:val="00BE20EE"/>
    <w:rsid w:val="00BF12CC"/>
    <w:rsid w:val="00BF4FFF"/>
    <w:rsid w:val="00C06E02"/>
    <w:rsid w:val="00C150C7"/>
    <w:rsid w:val="00C178C0"/>
    <w:rsid w:val="00C23DA1"/>
    <w:rsid w:val="00C52F05"/>
    <w:rsid w:val="00C7039D"/>
    <w:rsid w:val="00C84099"/>
    <w:rsid w:val="00C90F4C"/>
    <w:rsid w:val="00C95428"/>
    <w:rsid w:val="00CA7F52"/>
    <w:rsid w:val="00CD4F4A"/>
    <w:rsid w:val="00CD6791"/>
    <w:rsid w:val="00CF7F7D"/>
    <w:rsid w:val="00D33A0C"/>
    <w:rsid w:val="00D35A87"/>
    <w:rsid w:val="00D35BC6"/>
    <w:rsid w:val="00D43838"/>
    <w:rsid w:val="00D6690C"/>
    <w:rsid w:val="00D80B2F"/>
    <w:rsid w:val="00D83883"/>
    <w:rsid w:val="00DA1185"/>
    <w:rsid w:val="00DD27D7"/>
    <w:rsid w:val="00DD2D6B"/>
    <w:rsid w:val="00DD3C11"/>
    <w:rsid w:val="00DF7567"/>
    <w:rsid w:val="00E028F2"/>
    <w:rsid w:val="00E049C4"/>
    <w:rsid w:val="00E07987"/>
    <w:rsid w:val="00E12434"/>
    <w:rsid w:val="00E25749"/>
    <w:rsid w:val="00E33122"/>
    <w:rsid w:val="00E51C89"/>
    <w:rsid w:val="00E5249B"/>
    <w:rsid w:val="00E81AAB"/>
    <w:rsid w:val="00E841B2"/>
    <w:rsid w:val="00E86853"/>
    <w:rsid w:val="00EA1EA7"/>
    <w:rsid w:val="00EA2425"/>
    <w:rsid w:val="00EB1332"/>
    <w:rsid w:val="00EB32CF"/>
    <w:rsid w:val="00EC247D"/>
    <w:rsid w:val="00EC6D62"/>
    <w:rsid w:val="00F03248"/>
    <w:rsid w:val="00F21C2E"/>
    <w:rsid w:val="00F31C7E"/>
    <w:rsid w:val="00F61DDD"/>
    <w:rsid w:val="00F639E5"/>
    <w:rsid w:val="00F65FB0"/>
    <w:rsid w:val="00F91E36"/>
    <w:rsid w:val="00FA293F"/>
    <w:rsid w:val="00FA71C3"/>
    <w:rsid w:val="00FC3AC7"/>
    <w:rsid w:val="00FD0690"/>
    <w:rsid w:val="00FF0F3D"/>
    <w:rsid w:val="130BD16E"/>
    <w:rsid w:val="779AA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8654D"/>
  <w15:chartTrackingRefBased/>
  <w15:docId w15:val="{98149390-49D7-4E03-96B9-B6824C0C09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36E7"/>
    <w:pPr>
      <w:spacing w:after="0" w:line="240" w:lineRule="auto"/>
    </w:pPr>
    <w:rPr>
      <w:rFonts w:ascii="Arial" w:hAnsi="Arial" w:eastAsia="Calibri" w:cs="Times New Roman"/>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extoennegrita">
    <w:name w:val="Strong"/>
    <w:qFormat/>
    <w:rsid w:val="009D36E7"/>
    <w:rPr>
      <w:b/>
      <w:bCs/>
    </w:rPr>
  </w:style>
  <w:style w:type="paragraph" w:styleId="Encabezado">
    <w:name w:val="header"/>
    <w:basedOn w:val="Normal"/>
    <w:link w:val="EncabezadoCar"/>
    <w:uiPriority w:val="99"/>
    <w:unhideWhenUsed/>
    <w:rsid w:val="009D36E7"/>
    <w:pPr>
      <w:tabs>
        <w:tab w:val="center" w:pos="4419"/>
        <w:tab w:val="right" w:pos="8838"/>
      </w:tabs>
    </w:pPr>
  </w:style>
  <w:style w:type="character" w:styleId="EncabezadoCar" w:customStyle="1">
    <w:name w:val="Encabezado Car"/>
    <w:basedOn w:val="Fuentedeprrafopredeter"/>
    <w:link w:val="Encabezado"/>
    <w:uiPriority w:val="99"/>
    <w:rsid w:val="009D36E7"/>
    <w:rPr>
      <w:rFonts w:ascii="Arial" w:hAnsi="Arial" w:eastAsia="Calibri" w:cs="Times New Roman"/>
      <w:szCs w:val="24"/>
      <w:lang w:val="es-ES" w:eastAsia="es-ES"/>
    </w:rPr>
  </w:style>
  <w:style w:type="paragraph" w:styleId="Piedepgina">
    <w:name w:val="footer"/>
    <w:basedOn w:val="Normal"/>
    <w:link w:val="PiedepginaCar"/>
    <w:uiPriority w:val="99"/>
    <w:unhideWhenUsed/>
    <w:rsid w:val="009D36E7"/>
    <w:pPr>
      <w:tabs>
        <w:tab w:val="center" w:pos="4419"/>
        <w:tab w:val="right" w:pos="8838"/>
      </w:tabs>
    </w:pPr>
  </w:style>
  <w:style w:type="character" w:styleId="PiedepginaCar" w:customStyle="1">
    <w:name w:val="Pie de página Car"/>
    <w:basedOn w:val="Fuentedeprrafopredeter"/>
    <w:link w:val="Piedepgina"/>
    <w:uiPriority w:val="99"/>
    <w:rsid w:val="009D36E7"/>
    <w:rPr>
      <w:rFonts w:ascii="Arial" w:hAnsi="Arial" w:eastAsia="Calibri" w:cs="Times New Roman"/>
      <w:szCs w:val="24"/>
      <w:lang w:val="es-ES" w:eastAsia="es-ES"/>
    </w:rPr>
  </w:style>
  <w:style w:type="table" w:styleId="Tablaconcuadrcula">
    <w:name w:val="Table Grid"/>
    <w:basedOn w:val="Tablanormal"/>
    <w:uiPriority w:val="59"/>
    <w:rsid w:val="009D36E7"/>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D36E7"/>
    <w:pPr>
      <w:autoSpaceDE w:val="0"/>
      <w:autoSpaceDN w:val="0"/>
      <w:adjustRightInd w:val="0"/>
      <w:spacing w:after="0" w:line="240" w:lineRule="auto"/>
    </w:pPr>
    <w:rPr>
      <w:rFonts w:ascii="Arial" w:hAnsi="Arial" w:eastAsia="Calibri" w:cs="Arial"/>
      <w:color w:val="000000"/>
      <w:sz w:val="24"/>
      <w:szCs w:val="24"/>
    </w:rPr>
  </w:style>
  <w:style w:type="paragraph" w:styleId="Textocomentario">
    <w:name w:val="annotation text"/>
    <w:basedOn w:val="Normal"/>
    <w:link w:val="TextocomentarioCar"/>
    <w:uiPriority w:val="99"/>
    <w:unhideWhenUsed/>
    <w:rsid w:val="009D36E7"/>
    <w:rPr>
      <w:sz w:val="20"/>
      <w:szCs w:val="20"/>
    </w:rPr>
  </w:style>
  <w:style w:type="character" w:styleId="TextocomentarioCar" w:customStyle="1">
    <w:name w:val="Texto comentario Car"/>
    <w:basedOn w:val="Fuentedeprrafopredeter"/>
    <w:link w:val="Textocomentario"/>
    <w:uiPriority w:val="99"/>
    <w:rsid w:val="009D36E7"/>
    <w:rPr>
      <w:rFonts w:ascii="Arial" w:hAnsi="Arial" w:eastAsia="Calibri" w:cs="Times New Roman"/>
      <w:sz w:val="20"/>
      <w:szCs w:val="20"/>
      <w:lang w:val="es-ES" w:eastAsia="es-ES"/>
    </w:rPr>
  </w:style>
  <w:style w:type="paragraph" w:styleId="tituloAcuerdo" w:customStyle="1">
    <w:name w:val="tituloAcuerdo"/>
    <w:basedOn w:val="Normal"/>
    <w:link w:val="tituloAcuerdoCar"/>
    <w:qFormat/>
    <w:rsid w:val="009D36E7"/>
    <w:pPr>
      <w:jc w:val="both"/>
    </w:pPr>
    <w:rPr>
      <w:b/>
      <w:lang w:val="es-MX"/>
    </w:rPr>
  </w:style>
  <w:style w:type="character" w:styleId="tituloAcuerdoCar" w:customStyle="1">
    <w:name w:val="tituloAcuerdo Car"/>
    <w:basedOn w:val="Fuentedeprrafopredeter"/>
    <w:link w:val="tituloAcuerdo"/>
    <w:rsid w:val="009D36E7"/>
    <w:rPr>
      <w:rFonts w:ascii="Arial" w:hAnsi="Arial" w:eastAsia="Calibri" w:cs="Times New Roman"/>
      <w:b/>
      <w:szCs w:val="24"/>
      <w:lang w:eastAsia="es-ES"/>
    </w:rPr>
  </w:style>
  <w:style w:type="character" w:styleId="Hipervnculo">
    <w:name w:val="Hyperlink"/>
    <w:basedOn w:val="Fuentedeprrafopredeter"/>
    <w:uiPriority w:val="99"/>
    <w:unhideWhenUsed/>
    <w:rsid w:val="009D36E7"/>
    <w:rPr>
      <w:color w:val="0000FF" w:themeColor="hyperlink"/>
      <w:u w:val="single"/>
    </w:rPr>
  </w:style>
  <w:style w:type="paragraph" w:styleId="TDC1">
    <w:name w:val="toc 1"/>
    <w:basedOn w:val="Normal"/>
    <w:next w:val="Normal"/>
    <w:autoRedefine/>
    <w:uiPriority w:val="39"/>
    <w:unhideWhenUsed/>
    <w:rsid w:val="00320B24"/>
    <w:pPr>
      <w:tabs>
        <w:tab w:val="right" w:leader="dot" w:pos="9488"/>
      </w:tabs>
      <w:spacing w:after="100"/>
      <w:jc w:val="both"/>
    </w:pPr>
    <w:rPr>
      <w:rFonts w:ascii="Calibri Light" w:hAnsi="Calibri Light"/>
      <w:sz w:val="24"/>
      <w:lang w:val="es-MX"/>
    </w:rPr>
  </w:style>
  <w:style w:type="paragraph" w:styleId="Prrafodelista">
    <w:name w:val="List Paragraph"/>
    <w:aliases w:val="4 Párrafo de lista,Figuras,Dot pt,No Spacing1,List Paragraph Char Char Char,Indicator Text,List Paragraph1,Numbered Para 1,DH1"/>
    <w:basedOn w:val="Normal"/>
    <w:link w:val="PrrafodelistaCar"/>
    <w:uiPriority w:val="34"/>
    <w:qFormat/>
    <w:rsid w:val="009D36E7"/>
    <w:pPr>
      <w:ind w:left="708"/>
    </w:pPr>
    <w:rPr>
      <w:rFonts w:eastAsia="Times New Roman"/>
    </w:rPr>
  </w:style>
  <w:style w:type="character" w:styleId="PrrafodelistaCar" w:customStyle="1">
    <w:name w:val="Párrafo de lista Car"/>
    <w:aliases w:val="4 Párrafo de lista Car,Figuras Car,Dot pt Car,No Spacing1 Car,List Paragraph Char Char Char Car,Indicator Text Car,List Paragraph1 Car,Numbered Para 1 Car,DH1 Car"/>
    <w:link w:val="Prrafodelista"/>
    <w:uiPriority w:val="34"/>
    <w:rsid w:val="009D36E7"/>
    <w:rPr>
      <w:rFonts w:ascii="Arial" w:hAnsi="Arial" w:eastAsia="Times New Roman" w:cs="Times New Roman"/>
      <w:szCs w:val="24"/>
      <w:lang w:val="es-ES" w:eastAsia="es-ES"/>
    </w:rPr>
  </w:style>
  <w:style w:type="paragraph" w:styleId="EstiloFundamentacin" w:customStyle="1">
    <w:name w:val="Estilo Fundamentación"/>
    <w:basedOn w:val="Normal"/>
    <w:link w:val="EstiloFundamentacinCar"/>
    <w:qFormat/>
    <w:locked/>
    <w:rsid w:val="009D36E7"/>
    <w:rPr>
      <w:rFonts w:eastAsia="Times New Roman" w:cs="Arial"/>
      <w:bCs/>
      <w:szCs w:val="22"/>
    </w:rPr>
  </w:style>
  <w:style w:type="character" w:styleId="EstiloFundamentacinCar" w:customStyle="1">
    <w:name w:val="Estilo Fundamentación Car"/>
    <w:link w:val="EstiloFundamentacin"/>
    <w:rsid w:val="009D36E7"/>
    <w:rPr>
      <w:rFonts w:ascii="Arial" w:hAnsi="Arial" w:eastAsia="Times New Roman" w:cs="Arial"/>
      <w:bCs/>
      <w:lang w:val="es-ES" w:eastAsia="es-ES"/>
    </w:rPr>
  </w:style>
  <w:style w:type="paragraph" w:styleId="EstiloNegritasAcuerdo" w:customStyle="1">
    <w:name w:val="Estilo Negritas Acuerdo"/>
    <w:basedOn w:val="Prrafodelista"/>
    <w:link w:val="EstiloNegritasAcuerdoCar"/>
    <w:qFormat/>
    <w:locked/>
    <w:rsid w:val="009D36E7"/>
    <w:pPr>
      <w:ind w:left="2410" w:hanging="2410"/>
      <w:jc w:val="both"/>
    </w:pPr>
    <w:rPr>
      <w:b/>
    </w:rPr>
  </w:style>
  <w:style w:type="character" w:styleId="EstiloNegritasAcuerdoCar" w:customStyle="1">
    <w:name w:val="Estilo Negritas Acuerdo Car"/>
    <w:link w:val="EstiloNegritasAcuerdo"/>
    <w:rsid w:val="009D36E7"/>
    <w:rPr>
      <w:rFonts w:ascii="Arial" w:hAnsi="Arial" w:eastAsia="Times New Roman" w:cs="Times New Roman"/>
      <w:b/>
      <w:szCs w:val="24"/>
      <w:lang w:val="es-ES" w:eastAsia="es-ES"/>
    </w:rPr>
  </w:style>
  <w:style w:type="paragraph" w:styleId="Textodeglobo">
    <w:name w:val="Balloon Text"/>
    <w:basedOn w:val="Normal"/>
    <w:link w:val="TextodegloboCar"/>
    <w:uiPriority w:val="99"/>
    <w:semiHidden/>
    <w:unhideWhenUsed/>
    <w:rsid w:val="00E07987"/>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07987"/>
    <w:rPr>
      <w:rFonts w:ascii="Segoe UI" w:hAnsi="Segoe UI" w:eastAsia="Calibri" w:cs="Segoe UI"/>
      <w:sz w:val="18"/>
      <w:szCs w:val="18"/>
      <w:lang w:val="es-ES" w:eastAsia="es-ES"/>
    </w:rPr>
  </w:style>
  <w:style w:type="paragraph" w:styleId="NormalWeb">
    <w:name w:val="Normal (Web)"/>
    <w:basedOn w:val="Normal"/>
    <w:uiPriority w:val="99"/>
    <w:unhideWhenUsed/>
    <w:rsid w:val="00051D96"/>
    <w:pPr>
      <w:spacing w:before="100" w:beforeAutospacing="1" w:after="100" w:afterAutospacing="1"/>
    </w:pPr>
    <w:rPr>
      <w:rFonts w:ascii="Times New Roman" w:hAnsi="Times New Roman" w:eastAsia="Times New Roman"/>
      <w:sz w:val="24"/>
      <w:lang w:val="es-MX" w:eastAsia="es-MX"/>
    </w:rPr>
  </w:style>
  <w:style w:type="table" w:styleId="Tablaconcuadrcula1clara">
    <w:name w:val="Grid Table 1 Light"/>
    <w:basedOn w:val="Tablanormal"/>
    <w:uiPriority w:val="46"/>
    <w:rsid w:val="008666E2"/>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BF12CC"/>
    <w:pPr>
      <w:spacing w:before="100" w:beforeAutospacing="1" w:after="100" w:afterAutospacing="1"/>
    </w:pPr>
    <w:rPr>
      <w:rFonts w:ascii="Times New Roman" w:hAnsi="Times New Roman" w:eastAsia="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24174">
      <w:bodyDiv w:val="1"/>
      <w:marLeft w:val="0"/>
      <w:marRight w:val="0"/>
      <w:marTop w:val="0"/>
      <w:marBottom w:val="0"/>
      <w:divBdr>
        <w:top w:val="none" w:sz="0" w:space="0" w:color="auto"/>
        <w:left w:val="none" w:sz="0" w:space="0" w:color="auto"/>
        <w:bottom w:val="none" w:sz="0" w:space="0" w:color="auto"/>
        <w:right w:val="none" w:sz="0" w:space="0" w:color="auto"/>
      </w:divBdr>
    </w:div>
    <w:div w:id="1132358294">
      <w:bodyDiv w:val="1"/>
      <w:marLeft w:val="0"/>
      <w:marRight w:val="0"/>
      <w:marTop w:val="0"/>
      <w:marBottom w:val="0"/>
      <w:divBdr>
        <w:top w:val="none" w:sz="0" w:space="0" w:color="auto"/>
        <w:left w:val="none" w:sz="0" w:space="0" w:color="auto"/>
        <w:bottom w:val="none" w:sz="0" w:space="0" w:color="auto"/>
        <w:right w:val="none" w:sz="0" w:space="0" w:color="auto"/>
      </w:divBdr>
    </w:div>
    <w:div w:id="1277054382">
      <w:bodyDiv w:val="1"/>
      <w:marLeft w:val="0"/>
      <w:marRight w:val="0"/>
      <w:marTop w:val="0"/>
      <w:marBottom w:val="0"/>
      <w:divBdr>
        <w:top w:val="none" w:sz="0" w:space="0" w:color="auto"/>
        <w:left w:val="none" w:sz="0" w:space="0" w:color="auto"/>
        <w:bottom w:val="none" w:sz="0" w:space="0" w:color="auto"/>
        <w:right w:val="none" w:sz="0" w:space="0" w:color="auto"/>
      </w:divBdr>
    </w:div>
    <w:div w:id="1296906790">
      <w:bodyDiv w:val="1"/>
      <w:marLeft w:val="0"/>
      <w:marRight w:val="0"/>
      <w:marTop w:val="0"/>
      <w:marBottom w:val="0"/>
      <w:divBdr>
        <w:top w:val="none" w:sz="0" w:space="0" w:color="auto"/>
        <w:left w:val="none" w:sz="0" w:space="0" w:color="auto"/>
        <w:bottom w:val="none" w:sz="0" w:space="0" w:color="auto"/>
        <w:right w:val="none" w:sz="0" w:space="0" w:color="auto"/>
      </w:divBdr>
    </w:div>
    <w:div w:id="13611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Guadalupe Ocotitla Solis</dc:creator>
  <keywords/>
  <dc:description/>
  <lastModifiedBy>Adriana Alicia Quiroga Carapia</lastModifiedBy>
  <revision>4</revision>
  <lastPrinted>2023-04-24T16:52:00.0000000Z</lastPrinted>
  <dcterms:created xsi:type="dcterms:W3CDTF">2023-05-02T18:37:00.0000000Z</dcterms:created>
  <dcterms:modified xsi:type="dcterms:W3CDTF">2023-05-04T19:44:09.0346703Z</dcterms:modified>
</coreProperties>
</file>