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2276" w14:textId="77777777" w:rsidR="00CA2C7E" w:rsidRDefault="00CA2C7E" w:rsidP="00960BD5">
      <w:pPr>
        <w:rPr>
          <w:rFonts w:ascii="Montserrat" w:hAnsi="Montserrat"/>
          <w:b/>
          <w:i/>
          <w:szCs w:val="22"/>
        </w:rPr>
      </w:pPr>
    </w:p>
    <w:p w14:paraId="264C5E0A" w14:textId="77777777" w:rsidR="005D72A0" w:rsidRDefault="005D72A0" w:rsidP="005D72A0">
      <w:pPr>
        <w:jc w:val="center"/>
        <w:rPr>
          <w:rFonts w:ascii="Montserrat" w:hAnsi="Montserrat"/>
          <w:b/>
          <w:i/>
          <w:szCs w:val="22"/>
        </w:rPr>
      </w:pPr>
      <w:r>
        <w:rPr>
          <w:rFonts w:ascii="Montserrat" w:hAnsi="Montserrat"/>
          <w:b/>
          <w:i/>
          <w:szCs w:val="22"/>
        </w:rPr>
        <w:t>6</w:t>
      </w:r>
      <w:r w:rsidRPr="004467D4">
        <w:rPr>
          <w:rFonts w:ascii="Montserrat" w:hAnsi="Montserrat"/>
          <w:b/>
          <w:i/>
          <w:szCs w:val="22"/>
        </w:rPr>
        <w:t xml:space="preserve">.3 </w:t>
      </w:r>
      <w:r>
        <w:rPr>
          <w:rFonts w:ascii="Montserrat" w:hAnsi="Montserrat"/>
          <w:b/>
          <w:i/>
          <w:szCs w:val="22"/>
        </w:rPr>
        <w:t>Situación Financiera del Centro</w:t>
      </w:r>
    </w:p>
    <w:p w14:paraId="58B11FB0" w14:textId="77777777" w:rsidR="00A021F9" w:rsidRDefault="00A021F9" w:rsidP="00D110E2">
      <w:pPr>
        <w:jc w:val="both"/>
        <w:rPr>
          <w:rFonts w:ascii="Montserrat" w:hAnsi="Montserrat"/>
          <w:szCs w:val="22"/>
        </w:rPr>
      </w:pPr>
    </w:p>
    <w:p w14:paraId="4C933BCC" w14:textId="68CBB214" w:rsidR="00A021F9" w:rsidRDefault="001030D4" w:rsidP="00A021F9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Los ingresos de gestión s</w:t>
      </w:r>
      <w:r w:rsidR="00A021F9" w:rsidRPr="00A021F9">
        <w:rPr>
          <w:rFonts w:ascii="Montserrat" w:hAnsi="Montserrat"/>
          <w:szCs w:val="22"/>
        </w:rPr>
        <w:t>on los recursos que se obtienen de convenios o contratos para el desarrollo de proyectos específicos de investigación o servicios, contratos por la prestación de servicios a través de asesorías y consultorías especializadas, servicios de análisis muestras y diagnósticos de laboratorios (agua, suelos, etc.), cuotas de recuperación por impartir talleres, seminarios, diplomados, cursos de capacitación presenciales o en línea, cuotas de admisión al Jardín Botánico (Chetumal), realización de estudios específicos, asistencia técnica y supervisión de proyectos (miel, foros urbanos, monitoreo, manejo y conservación de recursos naturales, etc.), elaboración de mapas como herramientas de investigación (LAIGE); conforme a lo dispuesto en el artículo 52 de la Ley Federal de las Entidades Paraestatales.</w:t>
      </w:r>
    </w:p>
    <w:p w14:paraId="0899599F" w14:textId="77777777" w:rsidR="00EA4493" w:rsidRPr="00A021F9" w:rsidRDefault="00EA4493" w:rsidP="00A021F9">
      <w:pPr>
        <w:jc w:val="both"/>
        <w:rPr>
          <w:rFonts w:ascii="Montserrat" w:hAnsi="Montserrat"/>
          <w:szCs w:val="22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430"/>
        <w:gridCol w:w="1430"/>
      </w:tblGrid>
      <w:tr w:rsidR="00EA4493" w:rsidRPr="006D1039" w14:paraId="0EFD2F64" w14:textId="77777777" w:rsidTr="0031084D">
        <w:trPr>
          <w:trHeight w:val="300"/>
          <w:tblHeader/>
          <w:jc w:val="center"/>
        </w:trPr>
        <w:tc>
          <w:tcPr>
            <w:tcW w:w="308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379A9EFD" w14:textId="77777777" w:rsidR="00EA4493" w:rsidRPr="0012600C" w:rsidRDefault="00EA4493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1D2293A" w14:textId="77777777" w:rsidR="00EA4493" w:rsidRPr="0012600C" w:rsidRDefault="00EA4493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 xml:space="preserve">         2022</w:t>
            </w:r>
          </w:p>
        </w:tc>
        <w:tc>
          <w:tcPr>
            <w:tcW w:w="1430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36845D54" w14:textId="77777777" w:rsidR="00EA4493" w:rsidRPr="0012600C" w:rsidRDefault="00EA4493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EA4493" w:rsidRPr="006D1039" w14:paraId="2E73DAEA" w14:textId="77777777" w:rsidTr="0031084D">
        <w:trPr>
          <w:trHeight w:val="170"/>
          <w:jc w:val="center"/>
        </w:trPr>
        <w:tc>
          <w:tcPr>
            <w:tcW w:w="308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220FDAEF" w14:textId="4FC81E87" w:rsidR="00EA4493" w:rsidRPr="0031084D" w:rsidRDefault="00EA4493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Ingresos por venta de Bienes</w:t>
            </w:r>
            <w:r w:rsidR="0031084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31084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554EC0DD" w14:textId="77777777" w:rsidR="00EA4493" w:rsidRPr="0031084D" w:rsidRDefault="00EA4493" w:rsidP="00DA14AA">
            <w:pPr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15,251,707</w:t>
            </w:r>
          </w:p>
        </w:tc>
        <w:tc>
          <w:tcPr>
            <w:tcW w:w="1430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4949C769" w14:textId="77777777" w:rsidR="00EA4493" w:rsidRPr="0031084D" w:rsidRDefault="00EA4493" w:rsidP="00DA14AA">
            <w:pPr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24,273,551</w:t>
            </w:r>
          </w:p>
        </w:tc>
      </w:tr>
      <w:tr w:rsidR="00EA4493" w:rsidRPr="006D1039" w14:paraId="51103B8B" w14:textId="77777777" w:rsidTr="0031084D">
        <w:trPr>
          <w:trHeight w:val="170"/>
          <w:jc w:val="center"/>
        </w:trPr>
        <w:tc>
          <w:tcPr>
            <w:tcW w:w="308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DA21FB2" w14:textId="77777777" w:rsidR="00EA4493" w:rsidRPr="0031084D" w:rsidRDefault="00EA4493" w:rsidP="00DA14AA">
            <w:pPr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3FA6BD97" w14:textId="77777777" w:rsidR="00EA4493" w:rsidRPr="0031084D" w:rsidRDefault="00EA4493" w:rsidP="00DA14AA">
            <w:pPr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15,251,707</w:t>
            </w:r>
          </w:p>
        </w:tc>
        <w:tc>
          <w:tcPr>
            <w:tcW w:w="1430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7AC42018" w14:textId="77777777" w:rsidR="00EA4493" w:rsidRPr="0031084D" w:rsidRDefault="00EA4493" w:rsidP="00DA14AA">
            <w:pPr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31084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24,273,551</w:t>
            </w:r>
          </w:p>
        </w:tc>
      </w:tr>
    </w:tbl>
    <w:p w14:paraId="226A68F4" w14:textId="77777777" w:rsidR="00A021F9" w:rsidRDefault="00A021F9" w:rsidP="00A021F9">
      <w:pPr>
        <w:jc w:val="both"/>
        <w:rPr>
          <w:rFonts w:ascii="Montserrat" w:hAnsi="Montserrat"/>
          <w:szCs w:val="22"/>
        </w:rPr>
      </w:pPr>
    </w:p>
    <w:p w14:paraId="3F1A54FA" w14:textId="77777777" w:rsidR="00DF35AF" w:rsidRPr="00A021F9" w:rsidRDefault="00DF35AF" w:rsidP="00A021F9">
      <w:pPr>
        <w:jc w:val="both"/>
        <w:rPr>
          <w:rFonts w:ascii="Montserrat" w:hAnsi="Montserrat"/>
          <w:szCs w:val="22"/>
        </w:rPr>
      </w:pPr>
    </w:p>
    <w:p w14:paraId="67492E82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El decremento en la captación de ingresos por venta de bienes y servicios por la cantidad de $9,021,844, obedece a que algunos proyectos recibieron recurso anticipado en el ejercicio 2021, y es hasta el cumplimiento de sus etapas que recibirán el monto de la siguiente ministración.</w:t>
      </w:r>
    </w:p>
    <w:p w14:paraId="7D8A1135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1BF96B90" w14:textId="35A28A89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Participaciones, Aportaciones, Transferencias, Asignaciones, Subsidios y Otras Ayudas</w:t>
      </w:r>
      <w:r w:rsidR="0031084D">
        <w:rPr>
          <w:rFonts w:ascii="Montserrat" w:hAnsi="Montserrat"/>
          <w:szCs w:val="22"/>
        </w:rPr>
        <w:t>, e</w:t>
      </w:r>
      <w:r w:rsidRPr="00A021F9">
        <w:rPr>
          <w:rFonts w:ascii="Montserrat" w:hAnsi="Montserrat"/>
          <w:szCs w:val="22"/>
        </w:rPr>
        <w:t>ste monto representa los recursos asignados a ECOSUR en el presupuesto de Egresos de la Federación aplicables en cada ejercicio.</w:t>
      </w:r>
      <w:r w:rsidR="00F86B70">
        <w:rPr>
          <w:rFonts w:ascii="Montserrat" w:hAnsi="Montserrat"/>
          <w:szCs w:val="22"/>
        </w:rPr>
        <w:t xml:space="preserve"> </w:t>
      </w:r>
      <w:r w:rsidRPr="00A021F9">
        <w:rPr>
          <w:rFonts w:ascii="Montserrat" w:hAnsi="Montserrat"/>
          <w:szCs w:val="22"/>
        </w:rPr>
        <w:t>Las Transferencias, Asignaciones, Subsidios y Otras Ayudas, se integran de la siguiente manera:</w:t>
      </w:r>
    </w:p>
    <w:p w14:paraId="4AA02AD6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21B0B1C4" w14:textId="77777777" w:rsidR="00F86B70" w:rsidRDefault="00F86B70" w:rsidP="00A021F9">
      <w:pPr>
        <w:jc w:val="both"/>
        <w:rPr>
          <w:rFonts w:ascii="Montserrat" w:hAnsi="Montserrat"/>
          <w:szCs w:val="22"/>
        </w:rPr>
      </w:pPr>
    </w:p>
    <w:tbl>
      <w:tblPr>
        <w:tblW w:w="5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1402"/>
        <w:gridCol w:w="1403"/>
      </w:tblGrid>
      <w:tr w:rsidR="00802107" w:rsidRPr="006D1039" w14:paraId="2BA32246" w14:textId="77777777" w:rsidTr="00DA14AA">
        <w:trPr>
          <w:trHeight w:val="385"/>
          <w:tblHeader/>
          <w:jc w:val="center"/>
        </w:trPr>
        <w:tc>
          <w:tcPr>
            <w:tcW w:w="308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7A75089" w14:textId="77777777" w:rsidR="00802107" w:rsidRPr="0012600C" w:rsidRDefault="00802107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2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68C98623" w14:textId="77777777" w:rsidR="00802107" w:rsidRPr="0012600C" w:rsidRDefault="00802107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403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162BDBFC" w14:textId="77777777" w:rsidR="00802107" w:rsidRPr="0012600C" w:rsidRDefault="00802107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802107" w:rsidRPr="006D1039" w14:paraId="6E75CDC8" w14:textId="77777777" w:rsidTr="00DA14AA">
        <w:trPr>
          <w:trHeight w:val="170"/>
          <w:jc w:val="center"/>
        </w:trPr>
        <w:tc>
          <w:tcPr>
            <w:tcW w:w="308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2C669519" w14:textId="77777777" w:rsidR="00802107" w:rsidRPr="00802107" w:rsidRDefault="00802107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402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7672A65D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val="es-MX" w:eastAsia="es-MX"/>
              </w:rPr>
              <w:t>328,948,362</w:t>
            </w:r>
          </w:p>
        </w:tc>
        <w:tc>
          <w:tcPr>
            <w:tcW w:w="1403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27652629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315,848,812</w:t>
            </w:r>
          </w:p>
        </w:tc>
      </w:tr>
      <w:tr w:rsidR="00802107" w:rsidRPr="006D1039" w14:paraId="262BDF80" w14:textId="77777777" w:rsidTr="00DA14AA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38645829" w14:textId="77777777" w:rsidR="00802107" w:rsidRPr="00802107" w:rsidRDefault="00802107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7C96E2F3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11,244,834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438D7E1C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8,645,380</w:t>
            </w:r>
          </w:p>
        </w:tc>
      </w:tr>
      <w:tr w:rsidR="00802107" w:rsidRPr="006D1039" w14:paraId="1E944684" w14:textId="77777777" w:rsidTr="00DA14AA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7C29F77B" w14:textId="77777777" w:rsidR="00802107" w:rsidRPr="00802107" w:rsidRDefault="00802107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71081C8C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42,748,647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5F3C123B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38,744,723</w:t>
            </w:r>
          </w:p>
        </w:tc>
      </w:tr>
      <w:tr w:rsidR="00802107" w:rsidRPr="006D1039" w14:paraId="39300E59" w14:textId="77777777" w:rsidTr="00DA14AA">
        <w:trPr>
          <w:trHeight w:val="170"/>
          <w:jc w:val="center"/>
        </w:trPr>
        <w:tc>
          <w:tcPr>
            <w:tcW w:w="3087" w:type="dxa"/>
            <w:shd w:val="clear" w:color="auto" w:fill="F2F2F2"/>
            <w:noWrap/>
            <w:vAlign w:val="bottom"/>
          </w:tcPr>
          <w:p w14:paraId="3961EAB4" w14:textId="77777777" w:rsidR="00802107" w:rsidRPr="00802107" w:rsidRDefault="00802107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402" w:type="dxa"/>
            <w:shd w:val="clear" w:color="auto" w:fill="F2F2F2"/>
            <w:vAlign w:val="bottom"/>
          </w:tcPr>
          <w:p w14:paraId="7C75D06E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4,418,661</w:t>
            </w:r>
          </w:p>
        </w:tc>
        <w:tc>
          <w:tcPr>
            <w:tcW w:w="1403" w:type="dxa"/>
            <w:shd w:val="clear" w:color="auto" w:fill="F2F2F2"/>
            <w:noWrap/>
            <w:vAlign w:val="bottom"/>
          </w:tcPr>
          <w:p w14:paraId="4ECA1262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sz w:val="20"/>
                <w:szCs w:val="20"/>
                <w:lang w:eastAsia="es-MX"/>
              </w:rPr>
            </w:pPr>
            <w:r w:rsidRPr="00802107">
              <w:rPr>
                <w:rFonts w:ascii="Montserrat" w:eastAsia="Times New Roman" w:hAnsi="Montserrat"/>
                <w:sz w:val="20"/>
                <w:szCs w:val="20"/>
                <w:lang w:eastAsia="es-MX"/>
              </w:rPr>
              <w:t>3,573,711</w:t>
            </w:r>
          </w:p>
        </w:tc>
      </w:tr>
      <w:tr w:rsidR="00802107" w:rsidRPr="006D1039" w14:paraId="244D6FDD" w14:textId="77777777" w:rsidTr="00DA14AA">
        <w:trPr>
          <w:trHeight w:val="170"/>
          <w:jc w:val="center"/>
        </w:trPr>
        <w:tc>
          <w:tcPr>
            <w:tcW w:w="308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03A33085" w14:textId="77777777" w:rsidR="00802107" w:rsidRPr="00802107" w:rsidRDefault="00802107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02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26891D09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b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387,360,504</w:t>
            </w:r>
          </w:p>
        </w:tc>
        <w:tc>
          <w:tcPr>
            <w:tcW w:w="1403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752B9704" w14:textId="77777777" w:rsidR="00802107" w:rsidRPr="00802107" w:rsidRDefault="00802107" w:rsidP="00DA14AA">
            <w:pPr>
              <w:jc w:val="right"/>
              <w:rPr>
                <w:rFonts w:ascii="Montserrat" w:eastAsia="Times New Roman" w:hAnsi="Montserrat"/>
                <w:b/>
                <w:sz w:val="20"/>
                <w:szCs w:val="20"/>
                <w:lang w:val="es-MX" w:eastAsia="es-MX"/>
              </w:rPr>
            </w:pPr>
            <w:r w:rsidRPr="00802107">
              <w:rPr>
                <w:rFonts w:ascii="Montserrat" w:eastAsia="Times New Roman" w:hAnsi="Montserrat"/>
                <w:b/>
                <w:sz w:val="20"/>
                <w:szCs w:val="20"/>
                <w:lang w:eastAsia="es-MX"/>
              </w:rPr>
              <w:t>366,812,626</w:t>
            </w:r>
          </w:p>
        </w:tc>
      </w:tr>
    </w:tbl>
    <w:p w14:paraId="2D32EB81" w14:textId="77777777" w:rsidR="00F86B70" w:rsidRDefault="00F86B70" w:rsidP="00A021F9">
      <w:pPr>
        <w:jc w:val="both"/>
        <w:rPr>
          <w:rFonts w:ascii="Montserrat" w:hAnsi="Montserrat"/>
          <w:szCs w:val="22"/>
        </w:rPr>
      </w:pPr>
    </w:p>
    <w:p w14:paraId="5DE7CED5" w14:textId="77777777" w:rsidR="00F86B70" w:rsidRDefault="00F86B70" w:rsidP="00A021F9">
      <w:pPr>
        <w:jc w:val="both"/>
        <w:rPr>
          <w:rFonts w:ascii="Montserrat" w:hAnsi="Montserrat"/>
          <w:szCs w:val="22"/>
        </w:rPr>
      </w:pPr>
    </w:p>
    <w:p w14:paraId="292F2D69" w14:textId="325ABBEA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ECOSUR presenta gastos de funcionamiento por $379,672,030 pesos para 2021 y $402,292,838 pesos para el año 2022. Los gastos de funcionamiento agrupan las erogaciones que se realizaron conforme lo estable el clasificador por objeto de gasto.</w:t>
      </w:r>
    </w:p>
    <w:p w14:paraId="11EDD4E9" w14:textId="77777777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El saldo se integra de la siguiente manera:</w:t>
      </w:r>
    </w:p>
    <w:p w14:paraId="5091F190" w14:textId="77777777" w:rsidR="00335EE0" w:rsidRDefault="00335EE0" w:rsidP="00A021F9">
      <w:pPr>
        <w:jc w:val="both"/>
        <w:rPr>
          <w:rFonts w:ascii="Montserrat" w:hAnsi="Montserrat"/>
          <w:szCs w:val="22"/>
        </w:rPr>
      </w:pPr>
    </w:p>
    <w:p w14:paraId="64408F45" w14:textId="77777777" w:rsidR="00335EE0" w:rsidRPr="00A021F9" w:rsidRDefault="00335EE0" w:rsidP="00A021F9">
      <w:pPr>
        <w:jc w:val="both"/>
        <w:rPr>
          <w:rFonts w:ascii="Montserrat" w:hAnsi="Montserrat"/>
          <w:szCs w:val="22"/>
        </w:rPr>
      </w:pPr>
    </w:p>
    <w:tbl>
      <w:tblPr>
        <w:tblW w:w="59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1417"/>
      </w:tblGrid>
      <w:tr w:rsidR="0012600C" w:rsidRPr="0012600C" w14:paraId="2E0A15A9" w14:textId="77777777" w:rsidTr="00DA14AA">
        <w:trPr>
          <w:trHeight w:val="300"/>
          <w:tblHeader/>
          <w:jc w:val="center"/>
        </w:trPr>
        <w:tc>
          <w:tcPr>
            <w:tcW w:w="3134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56631E32" w14:textId="77777777" w:rsidR="0012600C" w:rsidRPr="0012600C" w:rsidRDefault="0012600C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338A5A1A" w14:textId="77777777" w:rsidR="0012600C" w:rsidRPr="0012600C" w:rsidRDefault="0012600C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 xml:space="preserve">      2022</w:t>
            </w:r>
          </w:p>
        </w:tc>
        <w:tc>
          <w:tcPr>
            <w:tcW w:w="1417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5DAF6D89" w14:textId="77777777" w:rsidR="0012600C" w:rsidRPr="0012600C" w:rsidRDefault="0012600C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2600C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12600C" w:rsidRPr="0012600C" w14:paraId="549E6044" w14:textId="77777777" w:rsidTr="00DA14AA">
        <w:trPr>
          <w:trHeight w:val="170"/>
          <w:jc w:val="center"/>
        </w:trPr>
        <w:tc>
          <w:tcPr>
            <w:tcW w:w="3134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53EDB5A8" w14:textId="77777777" w:rsidR="0012600C" w:rsidRPr="0012600C" w:rsidRDefault="0012600C" w:rsidP="00DA14AA">
            <w:pPr>
              <w:spacing w:line="240" w:lineRule="exac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615ECFE3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330,627,358</w:t>
            </w:r>
          </w:p>
        </w:tc>
        <w:tc>
          <w:tcPr>
            <w:tcW w:w="1417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0D5A19D9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316,489,102</w:t>
            </w:r>
          </w:p>
        </w:tc>
      </w:tr>
      <w:tr w:rsidR="0012600C" w:rsidRPr="0012600C" w14:paraId="2D010D8D" w14:textId="77777777" w:rsidTr="00DA14AA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5ADFE0A6" w14:textId="77777777" w:rsidR="0012600C" w:rsidRPr="0012600C" w:rsidRDefault="0012600C" w:rsidP="00DA14AA">
            <w:pPr>
              <w:spacing w:line="240" w:lineRule="exac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59BA393D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14,669,560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5832B971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11,084,448</w:t>
            </w:r>
          </w:p>
        </w:tc>
      </w:tr>
      <w:tr w:rsidR="0012600C" w:rsidRPr="0012600C" w14:paraId="3C1A25F6" w14:textId="77777777" w:rsidTr="00DA14AA">
        <w:trPr>
          <w:trHeight w:val="170"/>
          <w:jc w:val="center"/>
        </w:trPr>
        <w:tc>
          <w:tcPr>
            <w:tcW w:w="3134" w:type="dxa"/>
            <w:shd w:val="clear" w:color="auto" w:fill="F2F2F2"/>
            <w:noWrap/>
            <w:vAlign w:val="bottom"/>
            <w:hideMark/>
          </w:tcPr>
          <w:p w14:paraId="1C71AA79" w14:textId="77777777" w:rsidR="0012600C" w:rsidRPr="0012600C" w:rsidRDefault="0012600C" w:rsidP="00DA14AA">
            <w:pPr>
              <w:spacing w:line="240" w:lineRule="exac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4FA5AC0A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56,995,919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21C5CB6F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52,098,480</w:t>
            </w:r>
          </w:p>
        </w:tc>
      </w:tr>
      <w:tr w:rsidR="0012600C" w:rsidRPr="0012600C" w14:paraId="55FE6CA3" w14:textId="77777777" w:rsidTr="00DA14AA">
        <w:trPr>
          <w:trHeight w:val="170"/>
          <w:jc w:val="center"/>
        </w:trPr>
        <w:tc>
          <w:tcPr>
            <w:tcW w:w="3134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522F1087" w14:textId="77777777" w:rsidR="0012600C" w:rsidRPr="0012600C" w:rsidRDefault="0012600C" w:rsidP="00DA14AA">
            <w:pPr>
              <w:spacing w:line="240" w:lineRule="exac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7299F3CA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402,292,837</w:t>
            </w:r>
          </w:p>
        </w:tc>
        <w:tc>
          <w:tcPr>
            <w:tcW w:w="1417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172A8A0A" w14:textId="77777777" w:rsidR="0012600C" w:rsidRPr="0012600C" w:rsidRDefault="0012600C" w:rsidP="00DA14AA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12600C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379,672,030</w:t>
            </w:r>
          </w:p>
        </w:tc>
      </w:tr>
    </w:tbl>
    <w:p w14:paraId="7538CA5D" w14:textId="77777777" w:rsidR="00335EE0" w:rsidRDefault="00335EE0" w:rsidP="00A021F9">
      <w:pPr>
        <w:jc w:val="both"/>
        <w:rPr>
          <w:rFonts w:ascii="Montserrat" w:hAnsi="Montserrat"/>
          <w:szCs w:val="22"/>
        </w:rPr>
      </w:pPr>
    </w:p>
    <w:p w14:paraId="3F3036CE" w14:textId="77777777" w:rsidR="00335EE0" w:rsidRPr="00A021F9" w:rsidRDefault="00335EE0" w:rsidP="00A021F9">
      <w:pPr>
        <w:jc w:val="both"/>
        <w:rPr>
          <w:rFonts w:ascii="Montserrat" w:hAnsi="Montserrat"/>
          <w:szCs w:val="22"/>
        </w:rPr>
      </w:pPr>
    </w:p>
    <w:p w14:paraId="6A3F3961" w14:textId="589E01B2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 xml:space="preserve">•Los gastos por servicios personales corresponden a todas las erogaciones por concepto de percepciones de la nómina pagada al personal adscrito a ECOSUR, así como las erogaciones realizadas por seguridad social. </w:t>
      </w:r>
    </w:p>
    <w:p w14:paraId="7B099D79" w14:textId="77777777" w:rsidR="009205CA" w:rsidRPr="00A021F9" w:rsidRDefault="009205CA" w:rsidP="00A021F9">
      <w:pPr>
        <w:jc w:val="both"/>
        <w:rPr>
          <w:rFonts w:ascii="Montserrat" w:hAnsi="Montserrat"/>
          <w:szCs w:val="22"/>
        </w:rPr>
      </w:pPr>
    </w:p>
    <w:p w14:paraId="16893215" w14:textId="40B3E47A" w:rsid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•En Materiales y Suministros, la adquisición de diversos suministros del área académica y administrativa, como lo son: combustibles, lubricantes y aditivos, productos químicos, farmacéuticos y de laboratorio, los cuales fueron destinados para los diversos proyectos de investigación derivado de los convenios o contratos con diversas instituciones de colaboración nacionales y extranjeras.</w:t>
      </w:r>
    </w:p>
    <w:p w14:paraId="6C8D0280" w14:textId="77777777" w:rsidR="009205CA" w:rsidRPr="00A021F9" w:rsidRDefault="009205CA" w:rsidP="00A021F9">
      <w:pPr>
        <w:jc w:val="both"/>
        <w:rPr>
          <w:rFonts w:ascii="Montserrat" w:hAnsi="Montserrat"/>
          <w:szCs w:val="22"/>
        </w:rPr>
      </w:pPr>
    </w:p>
    <w:p w14:paraId="2852FC10" w14:textId="5050FBDA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 xml:space="preserve">•En Servicios Generales la contratación de servicios básicos como, energía eléctrica, enlaces, mantenimiento y conservación, así como viáticos nacionales para labores en campo y de supervisión, asociados a los proyectos de investigación, así como de comisiones y funciones oficiales, entre otros. </w:t>
      </w:r>
    </w:p>
    <w:p w14:paraId="129CC0A4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22970A5A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64AF5475" w14:textId="0BE1B21E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>Otros Gastos y Pérdidas Extraordinarias.</w:t>
      </w:r>
      <w:r w:rsidR="00644775">
        <w:rPr>
          <w:rFonts w:ascii="Montserrat" w:hAnsi="Montserrat"/>
          <w:szCs w:val="22"/>
        </w:rPr>
        <w:t xml:space="preserve"> </w:t>
      </w:r>
      <w:r w:rsidRPr="00A021F9">
        <w:rPr>
          <w:rFonts w:ascii="Montserrat" w:hAnsi="Montserrat"/>
          <w:szCs w:val="22"/>
        </w:rPr>
        <w:t>El saldo se refiere al reconocimiento del deterioro y desgaste de los bienes inmuebles y muebles, así como otros gastos extraordinarios.</w:t>
      </w:r>
    </w:p>
    <w:p w14:paraId="5D3D4FE1" w14:textId="77777777" w:rsidR="00644775" w:rsidRDefault="00644775" w:rsidP="00A021F9">
      <w:pPr>
        <w:jc w:val="both"/>
        <w:rPr>
          <w:rFonts w:ascii="Montserrat" w:hAnsi="Montserrat"/>
          <w:szCs w:val="22"/>
        </w:rPr>
      </w:pPr>
    </w:p>
    <w:tbl>
      <w:tblPr>
        <w:tblW w:w="6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1571"/>
        <w:gridCol w:w="1571"/>
      </w:tblGrid>
      <w:tr w:rsidR="00606B8D" w:rsidRPr="00606B8D" w14:paraId="1AD0C65D" w14:textId="77777777" w:rsidTr="00DA14AA">
        <w:trPr>
          <w:trHeight w:val="322"/>
          <w:tblHeader/>
          <w:jc w:val="center"/>
        </w:trPr>
        <w:tc>
          <w:tcPr>
            <w:tcW w:w="3445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392F986E" w14:textId="77777777" w:rsidR="00606B8D" w:rsidRPr="00606B8D" w:rsidRDefault="00606B8D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noWrap/>
            <w:vAlign w:val="bottom"/>
            <w:hideMark/>
          </w:tcPr>
          <w:p w14:paraId="71F792F8" w14:textId="77777777" w:rsidR="00606B8D" w:rsidRPr="00606B8D" w:rsidRDefault="00606B8D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71" w:type="dxa"/>
            <w:tcBorders>
              <w:top w:val="single" w:sz="12" w:space="0" w:color="808080"/>
              <w:bottom w:val="double" w:sz="12" w:space="0" w:color="808080"/>
            </w:tcBorders>
            <w:shd w:val="clear" w:color="auto" w:fill="D4C19C"/>
            <w:vAlign w:val="bottom"/>
          </w:tcPr>
          <w:p w14:paraId="41CE1A39" w14:textId="77777777" w:rsidR="00606B8D" w:rsidRPr="00606B8D" w:rsidRDefault="00606B8D" w:rsidP="00DA14AA">
            <w:pPr>
              <w:jc w:val="center"/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06B8D">
              <w:rPr>
                <w:rFonts w:ascii="Montserrat" w:eastAsia="Times New Roman" w:hAnsi="Montserrat"/>
                <w:b/>
                <w:bCs/>
                <w:color w:val="FFFFFF"/>
                <w:sz w:val="20"/>
                <w:szCs w:val="20"/>
                <w:lang w:eastAsia="es-MX"/>
              </w:rPr>
              <w:t>2021</w:t>
            </w:r>
          </w:p>
        </w:tc>
      </w:tr>
      <w:tr w:rsidR="00606B8D" w:rsidRPr="00606B8D" w14:paraId="2AF0134B" w14:textId="77777777" w:rsidTr="00DA14AA">
        <w:trPr>
          <w:trHeight w:val="170"/>
          <w:jc w:val="center"/>
        </w:trPr>
        <w:tc>
          <w:tcPr>
            <w:tcW w:w="3445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5656A677" w14:textId="77777777" w:rsidR="00606B8D" w:rsidRPr="00606B8D" w:rsidRDefault="00606B8D" w:rsidP="00DA14A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Estimaciones, Depreciaciones, Deterioros, Obsolescencias y amortizaciones  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noWrap/>
            <w:vAlign w:val="bottom"/>
            <w:hideMark/>
          </w:tcPr>
          <w:p w14:paraId="553D0469" w14:textId="77777777" w:rsidR="00606B8D" w:rsidRPr="00606B8D" w:rsidRDefault="00606B8D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13,131,940</w:t>
            </w:r>
          </w:p>
        </w:tc>
        <w:tc>
          <w:tcPr>
            <w:tcW w:w="1571" w:type="dxa"/>
            <w:tcBorders>
              <w:top w:val="double" w:sz="12" w:space="0" w:color="808080"/>
            </w:tcBorders>
            <w:shd w:val="clear" w:color="auto" w:fill="F2F2F2"/>
            <w:vAlign w:val="bottom"/>
          </w:tcPr>
          <w:p w14:paraId="20DF208A" w14:textId="77777777" w:rsidR="00606B8D" w:rsidRPr="00606B8D" w:rsidRDefault="00606B8D" w:rsidP="00DA14AA">
            <w:pPr>
              <w:spacing w:line="240" w:lineRule="exact"/>
              <w:jc w:val="right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10,182,973</w:t>
            </w:r>
          </w:p>
        </w:tc>
      </w:tr>
      <w:tr w:rsidR="00606B8D" w:rsidRPr="00606B8D" w14:paraId="7CB1EE23" w14:textId="77777777" w:rsidTr="00DA14AA">
        <w:trPr>
          <w:trHeight w:val="170"/>
          <w:jc w:val="center"/>
        </w:trPr>
        <w:tc>
          <w:tcPr>
            <w:tcW w:w="3445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5720F0D2" w14:textId="77777777" w:rsidR="00606B8D" w:rsidRPr="00606B8D" w:rsidRDefault="00606B8D" w:rsidP="00DA14AA">
            <w:pPr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noWrap/>
            <w:vAlign w:val="bottom"/>
            <w:hideMark/>
          </w:tcPr>
          <w:p w14:paraId="25C39A8E" w14:textId="77777777" w:rsidR="00606B8D" w:rsidRPr="00606B8D" w:rsidRDefault="00606B8D" w:rsidP="00DA14AA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13,131,940</w:t>
            </w:r>
          </w:p>
        </w:tc>
        <w:tc>
          <w:tcPr>
            <w:tcW w:w="1571" w:type="dxa"/>
            <w:tcBorders>
              <w:bottom w:val="single" w:sz="12" w:space="0" w:color="808080"/>
            </w:tcBorders>
            <w:shd w:val="clear" w:color="auto" w:fill="F2F2F2"/>
            <w:vAlign w:val="bottom"/>
          </w:tcPr>
          <w:p w14:paraId="5C0D1380" w14:textId="77777777" w:rsidR="00606B8D" w:rsidRPr="00606B8D" w:rsidRDefault="00606B8D" w:rsidP="00DA14AA">
            <w:pPr>
              <w:spacing w:line="240" w:lineRule="exact"/>
              <w:jc w:val="right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val="es-MX" w:eastAsia="es-MX"/>
              </w:rPr>
            </w:pPr>
            <w:r w:rsidRPr="00606B8D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es-MX"/>
              </w:rPr>
              <w:t>10,182,973</w:t>
            </w:r>
          </w:p>
        </w:tc>
      </w:tr>
    </w:tbl>
    <w:p w14:paraId="52B57DA3" w14:textId="77777777" w:rsidR="00644775" w:rsidRDefault="00644775" w:rsidP="00A021F9">
      <w:pPr>
        <w:jc w:val="both"/>
        <w:rPr>
          <w:rFonts w:ascii="Montserrat" w:hAnsi="Montserrat"/>
          <w:szCs w:val="22"/>
        </w:rPr>
      </w:pPr>
    </w:p>
    <w:p w14:paraId="32A686D8" w14:textId="77777777" w:rsidR="00644775" w:rsidRDefault="00644775" w:rsidP="00A021F9">
      <w:pPr>
        <w:jc w:val="both"/>
        <w:rPr>
          <w:rFonts w:ascii="Montserrat" w:hAnsi="Montserrat"/>
          <w:szCs w:val="22"/>
        </w:rPr>
      </w:pPr>
    </w:p>
    <w:p w14:paraId="405E798F" w14:textId="77777777" w:rsidR="00644775" w:rsidRDefault="00644775" w:rsidP="00A021F9">
      <w:pPr>
        <w:jc w:val="both"/>
        <w:rPr>
          <w:rFonts w:ascii="Montserrat" w:hAnsi="Montserrat"/>
          <w:szCs w:val="22"/>
        </w:rPr>
      </w:pPr>
    </w:p>
    <w:p w14:paraId="79050913" w14:textId="447F2A1A" w:rsidR="00A021F9" w:rsidRPr="00A021F9" w:rsidRDefault="00A021F9" w:rsidP="00A021F9">
      <w:pPr>
        <w:jc w:val="both"/>
        <w:rPr>
          <w:rFonts w:ascii="Montserrat" w:hAnsi="Montserrat"/>
          <w:szCs w:val="22"/>
        </w:rPr>
      </w:pPr>
      <w:r w:rsidRPr="00A021F9">
        <w:rPr>
          <w:rFonts w:ascii="Montserrat" w:hAnsi="Montserrat"/>
          <w:szCs w:val="22"/>
        </w:rPr>
        <w:t xml:space="preserve">Al cierre del ejercicio se tiene un desahorro de $20,249,187, el cual se integra de la siguiente manera, depreciación anual por la cantidad de $12,760,137, amortización acumulada de bienes por $228,602, una estimación por cuentas incobrables de $143,200 y un sobre ejercicio de proyectos multianuales por la cantidad de $7,117,248. Cabe señalar que este último importe es producto de las erogaciones de proyectos a cargo de la entidad, en donde el ingreso se registra cuando se recibe y se </w:t>
      </w:r>
      <w:r w:rsidR="006526B0" w:rsidRPr="00A021F9">
        <w:rPr>
          <w:rFonts w:ascii="Montserrat" w:hAnsi="Montserrat"/>
          <w:szCs w:val="22"/>
        </w:rPr>
        <w:t>designa,</w:t>
      </w:r>
      <w:r w:rsidRPr="00A021F9">
        <w:rPr>
          <w:rFonts w:ascii="Montserrat" w:hAnsi="Montserrat"/>
          <w:szCs w:val="22"/>
        </w:rPr>
        <w:t xml:space="preserve"> tal como se aplica en forma consistente en cada ejercicio y el gasto hasta que se realiza, </w:t>
      </w:r>
      <w:r w:rsidRPr="00A021F9">
        <w:rPr>
          <w:rFonts w:ascii="Montserrat" w:hAnsi="Montserrat"/>
          <w:szCs w:val="22"/>
        </w:rPr>
        <w:lastRenderedPageBreak/>
        <w:t>mismo que por la pandemia denominada COVID 19, hasta este ejercicio se ejerció el recurso en forma regular.</w:t>
      </w:r>
    </w:p>
    <w:p w14:paraId="513A16D6" w14:textId="77777777" w:rsidR="00A021F9" w:rsidRPr="00A021F9" w:rsidRDefault="00A021F9" w:rsidP="00A021F9">
      <w:pPr>
        <w:jc w:val="both"/>
        <w:rPr>
          <w:rFonts w:ascii="Montserrat" w:hAnsi="Montserrat"/>
          <w:szCs w:val="22"/>
        </w:rPr>
      </w:pPr>
    </w:p>
    <w:p w14:paraId="56F9603E" w14:textId="3E6210D5" w:rsidR="00A021F9" w:rsidRDefault="00711C1D" w:rsidP="00D110E2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Modificaciones al </w:t>
      </w:r>
      <w:r w:rsidR="00D71ACC">
        <w:rPr>
          <w:rFonts w:ascii="Montserrat" w:hAnsi="Montserrat"/>
          <w:szCs w:val="22"/>
        </w:rPr>
        <w:t>p</w:t>
      </w:r>
      <w:r>
        <w:rPr>
          <w:rFonts w:ascii="Montserrat" w:hAnsi="Montserrat"/>
          <w:szCs w:val="22"/>
        </w:rPr>
        <w:t>atrimonio contribuido, r</w:t>
      </w:r>
      <w:r w:rsidR="000B6AEF" w:rsidRPr="000B6AEF">
        <w:rPr>
          <w:rFonts w:ascii="Montserrat" w:hAnsi="Montserrat"/>
          <w:szCs w:val="22"/>
        </w:rPr>
        <w:t xml:space="preserve">epresenta el aumento de las aportaciones, que se reciben de las fuentes de financiamiento con el fin de proveer activos necesarios para el ejercicio de los proyectos. A partir del 1 de enero de 2008 se suspendió el reconocimiento de los efectos de la inflación en los estados financieros; sin embargo, los activos, pasivos y patrimonio incluyen los efectos de </w:t>
      </w:r>
      <w:proofErr w:type="spellStart"/>
      <w:r w:rsidR="000B6AEF" w:rsidRPr="000B6AEF">
        <w:rPr>
          <w:rFonts w:ascii="Montserrat" w:hAnsi="Montserrat"/>
          <w:szCs w:val="22"/>
        </w:rPr>
        <w:t>re</w:t>
      </w:r>
      <w:r w:rsidR="00BF1FD1">
        <w:rPr>
          <w:rFonts w:ascii="Montserrat" w:hAnsi="Montserrat"/>
          <w:szCs w:val="22"/>
        </w:rPr>
        <w:t>-</w:t>
      </w:r>
      <w:r w:rsidR="000B6AEF" w:rsidRPr="000B6AEF">
        <w:rPr>
          <w:rFonts w:ascii="Montserrat" w:hAnsi="Montserrat"/>
          <w:szCs w:val="22"/>
        </w:rPr>
        <w:t>expresión</w:t>
      </w:r>
      <w:proofErr w:type="spellEnd"/>
      <w:r w:rsidR="000B6AEF" w:rsidRPr="000B6AEF">
        <w:rPr>
          <w:rFonts w:ascii="Montserrat" w:hAnsi="Montserrat"/>
          <w:szCs w:val="22"/>
        </w:rPr>
        <w:t xml:space="preserve"> reconocidos hasta el 31 de diciembre de 2007.  Se tuvo una actualización por </w:t>
      </w:r>
      <w:proofErr w:type="spellStart"/>
      <w:r w:rsidR="000B6AEF" w:rsidRPr="000B6AEF">
        <w:rPr>
          <w:rFonts w:ascii="Montserrat" w:hAnsi="Montserrat"/>
          <w:szCs w:val="22"/>
        </w:rPr>
        <w:t>re-expresión</w:t>
      </w:r>
      <w:proofErr w:type="spellEnd"/>
      <w:r w:rsidR="000B6AEF" w:rsidRPr="000B6AEF">
        <w:rPr>
          <w:rFonts w:ascii="Montserrat" w:hAnsi="Montserrat"/>
          <w:szCs w:val="22"/>
        </w:rPr>
        <w:t xml:space="preserve"> de bajas </w:t>
      </w:r>
      <w:proofErr w:type="spellStart"/>
      <w:r w:rsidR="000B6AEF" w:rsidRPr="000B6AEF">
        <w:rPr>
          <w:rFonts w:ascii="Montserrat" w:hAnsi="Montserrat"/>
          <w:szCs w:val="22"/>
        </w:rPr>
        <w:t>CABIN</w:t>
      </w:r>
      <w:proofErr w:type="spellEnd"/>
      <w:r w:rsidR="000B6AEF" w:rsidRPr="000B6AEF">
        <w:rPr>
          <w:rFonts w:ascii="Montserrat" w:hAnsi="Montserrat"/>
          <w:szCs w:val="22"/>
        </w:rPr>
        <w:t>, la cual para su proceso se consideraron las cifras emitidas por la Comisión de Avaluó Bienes Nacionales determinando la cantidad de -$87,515</w:t>
      </w:r>
      <w:r w:rsidR="0096534C">
        <w:rPr>
          <w:rFonts w:ascii="Montserrat" w:hAnsi="Montserrat"/>
          <w:szCs w:val="22"/>
        </w:rPr>
        <w:t>.</w:t>
      </w:r>
    </w:p>
    <w:p w14:paraId="43B89430" w14:textId="77777777" w:rsidR="0096534C" w:rsidRDefault="0096534C" w:rsidP="00D110E2">
      <w:pPr>
        <w:jc w:val="both"/>
        <w:rPr>
          <w:rFonts w:ascii="Montserrat" w:hAnsi="Montserrat"/>
          <w:szCs w:val="22"/>
        </w:rPr>
      </w:pPr>
    </w:p>
    <w:p w14:paraId="4A4E1027" w14:textId="594692A7" w:rsidR="0096534C" w:rsidRPr="00D110E2" w:rsidRDefault="00D71ACC" w:rsidP="00D110E2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Las modificaciones al patrimonio generado </w:t>
      </w:r>
      <w:r w:rsidRPr="0096534C">
        <w:rPr>
          <w:rFonts w:ascii="Montserrat" w:hAnsi="Montserrat"/>
          <w:szCs w:val="22"/>
        </w:rPr>
        <w:t>al 31 de diciembre 2022 son</w:t>
      </w:r>
      <w:r w:rsidR="0096534C" w:rsidRPr="0096534C">
        <w:rPr>
          <w:rFonts w:ascii="Montserrat" w:hAnsi="Montserrat"/>
          <w:szCs w:val="22"/>
        </w:rPr>
        <w:t xml:space="preserve"> de -$296,593,032 pesos, la cual tuvo variaciones de -$20,249,187 pesos, quedando un saldo neto al cierre del presente ejercicio de -$316,842,219 pesos</w:t>
      </w:r>
      <w:r>
        <w:rPr>
          <w:rFonts w:ascii="Montserrat" w:hAnsi="Montserrat"/>
          <w:szCs w:val="22"/>
        </w:rPr>
        <w:t>.</w:t>
      </w:r>
    </w:p>
    <w:sectPr w:rsidR="0096534C" w:rsidRPr="00D110E2" w:rsidSect="001D1271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F267" w14:textId="77777777" w:rsidR="00F42730" w:rsidRDefault="00F42730" w:rsidP="009D36E7">
      <w:r>
        <w:separator/>
      </w:r>
    </w:p>
  </w:endnote>
  <w:endnote w:type="continuationSeparator" w:id="0">
    <w:p w14:paraId="61B46608" w14:textId="77777777" w:rsidR="00F42730" w:rsidRDefault="00F42730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98C" w14:textId="77777777" w:rsidR="00F42730" w:rsidRDefault="00F42730" w:rsidP="009D36E7">
      <w:r>
        <w:separator/>
      </w:r>
    </w:p>
  </w:footnote>
  <w:footnote w:type="continuationSeparator" w:id="0">
    <w:p w14:paraId="4401439A" w14:textId="77777777" w:rsidR="00F42730" w:rsidRDefault="00F42730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86D" w14:textId="616673FD" w:rsidR="001D1271" w:rsidRDefault="001D1271">
    <w:pPr>
      <w:pStyle w:val="Encabezado"/>
    </w:pPr>
    <w:r>
      <w:rPr>
        <w:noProof/>
      </w:rPr>
      <w:drawing>
        <wp:inline distT="0" distB="0" distL="0" distR="0" wp14:anchorId="2A8E660E" wp14:editId="112F5F44">
          <wp:extent cx="5883275" cy="640080"/>
          <wp:effectExtent l="0" t="0" r="3175" b="7620"/>
          <wp:docPr id="807027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3"/>
  </w:num>
  <w:num w:numId="4" w16cid:durableId="553007458">
    <w:abstractNumId w:val="20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9"/>
  </w:num>
  <w:num w:numId="8" w16cid:durableId="891234912">
    <w:abstractNumId w:val="0"/>
  </w:num>
  <w:num w:numId="9" w16cid:durableId="592667921">
    <w:abstractNumId w:val="11"/>
  </w:num>
  <w:num w:numId="10" w16cid:durableId="1155612465">
    <w:abstractNumId w:val="10"/>
  </w:num>
  <w:num w:numId="11" w16cid:durableId="1813668551">
    <w:abstractNumId w:val="16"/>
  </w:num>
  <w:num w:numId="12" w16cid:durableId="272133886">
    <w:abstractNumId w:val="1"/>
  </w:num>
  <w:num w:numId="13" w16cid:durableId="728577643">
    <w:abstractNumId w:val="18"/>
  </w:num>
  <w:num w:numId="14" w16cid:durableId="2141027620">
    <w:abstractNumId w:val="3"/>
  </w:num>
  <w:num w:numId="15" w16cid:durableId="611010631">
    <w:abstractNumId w:val="17"/>
  </w:num>
  <w:num w:numId="16" w16cid:durableId="709377258">
    <w:abstractNumId w:val="12"/>
  </w:num>
  <w:num w:numId="17" w16cid:durableId="1999651983">
    <w:abstractNumId w:val="14"/>
  </w:num>
  <w:num w:numId="18" w16cid:durableId="489296926">
    <w:abstractNumId w:val="15"/>
  </w:num>
  <w:num w:numId="19" w16cid:durableId="1132602520">
    <w:abstractNumId w:val="19"/>
  </w:num>
  <w:num w:numId="20" w16cid:durableId="56562469">
    <w:abstractNumId w:val="5"/>
  </w:num>
  <w:num w:numId="21" w16cid:durableId="143655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5A82"/>
    <w:rsid w:val="00041DC8"/>
    <w:rsid w:val="00050163"/>
    <w:rsid w:val="00051D96"/>
    <w:rsid w:val="000568A5"/>
    <w:rsid w:val="0007008B"/>
    <w:rsid w:val="00072711"/>
    <w:rsid w:val="000822F6"/>
    <w:rsid w:val="00086863"/>
    <w:rsid w:val="000B512C"/>
    <w:rsid w:val="000B6AEF"/>
    <w:rsid w:val="000C2A3D"/>
    <w:rsid w:val="000C48A7"/>
    <w:rsid w:val="000D1070"/>
    <w:rsid w:val="000E4ABA"/>
    <w:rsid w:val="001030D4"/>
    <w:rsid w:val="00104C6B"/>
    <w:rsid w:val="0012600C"/>
    <w:rsid w:val="00136142"/>
    <w:rsid w:val="00136E0F"/>
    <w:rsid w:val="00144D4B"/>
    <w:rsid w:val="00150AF3"/>
    <w:rsid w:val="00170643"/>
    <w:rsid w:val="00170F47"/>
    <w:rsid w:val="00183A1B"/>
    <w:rsid w:val="001870D0"/>
    <w:rsid w:val="00194865"/>
    <w:rsid w:val="00195D97"/>
    <w:rsid w:val="001A1EB6"/>
    <w:rsid w:val="001B4D38"/>
    <w:rsid w:val="001B7E38"/>
    <w:rsid w:val="001D07B4"/>
    <w:rsid w:val="001D1271"/>
    <w:rsid w:val="001F3DCD"/>
    <w:rsid w:val="00200072"/>
    <w:rsid w:val="002029FB"/>
    <w:rsid w:val="00212042"/>
    <w:rsid w:val="00216AA3"/>
    <w:rsid w:val="0022665B"/>
    <w:rsid w:val="00236D2B"/>
    <w:rsid w:val="002440BD"/>
    <w:rsid w:val="00250052"/>
    <w:rsid w:val="002575D5"/>
    <w:rsid w:val="002671A7"/>
    <w:rsid w:val="00267A36"/>
    <w:rsid w:val="002858B0"/>
    <w:rsid w:val="00287B6E"/>
    <w:rsid w:val="00292167"/>
    <w:rsid w:val="002A37BD"/>
    <w:rsid w:val="002B7385"/>
    <w:rsid w:val="002C041C"/>
    <w:rsid w:val="002C0BD4"/>
    <w:rsid w:val="002C0E25"/>
    <w:rsid w:val="002C11E5"/>
    <w:rsid w:val="002E07A7"/>
    <w:rsid w:val="002E41C7"/>
    <w:rsid w:val="002F3955"/>
    <w:rsid w:val="003057D3"/>
    <w:rsid w:val="00307400"/>
    <w:rsid w:val="0031084D"/>
    <w:rsid w:val="00320742"/>
    <w:rsid w:val="00320B24"/>
    <w:rsid w:val="00320FC5"/>
    <w:rsid w:val="00323F1C"/>
    <w:rsid w:val="00335EE0"/>
    <w:rsid w:val="00340623"/>
    <w:rsid w:val="00354CD9"/>
    <w:rsid w:val="0036062E"/>
    <w:rsid w:val="00363CE5"/>
    <w:rsid w:val="00367B7E"/>
    <w:rsid w:val="00373B9B"/>
    <w:rsid w:val="00383CB8"/>
    <w:rsid w:val="00386360"/>
    <w:rsid w:val="00396E41"/>
    <w:rsid w:val="003A17A9"/>
    <w:rsid w:val="003B351B"/>
    <w:rsid w:val="003B7978"/>
    <w:rsid w:val="003F078F"/>
    <w:rsid w:val="003F4B33"/>
    <w:rsid w:val="00405A69"/>
    <w:rsid w:val="004113A6"/>
    <w:rsid w:val="0041677E"/>
    <w:rsid w:val="00424D88"/>
    <w:rsid w:val="0042744C"/>
    <w:rsid w:val="0043149E"/>
    <w:rsid w:val="004467D4"/>
    <w:rsid w:val="00453810"/>
    <w:rsid w:val="00471892"/>
    <w:rsid w:val="00475BC4"/>
    <w:rsid w:val="00482A00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219A6"/>
    <w:rsid w:val="005325DD"/>
    <w:rsid w:val="005360E5"/>
    <w:rsid w:val="005411BF"/>
    <w:rsid w:val="005672A8"/>
    <w:rsid w:val="00570476"/>
    <w:rsid w:val="005704FF"/>
    <w:rsid w:val="00572F28"/>
    <w:rsid w:val="00572F3E"/>
    <w:rsid w:val="00574739"/>
    <w:rsid w:val="0057476C"/>
    <w:rsid w:val="0058580A"/>
    <w:rsid w:val="00592A26"/>
    <w:rsid w:val="00593BEC"/>
    <w:rsid w:val="00595866"/>
    <w:rsid w:val="005B4223"/>
    <w:rsid w:val="005C1816"/>
    <w:rsid w:val="005C3D69"/>
    <w:rsid w:val="005D72A0"/>
    <w:rsid w:val="005D7820"/>
    <w:rsid w:val="005D79FF"/>
    <w:rsid w:val="005D7FA7"/>
    <w:rsid w:val="005E1ED3"/>
    <w:rsid w:val="005E46A8"/>
    <w:rsid w:val="005F7B94"/>
    <w:rsid w:val="00606B8D"/>
    <w:rsid w:val="00606D05"/>
    <w:rsid w:val="006123F0"/>
    <w:rsid w:val="006166BF"/>
    <w:rsid w:val="00617FA7"/>
    <w:rsid w:val="0062304F"/>
    <w:rsid w:val="00644775"/>
    <w:rsid w:val="006526B0"/>
    <w:rsid w:val="00653110"/>
    <w:rsid w:val="00663F43"/>
    <w:rsid w:val="00664395"/>
    <w:rsid w:val="006731D8"/>
    <w:rsid w:val="00675185"/>
    <w:rsid w:val="00676729"/>
    <w:rsid w:val="00683C9B"/>
    <w:rsid w:val="006947F9"/>
    <w:rsid w:val="006A1429"/>
    <w:rsid w:val="006C2BC8"/>
    <w:rsid w:val="006D291B"/>
    <w:rsid w:val="00707E8F"/>
    <w:rsid w:val="00711C1D"/>
    <w:rsid w:val="0071682A"/>
    <w:rsid w:val="00725A6E"/>
    <w:rsid w:val="00743CF4"/>
    <w:rsid w:val="00745BA0"/>
    <w:rsid w:val="0074692E"/>
    <w:rsid w:val="00755E60"/>
    <w:rsid w:val="00756733"/>
    <w:rsid w:val="00757AF9"/>
    <w:rsid w:val="00772CB4"/>
    <w:rsid w:val="007748C1"/>
    <w:rsid w:val="007A0AB1"/>
    <w:rsid w:val="007A4CF8"/>
    <w:rsid w:val="007D2B61"/>
    <w:rsid w:val="007D6DC9"/>
    <w:rsid w:val="007D7503"/>
    <w:rsid w:val="007E052C"/>
    <w:rsid w:val="007E7893"/>
    <w:rsid w:val="00802107"/>
    <w:rsid w:val="0080262A"/>
    <w:rsid w:val="00805108"/>
    <w:rsid w:val="00806790"/>
    <w:rsid w:val="00810460"/>
    <w:rsid w:val="00837D43"/>
    <w:rsid w:val="008504A8"/>
    <w:rsid w:val="0085579C"/>
    <w:rsid w:val="00856363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2162"/>
    <w:rsid w:val="008B2D5C"/>
    <w:rsid w:val="008B7455"/>
    <w:rsid w:val="008C0F41"/>
    <w:rsid w:val="008C3297"/>
    <w:rsid w:val="008C3C8D"/>
    <w:rsid w:val="008C7A7C"/>
    <w:rsid w:val="008D7F31"/>
    <w:rsid w:val="008E1161"/>
    <w:rsid w:val="008E1F20"/>
    <w:rsid w:val="008E212E"/>
    <w:rsid w:val="009205CA"/>
    <w:rsid w:val="00927BEF"/>
    <w:rsid w:val="00936061"/>
    <w:rsid w:val="009412E8"/>
    <w:rsid w:val="00943BA4"/>
    <w:rsid w:val="00944649"/>
    <w:rsid w:val="0094760D"/>
    <w:rsid w:val="00950F2F"/>
    <w:rsid w:val="00953876"/>
    <w:rsid w:val="00960BD5"/>
    <w:rsid w:val="00961E3B"/>
    <w:rsid w:val="0096334A"/>
    <w:rsid w:val="00964BAF"/>
    <w:rsid w:val="0096534C"/>
    <w:rsid w:val="009677C6"/>
    <w:rsid w:val="009807D5"/>
    <w:rsid w:val="00982D83"/>
    <w:rsid w:val="0099673D"/>
    <w:rsid w:val="009A2C01"/>
    <w:rsid w:val="009A7608"/>
    <w:rsid w:val="009C4DCE"/>
    <w:rsid w:val="009C4DF5"/>
    <w:rsid w:val="009D36E7"/>
    <w:rsid w:val="009F70AB"/>
    <w:rsid w:val="00A0050B"/>
    <w:rsid w:val="00A021F9"/>
    <w:rsid w:val="00A13732"/>
    <w:rsid w:val="00A16B2D"/>
    <w:rsid w:val="00A21BB3"/>
    <w:rsid w:val="00A30664"/>
    <w:rsid w:val="00A34EBC"/>
    <w:rsid w:val="00A537D1"/>
    <w:rsid w:val="00A54D3C"/>
    <w:rsid w:val="00A66B2A"/>
    <w:rsid w:val="00A74BA4"/>
    <w:rsid w:val="00A83211"/>
    <w:rsid w:val="00A919A5"/>
    <w:rsid w:val="00A926CB"/>
    <w:rsid w:val="00AA3E88"/>
    <w:rsid w:val="00AA61C8"/>
    <w:rsid w:val="00AB10F4"/>
    <w:rsid w:val="00AD4706"/>
    <w:rsid w:val="00AD6B65"/>
    <w:rsid w:val="00AE6874"/>
    <w:rsid w:val="00B0518D"/>
    <w:rsid w:val="00B22D66"/>
    <w:rsid w:val="00B35563"/>
    <w:rsid w:val="00B51C38"/>
    <w:rsid w:val="00B526EA"/>
    <w:rsid w:val="00B60AD9"/>
    <w:rsid w:val="00B61D00"/>
    <w:rsid w:val="00B668B1"/>
    <w:rsid w:val="00B71D27"/>
    <w:rsid w:val="00B854EF"/>
    <w:rsid w:val="00B861E9"/>
    <w:rsid w:val="00B95DAB"/>
    <w:rsid w:val="00BA65D8"/>
    <w:rsid w:val="00BB078F"/>
    <w:rsid w:val="00BC21E4"/>
    <w:rsid w:val="00BC5C9F"/>
    <w:rsid w:val="00BD5F10"/>
    <w:rsid w:val="00BE0AC0"/>
    <w:rsid w:val="00BE20EE"/>
    <w:rsid w:val="00BE3756"/>
    <w:rsid w:val="00BE7CA3"/>
    <w:rsid w:val="00BF12CC"/>
    <w:rsid w:val="00BF1FD1"/>
    <w:rsid w:val="00BF4FFF"/>
    <w:rsid w:val="00C06E02"/>
    <w:rsid w:val="00C150C7"/>
    <w:rsid w:val="00C178C0"/>
    <w:rsid w:val="00C23DA1"/>
    <w:rsid w:val="00C52F05"/>
    <w:rsid w:val="00C7039D"/>
    <w:rsid w:val="00C82E41"/>
    <w:rsid w:val="00C84099"/>
    <w:rsid w:val="00C90F4C"/>
    <w:rsid w:val="00C95428"/>
    <w:rsid w:val="00CA2C7E"/>
    <w:rsid w:val="00CA7F52"/>
    <w:rsid w:val="00CC241F"/>
    <w:rsid w:val="00CD4F4A"/>
    <w:rsid w:val="00CD5119"/>
    <w:rsid w:val="00CD59CE"/>
    <w:rsid w:val="00CD6791"/>
    <w:rsid w:val="00CF0007"/>
    <w:rsid w:val="00CF7F7D"/>
    <w:rsid w:val="00D110E2"/>
    <w:rsid w:val="00D24D71"/>
    <w:rsid w:val="00D32E85"/>
    <w:rsid w:val="00D33A0C"/>
    <w:rsid w:val="00D35A87"/>
    <w:rsid w:val="00D35BC6"/>
    <w:rsid w:val="00D42FA8"/>
    <w:rsid w:val="00D43838"/>
    <w:rsid w:val="00D46117"/>
    <w:rsid w:val="00D71ACC"/>
    <w:rsid w:val="00D80B2F"/>
    <w:rsid w:val="00D83883"/>
    <w:rsid w:val="00DA1185"/>
    <w:rsid w:val="00DC2237"/>
    <w:rsid w:val="00DD27D7"/>
    <w:rsid w:val="00DD2D6B"/>
    <w:rsid w:val="00DD3C11"/>
    <w:rsid w:val="00DF35AF"/>
    <w:rsid w:val="00DF4898"/>
    <w:rsid w:val="00DF7567"/>
    <w:rsid w:val="00E028F2"/>
    <w:rsid w:val="00E049C4"/>
    <w:rsid w:val="00E071C1"/>
    <w:rsid w:val="00E07987"/>
    <w:rsid w:val="00E12434"/>
    <w:rsid w:val="00E25749"/>
    <w:rsid w:val="00E33122"/>
    <w:rsid w:val="00E51C89"/>
    <w:rsid w:val="00E5249B"/>
    <w:rsid w:val="00E81AAB"/>
    <w:rsid w:val="00E841B2"/>
    <w:rsid w:val="00E86853"/>
    <w:rsid w:val="00EA1EA7"/>
    <w:rsid w:val="00EA2425"/>
    <w:rsid w:val="00EA4493"/>
    <w:rsid w:val="00EB1332"/>
    <w:rsid w:val="00EB32CF"/>
    <w:rsid w:val="00EC247D"/>
    <w:rsid w:val="00EC6D62"/>
    <w:rsid w:val="00EE129F"/>
    <w:rsid w:val="00F03248"/>
    <w:rsid w:val="00F21C2E"/>
    <w:rsid w:val="00F31C7E"/>
    <w:rsid w:val="00F42730"/>
    <w:rsid w:val="00F5698B"/>
    <w:rsid w:val="00F61DDD"/>
    <w:rsid w:val="00F639E5"/>
    <w:rsid w:val="00F65FB0"/>
    <w:rsid w:val="00F86B70"/>
    <w:rsid w:val="00F91E36"/>
    <w:rsid w:val="00F92D89"/>
    <w:rsid w:val="00FA293F"/>
    <w:rsid w:val="00FA71C3"/>
    <w:rsid w:val="00FC3AC7"/>
    <w:rsid w:val="00FD0690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Elizabeth Torres Suarez</cp:lastModifiedBy>
  <cp:revision>3</cp:revision>
  <cp:lastPrinted>2023-05-02T23:00:00Z</cp:lastPrinted>
  <dcterms:created xsi:type="dcterms:W3CDTF">2023-05-02T23:29:00Z</dcterms:created>
  <dcterms:modified xsi:type="dcterms:W3CDTF">2023-05-04T20:03:00Z</dcterms:modified>
</cp:coreProperties>
</file>