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BF02" w14:textId="77777777" w:rsidR="00F53B0B" w:rsidRPr="00C90280" w:rsidRDefault="00F53B0B" w:rsidP="00F53B0B">
      <w:pPr>
        <w:autoSpaceDE w:val="0"/>
        <w:autoSpaceDN w:val="0"/>
        <w:adjustRightInd w:val="0"/>
        <w:rPr>
          <w:rFonts w:ascii="Montserrat" w:hAnsi="Montserrat" w:cs="Montserrat"/>
          <w:color w:val="000000"/>
          <w:szCs w:val="22"/>
        </w:rPr>
      </w:pPr>
      <w:r w:rsidRPr="00C90280">
        <w:rPr>
          <w:rFonts w:ascii="Montserrat" w:hAnsi="Montserrat" w:cs="Montserrat"/>
          <w:b/>
          <w:bCs/>
          <w:color w:val="000000"/>
          <w:szCs w:val="22"/>
        </w:rPr>
        <w:t xml:space="preserve">6.10. </w:t>
      </w:r>
      <w:r w:rsidRPr="00C90280">
        <w:rPr>
          <w:rFonts w:ascii="Montserrat" w:hAnsi="Montserrat" w:cs="Montserrat"/>
          <w:b/>
          <w:bCs/>
          <w:i/>
          <w:iCs/>
          <w:color w:val="000000"/>
          <w:szCs w:val="22"/>
        </w:rPr>
        <w:t xml:space="preserve">Ley Federal de Transparencia y Acceso a la Información Pública </w:t>
      </w:r>
      <w:r w:rsidRPr="00C90280">
        <w:rPr>
          <w:rFonts w:ascii="Montserrat" w:hAnsi="Montserrat" w:cs="Montserrat"/>
          <w:b/>
          <w:bCs/>
          <w:color w:val="000000"/>
          <w:szCs w:val="22"/>
        </w:rPr>
        <w:t xml:space="preserve">y </w:t>
      </w:r>
      <w:r w:rsidRPr="00C90280">
        <w:rPr>
          <w:rFonts w:ascii="Montserrat" w:hAnsi="Montserrat" w:cs="Montserrat"/>
          <w:b/>
          <w:bCs/>
          <w:i/>
          <w:iCs/>
          <w:color w:val="000000"/>
          <w:szCs w:val="22"/>
        </w:rPr>
        <w:t>Ley General de Transparencia y acceso a la Información Pública</w:t>
      </w:r>
      <w:r w:rsidRPr="00C90280">
        <w:rPr>
          <w:rFonts w:ascii="Montserrat" w:hAnsi="Montserrat" w:cs="Montserrat"/>
          <w:b/>
          <w:bCs/>
          <w:color w:val="000000"/>
          <w:szCs w:val="22"/>
        </w:rPr>
        <w:t xml:space="preserve">. </w:t>
      </w:r>
    </w:p>
    <w:p w14:paraId="5A18819F" w14:textId="77777777" w:rsidR="00F53B0B" w:rsidRPr="00C90280" w:rsidRDefault="00F53B0B" w:rsidP="00F53B0B">
      <w:pPr>
        <w:autoSpaceDE w:val="0"/>
        <w:autoSpaceDN w:val="0"/>
        <w:adjustRightInd w:val="0"/>
        <w:jc w:val="both"/>
        <w:rPr>
          <w:rFonts w:ascii="Montserrat" w:hAnsi="Montserrat" w:cs="Arial-BoldMT"/>
          <w:b/>
          <w:bCs/>
          <w:szCs w:val="22"/>
        </w:rPr>
      </w:pPr>
    </w:p>
    <w:p w14:paraId="7FAFC44F" w14:textId="77777777" w:rsidR="00F53B0B" w:rsidRPr="00C90280" w:rsidRDefault="00F53B0B" w:rsidP="00F53B0B">
      <w:pPr>
        <w:autoSpaceDE w:val="0"/>
        <w:autoSpaceDN w:val="0"/>
        <w:adjustRightInd w:val="0"/>
        <w:jc w:val="both"/>
        <w:rPr>
          <w:rFonts w:ascii="Montserrat" w:hAnsi="Montserrat" w:cs="Arial-BoldMT"/>
          <w:b/>
          <w:bCs/>
          <w:szCs w:val="22"/>
        </w:rPr>
      </w:pPr>
    </w:p>
    <w:p w14:paraId="150AFE04" w14:textId="23549622" w:rsidR="00F53B0B" w:rsidRPr="00C90280" w:rsidRDefault="00F53B0B" w:rsidP="00F53B0B">
      <w:pPr>
        <w:widowControl w:val="0"/>
        <w:suppressAutoHyphens/>
        <w:jc w:val="both"/>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De acuerdo con las disposiciones establecidas en la Ley General de Transparencia y Acceso a la Información Pública y la Ley Federal de Transparencia y Acceso a la Información Pública, y demás ordenamientos relativos, la Unidad de Transparencia de El Colegio de la Frontera Sur durante el ejercicio 202</w:t>
      </w:r>
      <w:r w:rsidR="008F5A46" w:rsidRPr="00C90280">
        <w:rPr>
          <w:rFonts w:ascii="Montserrat" w:eastAsia="SimSun" w:hAnsi="Montserrat" w:cs="Arial"/>
          <w:kern w:val="1"/>
          <w:szCs w:val="22"/>
          <w:lang w:eastAsia="hi-IN" w:bidi="hi-IN"/>
        </w:rPr>
        <w:t>2</w:t>
      </w:r>
      <w:r w:rsidRPr="00C90280">
        <w:rPr>
          <w:rFonts w:ascii="Montserrat" w:eastAsia="SimSun" w:hAnsi="Montserrat" w:cs="Arial"/>
          <w:kern w:val="1"/>
          <w:szCs w:val="22"/>
          <w:lang w:eastAsia="hi-IN" w:bidi="hi-IN"/>
        </w:rPr>
        <w:t xml:space="preserve"> llevó a cabo las siguientes actividades:</w:t>
      </w:r>
    </w:p>
    <w:p w14:paraId="61BFA7E8"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p w14:paraId="109961ED" w14:textId="77777777" w:rsidR="00F53B0B" w:rsidRPr="00C90280" w:rsidRDefault="00F53B0B" w:rsidP="00F53B0B">
      <w:pPr>
        <w:widowControl w:val="0"/>
        <w:numPr>
          <w:ilvl w:val="0"/>
          <w:numId w:val="21"/>
        </w:numPr>
        <w:suppressAutoHyphens/>
        <w:autoSpaceDE w:val="0"/>
        <w:autoSpaceDN w:val="0"/>
        <w:adjustRightInd w:val="0"/>
        <w:ind w:left="714" w:hanging="357"/>
        <w:jc w:val="both"/>
        <w:rPr>
          <w:rFonts w:ascii="Montserrat" w:hAnsi="Montserrat" w:cs="Arial"/>
          <w:b/>
          <w:szCs w:val="22"/>
          <w:u w:val="single"/>
        </w:rPr>
      </w:pPr>
      <w:r w:rsidRPr="00C90280">
        <w:rPr>
          <w:rFonts w:ascii="Montserrat" w:hAnsi="Montserrat" w:cs="Arial"/>
          <w:b/>
          <w:szCs w:val="22"/>
          <w:u w:val="single"/>
        </w:rPr>
        <w:t>Atención a Solicitudes de Información:</w:t>
      </w:r>
    </w:p>
    <w:p w14:paraId="674E7120" w14:textId="3E731217" w:rsidR="00F53B0B" w:rsidRPr="00C90280" w:rsidRDefault="00F53B0B" w:rsidP="00F53B0B">
      <w:pPr>
        <w:widowControl w:val="0"/>
        <w:suppressAutoHyphens/>
        <w:jc w:val="both"/>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A través de la Plataforma Nacional de Transparencia, la Unidad de Transparencia de El Colegio de la Frontera Sur atendió un total de 8</w:t>
      </w:r>
      <w:r w:rsidR="004B6261" w:rsidRPr="00C90280">
        <w:rPr>
          <w:rFonts w:ascii="Montserrat" w:eastAsia="SimSun" w:hAnsi="Montserrat" w:cs="Arial"/>
          <w:kern w:val="1"/>
          <w:szCs w:val="22"/>
          <w:lang w:eastAsia="hi-IN" w:bidi="hi-IN"/>
        </w:rPr>
        <w:t>6</w:t>
      </w:r>
      <w:r w:rsidR="00D11A3F" w:rsidRPr="00C90280">
        <w:rPr>
          <w:rFonts w:ascii="Montserrat" w:eastAsia="SimSun" w:hAnsi="Montserrat" w:cs="Arial"/>
          <w:kern w:val="1"/>
          <w:szCs w:val="22"/>
          <w:lang w:eastAsia="hi-IN" w:bidi="hi-IN"/>
        </w:rPr>
        <w:t xml:space="preserve"> </w:t>
      </w:r>
      <w:r w:rsidRPr="00C90280">
        <w:rPr>
          <w:rFonts w:ascii="Montserrat" w:eastAsia="SimSun" w:hAnsi="Montserrat" w:cs="Arial"/>
          <w:kern w:val="1"/>
          <w:szCs w:val="22"/>
          <w:lang w:eastAsia="hi-IN" w:bidi="hi-IN"/>
        </w:rPr>
        <w:t>solicitudes de acceso a la información, las cuales fueron atendidas en tiempo y forma de conformidad con la Ley, como se detalla a continuación:</w:t>
      </w:r>
    </w:p>
    <w:p w14:paraId="4756C306"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p w14:paraId="66849452"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tbl>
      <w:tblPr>
        <w:tblStyle w:val="Tablaconcuadrcula"/>
        <w:tblW w:w="9640" w:type="dxa"/>
        <w:jc w:val="center"/>
        <w:tblLook w:val="04A0" w:firstRow="1" w:lastRow="0" w:firstColumn="1" w:lastColumn="0" w:noHBand="0" w:noVBand="1"/>
      </w:tblPr>
      <w:tblGrid>
        <w:gridCol w:w="1928"/>
        <w:gridCol w:w="1928"/>
        <w:gridCol w:w="1928"/>
        <w:gridCol w:w="1928"/>
        <w:gridCol w:w="1928"/>
      </w:tblGrid>
      <w:tr w:rsidR="00F53B0B" w:rsidRPr="00C90280" w14:paraId="0C27D22D" w14:textId="77777777" w:rsidTr="00C90280">
        <w:trPr>
          <w:trHeight w:val="57"/>
          <w:jc w:val="center"/>
        </w:trPr>
        <w:tc>
          <w:tcPr>
            <w:tcW w:w="1928" w:type="dxa"/>
            <w:vAlign w:val="center"/>
          </w:tcPr>
          <w:p w14:paraId="073AF126" w14:textId="77777777" w:rsidR="00F53B0B" w:rsidRPr="00C90280" w:rsidRDefault="00F53B0B" w:rsidP="00DE18F9">
            <w:pPr>
              <w:jc w:val="center"/>
              <w:rPr>
                <w:rFonts w:ascii="Montserrat" w:hAnsi="Montserrat" w:cstheme="minorHAnsi"/>
                <w:b/>
                <w:color w:val="000000" w:themeColor="text1"/>
                <w:sz w:val="22"/>
                <w:szCs w:val="22"/>
              </w:rPr>
            </w:pPr>
            <w:r w:rsidRPr="00C90280">
              <w:rPr>
                <w:rFonts w:ascii="Montserrat" w:hAnsi="Montserrat" w:cstheme="minorHAnsi"/>
                <w:b/>
                <w:color w:val="000000" w:themeColor="text1"/>
                <w:sz w:val="22"/>
                <w:szCs w:val="22"/>
              </w:rPr>
              <w:t>Sujeto Obligado</w:t>
            </w:r>
          </w:p>
        </w:tc>
        <w:tc>
          <w:tcPr>
            <w:tcW w:w="1928" w:type="dxa"/>
            <w:vAlign w:val="center"/>
            <w:hideMark/>
          </w:tcPr>
          <w:p w14:paraId="7B41ECBC" w14:textId="77777777" w:rsidR="00F53B0B" w:rsidRPr="00C90280" w:rsidRDefault="00F53B0B" w:rsidP="00DE18F9">
            <w:pPr>
              <w:jc w:val="center"/>
              <w:rPr>
                <w:rFonts w:ascii="Montserrat" w:hAnsi="Montserrat" w:cstheme="minorHAnsi"/>
                <w:b/>
                <w:color w:val="000000" w:themeColor="text1"/>
                <w:sz w:val="22"/>
                <w:szCs w:val="22"/>
              </w:rPr>
            </w:pPr>
            <w:r w:rsidRPr="00C90280">
              <w:rPr>
                <w:rFonts w:ascii="Montserrat" w:hAnsi="Montserrat" w:cstheme="minorHAnsi"/>
                <w:b/>
                <w:color w:val="000000" w:themeColor="text1"/>
                <w:sz w:val="22"/>
                <w:szCs w:val="22"/>
              </w:rPr>
              <w:t>Solicitudes de acceso a la información recibidas en el periodo</w:t>
            </w:r>
          </w:p>
        </w:tc>
        <w:tc>
          <w:tcPr>
            <w:tcW w:w="1928" w:type="dxa"/>
            <w:vAlign w:val="center"/>
            <w:hideMark/>
          </w:tcPr>
          <w:p w14:paraId="2B23CF66" w14:textId="77777777" w:rsidR="00F53B0B" w:rsidRPr="00C90280" w:rsidRDefault="00F53B0B" w:rsidP="00DE18F9">
            <w:pPr>
              <w:jc w:val="center"/>
              <w:rPr>
                <w:rFonts w:ascii="Montserrat" w:hAnsi="Montserrat" w:cstheme="minorHAnsi"/>
                <w:b/>
                <w:color w:val="000000" w:themeColor="text1"/>
                <w:sz w:val="22"/>
                <w:szCs w:val="22"/>
              </w:rPr>
            </w:pPr>
            <w:r w:rsidRPr="00C90280">
              <w:rPr>
                <w:rFonts w:ascii="Montserrat" w:hAnsi="Montserrat" w:cstheme="minorHAnsi"/>
                <w:b/>
                <w:color w:val="000000" w:themeColor="text1"/>
                <w:sz w:val="22"/>
                <w:szCs w:val="22"/>
              </w:rPr>
              <w:t>Solicitudes de acceso a la información atendidas</w:t>
            </w:r>
          </w:p>
        </w:tc>
        <w:tc>
          <w:tcPr>
            <w:tcW w:w="1928" w:type="dxa"/>
            <w:vAlign w:val="center"/>
            <w:hideMark/>
          </w:tcPr>
          <w:p w14:paraId="17D85380" w14:textId="77777777" w:rsidR="00F53B0B" w:rsidRPr="00C90280" w:rsidRDefault="00F53B0B" w:rsidP="00DE18F9">
            <w:pPr>
              <w:jc w:val="center"/>
              <w:rPr>
                <w:rFonts w:ascii="Montserrat" w:hAnsi="Montserrat" w:cstheme="minorHAnsi"/>
                <w:b/>
                <w:color w:val="000000" w:themeColor="text1"/>
                <w:sz w:val="22"/>
                <w:szCs w:val="22"/>
              </w:rPr>
            </w:pPr>
            <w:r w:rsidRPr="00C90280">
              <w:rPr>
                <w:rFonts w:ascii="Montserrat" w:hAnsi="Montserrat" w:cstheme="minorHAnsi"/>
                <w:b/>
                <w:color w:val="000000" w:themeColor="text1"/>
                <w:sz w:val="22"/>
                <w:szCs w:val="22"/>
              </w:rPr>
              <w:t>Recursos de revisión interpuestos en contra ante el INAI</w:t>
            </w:r>
          </w:p>
        </w:tc>
        <w:tc>
          <w:tcPr>
            <w:tcW w:w="1928" w:type="dxa"/>
            <w:vAlign w:val="center"/>
            <w:hideMark/>
          </w:tcPr>
          <w:p w14:paraId="61080800" w14:textId="77777777" w:rsidR="00F53B0B" w:rsidRPr="00C90280" w:rsidRDefault="00F53B0B" w:rsidP="00DE18F9">
            <w:pPr>
              <w:jc w:val="center"/>
              <w:rPr>
                <w:rFonts w:ascii="Montserrat" w:hAnsi="Montserrat" w:cstheme="minorHAnsi"/>
                <w:b/>
                <w:color w:val="000000" w:themeColor="text1"/>
                <w:sz w:val="22"/>
                <w:szCs w:val="22"/>
              </w:rPr>
            </w:pPr>
            <w:r w:rsidRPr="00C90280">
              <w:rPr>
                <w:rFonts w:ascii="Montserrat" w:hAnsi="Montserrat" w:cstheme="minorHAnsi"/>
                <w:b/>
                <w:color w:val="000000" w:themeColor="text1"/>
                <w:sz w:val="22"/>
                <w:szCs w:val="22"/>
              </w:rPr>
              <w:t>Resoluciones emitidas por el INAI</w:t>
            </w:r>
          </w:p>
        </w:tc>
      </w:tr>
      <w:tr w:rsidR="00F53B0B" w:rsidRPr="00C90280" w14:paraId="6DD09597" w14:textId="77777777" w:rsidTr="00C90280">
        <w:trPr>
          <w:trHeight w:val="1084"/>
          <w:jc w:val="center"/>
        </w:trPr>
        <w:tc>
          <w:tcPr>
            <w:tcW w:w="1928" w:type="dxa"/>
            <w:vAlign w:val="center"/>
          </w:tcPr>
          <w:p w14:paraId="6EB6CA95" w14:textId="77777777" w:rsidR="00F53B0B" w:rsidRPr="00C90280" w:rsidRDefault="00F53B0B" w:rsidP="00DE18F9">
            <w:pPr>
              <w:jc w:val="center"/>
              <w:rPr>
                <w:rFonts w:ascii="Montserrat" w:hAnsi="Montserrat" w:cstheme="minorHAnsi"/>
                <w:sz w:val="22"/>
                <w:szCs w:val="22"/>
              </w:rPr>
            </w:pPr>
            <w:r w:rsidRPr="00C90280">
              <w:rPr>
                <w:rFonts w:ascii="Montserrat" w:hAnsi="Montserrat" w:cstheme="minorHAnsi"/>
                <w:sz w:val="22"/>
                <w:szCs w:val="22"/>
              </w:rPr>
              <w:t>ECOSUR</w:t>
            </w:r>
          </w:p>
        </w:tc>
        <w:tc>
          <w:tcPr>
            <w:tcW w:w="1928" w:type="dxa"/>
            <w:vAlign w:val="center"/>
          </w:tcPr>
          <w:p w14:paraId="7586A5D8" w14:textId="33962371" w:rsidR="00F53B0B" w:rsidRPr="00C90280" w:rsidRDefault="009435A2" w:rsidP="00DE18F9">
            <w:pPr>
              <w:jc w:val="center"/>
              <w:rPr>
                <w:rFonts w:ascii="Montserrat" w:hAnsi="Montserrat" w:cstheme="minorHAnsi"/>
                <w:sz w:val="22"/>
                <w:szCs w:val="22"/>
              </w:rPr>
            </w:pPr>
            <w:r w:rsidRPr="00C90280">
              <w:rPr>
                <w:rFonts w:ascii="Montserrat" w:hAnsi="Montserrat" w:cstheme="minorHAnsi"/>
                <w:sz w:val="22"/>
                <w:szCs w:val="22"/>
              </w:rPr>
              <w:t>86</w:t>
            </w:r>
          </w:p>
        </w:tc>
        <w:tc>
          <w:tcPr>
            <w:tcW w:w="1928" w:type="dxa"/>
            <w:vAlign w:val="center"/>
          </w:tcPr>
          <w:p w14:paraId="49954914" w14:textId="22A8383C" w:rsidR="00F53B0B" w:rsidRPr="00C90280" w:rsidRDefault="009435A2" w:rsidP="00DE18F9">
            <w:pPr>
              <w:jc w:val="center"/>
              <w:rPr>
                <w:rFonts w:ascii="Montserrat" w:hAnsi="Montserrat" w:cstheme="minorHAnsi"/>
                <w:sz w:val="22"/>
                <w:szCs w:val="22"/>
              </w:rPr>
            </w:pPr>
            <w:r w:rsidRPr="00C90280">
              <w:rPr>
                <w:rFonts w:ascii="Montserrat" w:hAnsi="Montserrat" w:cstheme="minorHAnsi"/>
                <w:sz w:val="22"/>
                <w:szCs w:val="22"/>
              </w:rPr>
              <w:t>86</w:t>
            </w:r>
          </w:p>
        </w:tc>
        <w:tc>
          <w:tcPr>
            <w:tcW w:w="1928" w:type="dxa"/>
            <w:vAlign w:val="center"/>
          </w:tcPr>
          <w:p w14:paraId="7F21569C" w14:textId="134EEF1D" w:rsidR="00F53B0B" w:rsidRPr="00C90280" w:rsidRDefault="009435A2" w:rsidP="00DE18F9">
            <w:pPr>
              <w:jc w:val="center"/>
              <w:rPr>
                <w:rFonts w:ascii="Montserrat" w:hAnsi="Montserrat" w:cstheme="minorHAnsi"/>
                <w:sz w:val="22"/>
                <w:szCs w:val="22"/>
              </w:rPr>
            </w:pPr>
            <w:r w:rsidRPr="00C90280">
              <w:rPr>
                <w:rFonts w:ascii="Montserrat" w:hAnsi="Montserrat" w:cstheme="minorHAnsi"/>
                <w:sz w:val="22"/>
                <w:szCs w:val="22"/>
              </w:rPr>
              <w:t>1</w:t>
            </w:r>
          </w:p>
        </w:tc>
        <w:tc>
          <w:tcPr>
            <w:tcW w:w="1928" w:type="dxa"/>
          </w:tcPr>
          <w:p w14:paraId="73250227" w14:textId="5967C9F8" w:rsidR="00F53B0B" w:rsidRPr="00C90280" w:rsidRDefault="009435A2" w:rsidP="00DE18F9">
            <w:pPr>
              <w:jc w:val="center"/>
              <w:rPr>
                <w:rFonts w:ascii="Montserrat" w:hAnsi="Montserrat" w:cstheme="minorHAnsi"/>
                <w:sz w:val="22"/>
                <w:szCs w:val="22"/>
              </w:rPr>
            </w:pPr>
            <w:r w:rsidRPr="00C90280">
              <w:rPr>
                <w:rFonts w:ascii="Montserrat" w:hAnsi="Montserrat" w:cstheme="minorHAnsi"/>
                <w:sz w:val="22"/>
                <w:szCs w:val="22"/>
              </w:rPr>
              <w:t>1</w:t>
            </w:r>
            <w:r w:rsidR="00F53B0B" w:rsidRPr="00C90280">
              <w:rPr>
                <w:rFonts w:ascii="Montserrat" w:hAnsi="Montserrat" w:cstheme="minorHAnsi"/>
                <w:sz w:val="22"/>
                <w:szCs w:val="22"/>
              </w:rPr>
              <w:t xml:space="preserve"> Modificar la respuesta emitida por el sujeto obligado</w:t>
            </w:r>
          </w:p>
        </w:tc>
      </w:tr>
    </w:tbl>
    <w:p w14:paraId="5D16FA68" w14:textId="77777777" w:rsidR="00F53B0B" w:rsidRPr="00C90280" w:rsidRDefault="00F53B0B" w:rsidP="00F53B0B">
      <w:pPr>
        <w:rPr>
          <w:rFonts w:ascii="Montserrat" w:hAnsi="Montserrat"/>
          <w:szCs w:val="22"/>
        </w:rPr>
      </w:pPr>
    </w:p>
    <w:p w14:paraId="55915088" w14:textId="77777777" w:rsidR="00F53B0B" w:rsidRPr="00C90280" w:rsidRDefault="00F53B0B" w:rsidP="00F53B0B">
      <w:pPr>
        <w:widowControl w:val="0"/>
        <w:autoSpaceDE w:val="0"/>
        <w:autoSpaceDN w:val="0"/>
        <w:adjustRightInd w:val="0"/>
        <w:jc w:val="both"/>
        <w:rPr>
          <w:rFonts w:ascii="Montserrat" w:hAnsi="Montserrat" w:cs="Arial"/>
          <w:b/>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183"/>
      </w:tblGrid>
      <w:tr w:rsidR="009435A2" w:rsidRPr="00C90280" w14:paraId="7FB944EF" w14:textId="77777777" w:rsidTr="004317E3">
        <w:trPr>
          <w:jc w:val="center"/>
        </w:trPr>
        <w:tc>
          <w:tcPr>
            <w:tcW w:w="5244" w:type="dxa"/>
            <w:shd w:val="clear" w:color="auto" w:fill="D9D9D9" w:themeFill="background1" w:themeFillShade="D9"/>
          </w:tcPr>
          <w:p w14:paraId="42CB48B3" w14:textId="77777777" w:rsidR="009435A2" w:rsidRPr="00C90280" w:rsidRDefault="009435A2" w:rsidP="004317E3">
            <w:pPr>
              <w:widowControl w:val="0"/>
              <w:suppressAutoHyphens/>
              <w:jc w:val="center"/>
              <w:rPr>
                <w:rFonts w:ascii="Montserrat" w:eastAsia="SimSun" w:hAnsi="Montserrat" w:cs="Arial"/>
                <w:b/>
                <w:kern w:val="1"/>
                <w:szCs w:val="22"/>
                <w:lang w:eastAsia="hi-IN" w:bidi="hi-IN"/>
              </w:rPr>
            </w:pPr>
            <w:r w:rsidRPr="00C90280">
              <w:rPr>
                <w:rFonts w:ascii="Montserrat" w:hAnsi="Montserrat" w:cs="Arial"/>
                <w:b/>
                <w:szCs w:val="22"/>
              </w:rPr>
              <w:t>Modalidad de respuestas</w:t>
            </w:r>
          </w:p>
        </w:tc>
        <w:tc>
          <w:tcPr>
            <w:tcW w:w="1134" w:type="dxa"/>
            <w:shd w:val="clear" w:color="auto" w:fill="D9D9D9" w:themeFill="background1" w:themeFillShade="D9"/>
          </w:tcPr>
          <w:p w14:paraId="0BB0C5F6" w14:textId="77777777" w:rsidR="009435A2" w:rsidRPr="00C90280" w:rsidRDefault="009435A2" w:rsidP="004317E3">
            <w:pPr>
              <w:widowControl w:val="0"/>
              <w:suppressAutoHyphens/>
              <w:jc w:val="center"/>
              <w:rPr>
                <w:rFonts w:ascii="Montserrat" w:eastAsia="SimSun" w:hAnsi="Montserrat" w:cs="Arial"/>
                <w:b/>
                <w:kern w:val="1"/>
                <w:szCs w:val="22"/>
                <w:lang w:eastAsia="hi-IN" w:bidi="hi-IN"/>
              </w:rPr>
            </w:pPr>
            <w:r w:rsidRPr="00C90280">
              <w:rPr>
                <w:rFonts w:ascii="Montserrat" w:eastAsia="SimSun" w:hAnsi="Montserrat" w:cs="Arial"/>
                <w:b/>
                <w:kern w:val="1"/>
                <w:szCs w:val="22"/>
                <w:lang w:eastAsia="hi-IN" w:bidi="hi-IN"/>
              </w:rPr>
              <w:t>ECOSUR</w:t>
            </w:r>
          </w:p>
        </w:tc>
      </w:tr>
      <w:tr w:rsidR="009435A2" w:rsidRPr="00C90280" w14:paraId="3D874894" w14:textId="77777777" w:rsidTr="004317E3">
        <w:trPr>
          <w:jc w:val="center"/>
        </w:trPr>
        <w:tc>
          <w:tcPr>
            <w:tcW w:w="5244" w:type="dxa"/>
          </w:tcPr>
          <w:p w14:paraId="01967B97" w14:textId="77777777" w:rsidR="009435A2" w:rsidRPr="00C90280" w:rsidRDefault="009435A2" w:rsidP="00C90280">
            <w:pPr>
              <w:widowControl w:val="0"/>
              <w:suppressAutoHyphens/>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Entrega de información en medio electrónico</w:t>
            </w:r>
          </w:p>
        </w:tc>
        <w:tc>
          <w:tcPr>
            <w:tcW w:w="1134" w:type="dxa"/>
          </w:tcPr>
          <w:p w14:paraId="050FFF97" w14:textId="470255ED" w:rsidR="009435A2" w:rsidRPr="00C90280" w:rsidRDefault="009435A2" w:rsidP="004317E3">
            <w:pPr>
              <w:widowControl w:val="0"/>
              <w:suppressAutoHyphens/>
              <w:jc w:val="center"/>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75</w:t>
            </w:r>
          </w:p>
        </w:tc>
      </w:tr>
      <w:tr w:rsidR="009435A2" w:rsidRPr="00C90280" w14:paraId="6C42D291" w14:textId="77777777" w:rsidTr="004317E3">
        <w:trPr>
          <w:jc w:val="center"/>
        </w:trPr>
        <w:tc>
          <w:tcPr>
            <w:tcW w:w="5244" w:type="dxa"/>
          </w:tcPr>
          <w:p w14:paraId="09F8184E" w14:textId="77777777" w:rsidR="009435A2" w:rsidRPr="00C90280" w:rsidRDefault="009435A2" w:rsidP="00C90280">
            <w:pPr>
              <w:widowControl w:val="0"/>
              <w:suppressAutoHyphens/>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La información está disponible públicamente</w:t>
            </w:r>
          </w:p>
        </w:tc>
        <w:tc>
          <w:tcPr>
            <w:tcW w:w="1134" w:type="dxa"/>
          </w:tcPr>
          <w:p w14:paraId="0DC92734" w14:textId="18A194A3" w:rsidR="009435A2" w:rsidRPr="00C90280" w:rsidRDefault="009435A2" w:rsidP="004317E3">
            <w:pPr>
              <w:widowControl w:val="0"/>
              <w:suppressAutoHyphens/>
              <w:jc w:val="center"/>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2</w:t>
            </w:r>
          </w:p>
        </w:tc>
      </w:tr>
      <w:tr w:rsidR="009435A2" w:rsidRPr="00C90280" w14:paraId="3100EA2F" w14:textId="77777777" w:rsidTr="004317E3">
        <w:trPr>
          <w:jc w:val="center"/>
        </w:trPr>
        <w:tc>
          <w:tcPr>
            <w:tcW w:w="5244" w:type="dxa"/>
          </w:tcPr>
          <w:p w14:paraId="1D1AFABB" w14:textId="77777777" w:rsidR="009435A2" w:rsidRPr="00C90280" w:rsidRDefault="009435A2" w:rsidP="00C90280">
            <w:pPr>
              <w:widowControl w:val="0"/>
              <w:suppressAutoHyphens/>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Información parcialmente confidencial</w:t>
            </w:r>
          </w:p>
        </w:tc>
        <w:tc>
          <w:tcPr>
            <w:tcW w:w="1134" w:type="dxa"/>
          </w:tcPr>
          <w:p w14:paraId="2F119886" w14:textId="4F08A86C" w:rsidR="009435A2" w:rsidRPr="00C90280" w:rsidRDefault="009435A2" w:rsidP="004317E3">
            <w:pPr>
              <w:widowControl w:val="0"/>
              <w:suppressAutoHyphens/>
              <w:jc w:val="center"/>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4</w:t>
            </w:r>
          </w:p>
        </w:tc>
      </w:tr>
      <w:tr w:rsidR="009435A2" w:rsidRPr="00C90280" w14:paraId="3EEE1782" w14:textId="77777777" w:rsidTr="004E1613">
        <w:trPr>
          <w:jc w:val="center"/>
        </w:trPr>
        <w:tc>
          <w:tcPr>
            <w:tcW w:w="5244" w:type="dxa"/>
          </w:tcPr>
          <w:p w14:paraId="47F0280C" w14:textId="4FECF700" w:rsidR="009435A2" w:rsidRPr="00C90280" w:rsidRDefault="009435A2" w:rsidP="00C90280">
            <w:pPr>
              <w:widowControl w:val="0"/>
              <w:suppressAutoHyphens/>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Disposición de la información en consulta directa</w:t>
            </w:r>
          </w:p>
        </w:tc>
        <w:tc>
          <w:tcPr>
            <w:tcW w:w="1134" w:type="dxa"/>
          </w:tcPr>
          <w:p w14:paraId="633D3A2F" w14:textId="50CC954A" w:rsidR="009435A2" w:rsidRPr="00C90280" w:rsidRDefault="009435A2" w:rsidP="004E1613">
            <w:pPr>
              <w:widowControl w:val="0"/>
              <w:suppressAutoHyphens/>
              <w:jc w:val="center"/>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1</w:t>
            </w:r>
          </w:p>
        </w:tc>
      </w:tr>
      <w:tr w:rsidR="009435A2" w:rsidRPr="00C90280" w14:paraId="428B5088" w14:textId="77777777" w:rsidTr="004317E3">
        <w:trPr>
          <w:jc w:val="center"/>
        </w:trPr>
        <w:tc>
          <w:tcPr>
            <w:tcW w:w="5244" w:type="dxa"/>
          </w:tcPr>
          <w:p w14:paraId="0B24D023" w14:textId="77777777" w:rsidR="009435A2" w:rsidRPr="00C90280" w:rsidRDefault="009435A2" w:rsidP="00C90280">
            <w:pPr>
              <w:widowControl w:val="0"/>
              <w:suppressAutoHyphens/>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No es competencia de la Unidad de Transparencia</w:t>
            </w:r>
          </w:p>
        </w:tc>
        <w:tc>
          <w:tcPr>
            <w:tcW w:w="1134" w:type="dxa"/>
          </w:tcPr>
          <w:p w14:paraId="1E5197FF" w14:textId="1A321B0B" w:rsidR="009435A2" w:rsidRPr="00C90280" w:rsidRDefault="009435A2" w:rsidP="004317E3">
            <w:pPr>
              <w:widowControl w:val="0"/>
              <w:suppressAutoHyphens/>
              <w:jc w:val="center"/>
              <w:rPr>
                <w:rFonts w:ascii="Montserrat" w:eastAsia="SimSun" w:hAnsi="Montserrat" w:cs="Arial"/>
                <w:kern w:val="1"/>
                <w:szCs w:val="22"/>
                <w:lang w:eastAsia="hi-IN" w:bidi="hi-IN"/>
              </w:rPr>
            </w:pPr>
            <w:r w:rsidRPr="00C90280">
              <w:rPr>
                <w:rFonts w:ascii="Montserrat" w:eastAsia="SimSun" w:hAnsi="Montserrat" w:cs="Arial"/>
                <w:kern w:val="1"/>
                <w:szCs w:val="22"/>
                <w:lang w:eastAsia="hi-IN" w:bidi="hi-IN"/>
              </w:rPr>
              <w:t>4</w:t>
            </w:r>
          </w:p>
        </w:tc>
      </w:tr>
      <w:tr w:rsidR="009435A2" w:rsidRPr="00C90280" w14:paraId="73A1BBB7" w14:textId="77777777" w:rsidTr="004317E3">
        <w:trPr>
          <w:jc w:val="center"/>
        </w:trPr>
        <w:tc>
          <w:tcPr>
            <w:tcW w:w="5244" w:type="dxa"/>
          </w:tcPr>
          <w:p w14:paraId="759D398F" w14:textId="77777777" w:rsidR="009435A2" w:rsidRPr="00C90280" w:rsidRDefault="009435A2" w:rsidP="004317E3">
            <w:pPr>
              <w:widowControl w:val="0"/>
              <w:suppressAutoHyphens/>
              <w:jc w:val="right"/>
              <w:rPr>
                <w:rFonts w:ascii="Montserrat" w:eastAsia="SimSun" w:hAnsi="Montserrat" w:cs="Arial"/>
                <w:b/>
                <w:kern w:val="1"/>
                <w:szCs w:val="22"/>
                <w:lang w:eastAsia="hi-IN" w:bidi="hi-IN"/>
              </w:rPr>
            </w:pPr>
            <w:r w:rsidRPr="00C90280">
              <w:rPr>
                <w:rFonts w:ascii="Montserrat" w:eastAsia="SimSun" w:hAnsi="Montserrat" w:cs="Arial"/>
                <w:b/>
                <w:kern w:val="1"/>
                <w:szCs w:val="22"/>
                <w:lang w:eastAsia="hi-IN" w:bidi="hi-IN"/>
              </w:rPr>
              <w:t>Totales:</w:t>
            </w:r>
          </w:p>
        </w:tc>
        <w:tc>
          <w:tcPr>
            <w:tcW w:w="1134" w:type="dxa"/>
          </w:tcPr>
          <w:p w14:paraId="2BB62015" w14:textId="2567A007" w:rsidR="009435A2" w:rsidRPr="00C90280" w:rsidRDefault="009435A2" w:rsidP="004317E3">
            <w:pPr>
              <w:widowControl w:val="0"/>
              <w:suppressAutoHyphens/>
              <w:jc w:val="center"/>
              <w:rPr>
                <w:rFonts w:ascii="Montserrat" w:eastAsia="SimSun" w:hAnsi="Montserrat" w:cs="Arial"/>
                <w:b/>
                <w:kern w:val="1"/>
                <w:szCs w:val="22"/>
                <w:lang w:eastAsia="hi-IN" w:bidi="hi-IN"/>
              </w:rPr>
            </w:pPr>
            <w:r w:rsidRPr="00C90280">
              <w:rPr>
                <w:rFonts w:ascii="Montserrat" w:eastAsia="SimSun" w:hAnsi="Montserrat" w:cs="Arial"/>
                <w:b/>
                <w:kern w:val="1"/>
                <w:szCs w:val="22"/>
                <w:lang w:eastAsia="hi-IN" w:bidi="hi-IN"/>
              </w:rPr>
              <w:t>86</w:t>
            </w:r>
          </w:p>
        </w:tc>
      </w:tr>
    </w:tbl>
    <w:p w14:paraId="1EAB5ED5"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p w14:paraId="5730FB8E"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p w14:paraId="0D2F506E" w14:textId="77777777" w:rsidR="00F53B0B" w:rsidRPr="00C90280" w:rsidRDefault="00F53B0B" w:rsidP="00F53B0B">
      <w:pPr>
        <w:widowControl w:val="0"/>
        <w:numPr>
          <w:ilvl w:val="0"/>
          <w:numId w:val="21"/>
        </w:numPr>
        <w:suppressAutoHyphens/>
        <w:autoSpaceDE w:val="0"/>
        <w:autoSpaceDN w:val="0"/>
        <w:adjustRightInd w:val="0"/>
        <w:jc w:val="both"/>
        <w:rPr>
          <w:rFonts w:ascii="Montserrat" w:hAnsi="Montserrat" w:cs="Arial"/>
          <w:b/>
          <w:szCs w:val="22"/>
          <w:u w:val="single"/>
        </w:rPr>
      </w:pPr>
      <w:r w:rsidRPr="00C90280">
        <w:rPr>
          <w:rFonts w:ascii="Montserrat" w:hAnsi="Montserrat" w:cs="Arial"/>
          <w:b/>
          <w:szCs w:val="22"/>
          <w:u w:val="single"/>
        </w:rPr>
        <w:t>Calificaciones del INAI al cierre del periodo, comparadas con las del año anterior.</w:t>
      </w:r>
    </w:p>
    <w:p w14:paraId="0ECBCE38" w14:textId="77777777" w:rsidR="008F5A46" w:rsidRPr="00C90280" w:rsidRDefault="008F5A46" w:rsidP="008F5A46">
      <w:pPr>
        <w:widowControl w:val="0"/>
        <w:suppressAutoHyphens/>
        <w:autoSpaceDE w:val="0"/>
        <w:autoSpaceDN w:val="0"/>
        <w:adjustRightInd w:val="0"/>
        <w:jc w:val="both"/>
        <w:rPr>
          <w:rFonts w:ascii="Montserrat" w:hAnsi="Montserrat" w:cstheme="minorHAnsi"/>
          <w:szCs w:val="22"/>
        </w:rPr>
      </w:pPr>
      <w:r w:rsidRPr="00C90280">
        <w:rPr>
          <w:rFonts w:ascii="Montserrat" w:hAnsi="Montserrat" w:cstheme="minorHAnsi"/>
          <w:szCs w:val="22"/>
        </w:rPr>
        <w:t xml:space="preserve">Se hace del conocimiento que el INAI lleva a cabo la verificación al Sistema de Portales de Obligaciones de Transparencia (SIPOT) de forma muestral, es decir, no todos los sujetos son elegidos para ser verificados. Derivado de lo anterior, ECOSUR no fue </w:t>
      </w:r>
      <w:r w:rsidRPr="00C90280">
        <w:rPr>
          <w:rFonts w:ascii="Montserrat" w:hAnsi="Montserrat" w:cstheme="minorHAnsi"/>
          <w:szCs w:val="22"/>
        </w:rPr>
        <w:lastRenderedPageBreak/>
        <w:t>considerado para entrar en la muestra de verificación durante los ejercicios 2021 y 2022.</w:t>
      </w:r>
    </w:p>
    <w:p w14:paraId="3BB2E102" w14:textId="77777777" w:rsidR="008F5A46" w:rsidRPr="00C90280" w:rsidRDefault="008F5A46" w:rsidP="008F5A46">
      <w:pPr>
        <w:widowControl w:val="0"/>
        <w:suppressAutoHyphens/>
        <w:autoSpaceDE w:val="0"/>
        <w:autoSpaceDN w:val="0"/>
        <w:adjustRightInd w:val="0"/>
        <w:jc w:val="both"/>
        <w:rPr>
          <w:rFonts w:ascii="Montserrat" w:hAnsi="Montserrat" w:cstheme="minorHAnsi"/>
          <w:szCs w:val="22"/>
        </w:rPr>
      </w:pPr>
    </w:p>
    <w:tbl>
      <w:tblPr>
        <w:tblStyle w:val="Tablaconcuadrcula"/>
        <w:tblW w:w="8958" w:type="dxa"/>
        <w:jc w:val="center"/>
        <w:tblLook w:val="04A0" w:firstRow="1" w:lastRow="0" w:firstColumn="1" w:lastColumn="0" w:noHBand="0" w:noVBand="1"/>
      </w:tblPr>
      <w:tblGrid>
        <w:gridCol w:w="5102"/>
        <w:gridCol w:w="1928"/>
        <w:gridCol w:w="1928"/>
      </w:tblGrid>
      <w:tr w:rsidR="008F5A46" w:rsidRPr="00C90280" w14:paraId="356C474C" w14:textId="77777777" w:rsidTr="004317E3">
        <w:trPr>
          <w:jc w:val="center"/>
        </w:trPr>
        <w:tc>
          <w:tcPr>
            <w:tcW w:w="5102" w:type="dxa"/>
            <w:shd w:val="clear" w:color="auto" w:fill="BFBFBF" w:themeFill="background1" w:themeFillShade="BF"/>
          </w:tcPr>
          <w:p w14:paraId="586EF014" w14:textId="77777777" w:rsidR="008F5A46" w:rsidRPr="00C90280" w:rsidRDefault="008F5A46" w:rsidP="004317E3">
            <w:pPr>
              <w:widowControl w:val="0"/>
              <w:suppressAutoHyphens/>
              <w:autoSpaceDE w:val="0"/>
              <w:autoSpaceDN w:val="0"/>
              <w:adjustRightInd w:val="0"/>
              <w:jc w:val="center"/>
              <w:rPr>
                <w:rFonts w:ascii="Montserrat" w:hAnsi="Montserrat" w:cstheme="minorHAnsi"/>
                <w:b/>
                <w:bCs/>
                <w:sz w:val="22"/>
                <w:szCs w:val="22"/>
              </w:rPr>
            </w:pPr>
            <w:r w:rsidRPr="00C90280">
              <w:rPr>
                <w:rFonts w:ascii="Montserrat" w:hAnsi="Montserrat" w:cstheme="minorHAnsi"/>
                <w:b/>
                <w:bCs/>
                <w:sz w:val="22"/>
                <w:szCs w:val="22"/>
              </w:rPr>
              <w:t>Dimensión evaluada</w:t>
            </w:r>
          </w:p>
        </w:tc>
        <w:tc>
          <w:tcPr>
            <w:tcW w:w="1928" w:type="dxa"/>
            <w:shd w:val="clear" w:color="auto" w:fill="BFBFBF" w:themeFill="background1" w:themeFillShade="BF"/>
          </w:tcPr>
          <w:p w14:paraId="32FD0DC0" w14:textId="6ED33762" w:rsidR="008F5A46" w:rsidRPr="00C90280" w:rsidRDefault="008F5A46" w:rsidP="004317E3">
            <w:pPr>
              <w:widowControl w:val="0"/>
              <w:suppressAutoHyphens/>
              <w:autoSpaceDE w:val="0"/>
              <w:autoSpaceDN w:val="0"/>
              <w:adjustRightInd w:val="0"/>
              <w:jc w:val="center"/>
              <w:rPr>
                <w:rFonts w:ascii="Montserrat" w:hAnsi="Montserrat" w:cstheme="minorHAnsi"/>
                <w:b/>
                <w:bCs/>
                <w:sz w:val="22"/>
                <w:szCs w:val="22"/>
              </w:rPr>
            </w:pPr>
            <w:r w:rsidRPr="00C90280">
              <w:rPr>
                <w:rFonts w:ascii="Montserrat" w:hAnsi="Montserrat" w:cstheme="minorHAnsi"/>
                <w:b/>
                <w:bCs/>
                <w:sz w:val="22"/>
                <w:szCs w:val="22"/>
              </w:rPr>
              <w:t>202</w:t>
            </w:r>
            <w:r w:rsidRPr="00C90280">
              <w:rPr>
                <w:rFonts w:ascii="Montserrat" w:hAnsi="Montserrat" w:cstheme="minorHAnsi"/>
                <w:b/>
                <w:bCs/>
                <w:sz w:val="22"/>
                <w:szCs w:val="22"/>
              </w:rPr>
              <w:t>1</w:t>
            </w:r>
          </w:p>
        </w:tc>
        <w:tc>
          <w:tcPr>
            <w:tcW w:w="1928" w:type="dxa"/>
            <w:shd w:val="clear" w:color="auto" w:fill="BFBFBF" w:themeFill="background1" w:themeFillShade="BF"/>
          </w:tcPr>
          <w:p w14:paraId="31055A77" w14:textId="1F794F89" w:rsidR="008F5A46" w:rsidRPr="00C90280" w:rsidRDefault="008F5A46" w:rsidP="004317E3">
            <w:pPr>
              <w:widowControl w:val="0"/>
              <w:suppressAutoHyphens/>
              <w:autoSpaceDE w:val="0"/>
              <w:autoSpaceDN w:val="0"/>
              <w:adjustRightInd w:val="0"/>
              <w:jc w:val="center"/>
              <w:rPr>
                <w:rFonts w:ascii="Montserrat" w:hAnsi="Montserrat" w:cstheme="minorHAnsi"/>
                <w:b/>
                <w:bCs/>
                <w:sz w:val="22"/>
                <w:szCs w:val="22"/>
              </w:rPr>
            </w:pPr>
            <w:r w:rsidRPr="00C90280">
              <w:rPr>
                <w:rFonts w:ascii="Montserrat" w:hAnsi="Montserrat" w:cstheme="minorHAnsi"/>
                <w:b/>
                <w:bCs/>
                <w:sz w:val="22"/>
                <w:szCs w:val="22"/>
              </w:rPr>
              <w:t>202</w:t>
            </w:r>
            <w:r w:rsidRPr="00C90280">
              <w:rPr>
                <w:rFonts w:ascii="Montserrat" w:hAnsi="Montserrat" w:cstheme="minorHAnsi"/>
                <w:b/>
                <w:bCs/>
                <w:sz w:val="22"/>
                <w:szCs w:val="22"/>
              </w:rPr>
              <w:t>2</w:t>
            </w:r>
          </w:p>
        </w:tc>
      </w:tr>
      <w:tr w:rsidR="005C673D" w:rsidRPr="00C90280" w14:paraId="05FD606B" w14:textId="77777777" w:rsidTr="004317E3">
        <w:trPr>
          <w:jc w:val="center"/>
        </w:trPr>
        <w:tc>
          <w:tcPr>
            <w:tcW w:w="5102" w:type="dxa"/>
          </w:tcPr>
          <w:p w14:paraId="0AEDF0AD" w14:textId="4650C3FD" w:rsidR="005C673D" w:rsidRPr="00C90280" w:rsidRDefault="005C673D" w:rsidP="004317E3">
            <w:pPr>
              <w:widowControl w:val="0"/>
              <w:suppressAutoHyphens/>
              <w:autoSpaceDE w:val="0"/>
              <w:autoSpaceDN w:val="0"/>
              <w:adjustRightInd w:val="0"/>
              <w:rPr>
                <w:rFonts w:ascii="Montserrat" w:hAnsi="Montserrat" w:cstheme="minorHAnsi"/>
                <w:sz w:val="22"/>
                <w:szCs w:val="22"/>
              </w:rPr>
            </w:pPr>
            <w:r w:rsidRPr="00C90280">
              <w:rPr>
                <w:rFonts w:ascii="Montserrat" w:hAnsi="Montserrat" w:cstheme="minorHAnsi"/>
                <w:sz w:val="22"/>
                <w:szCs w:val="22"/>
              </w:rPr>
              <w:t>Resultado de la verificación a la Dimensión Portales de Transparencia</w:t>
            </w:r>
          </w:p>
        </w:tc>
        <w:tc>
          <w:tcPr>
            <w:tcW w:w="1928" w:type="dxa"/>
            <w:vAlign w:val="center"/>
          </w:tcPr>
          <w:p w14:paraId="6536C887" w14:textId="03EBB464" w:rsidR="005C673D" w:rsidRPr="00C90280" w:rsidRDefault="005C673D" w:rsidP="004317E3">
            <w:pPr>
              <w:widowControl w:val="0"/>
              <w:suppressAutoHyphens/>
              <w:autoSpaceDE w:val="0"/>
              <w:autoSpaceDN w:val="0"/>
              <w:adjustRightInd w:val="0"/>
              <w:jc w:val="center"/>
              <w:rPr>
                <w:rFonts w:ascii="Montserrat" w:hAnsi="Montserrat" w:cstheme="minorHAnsi"/>
                <w:sz w:val="22"/>
                <w:szCs w:val="22"/>
                <w:highlight w:val="yellow"/>
              </w:rPr>
            </w:pPr>
            <w:r w:rsidRPr="00C90280">
              <w:rPr>
                <w:rFonts w:ascii="Montserrat" w:eastAsia="Times New Roman" w:hAnsi="Montserrat"/>
                <w:sz w:val="22"/>
                <w:szCs w:val="22"/>
              </w:rPr>
              <w:t>No fue evaluado</w:t>
            </w:r>
          </w:p>
        </w:tc>
        <w:tc>
          <w:tcPr>
            <w:tcW w:w="1928" w:type="dxa"/>
            <w:vAlign w:val="center"/>
          </w:tcPr>
          <w:p w14:paraId="01B7DF47" w14:textId="04741994" w:rsidR="005C673D" w:rsidRPr="00C90280" w:rsidRDefault="005C673D"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eastAsia="Times New Roman" w:hAnsi="Montserrat"/>
                <w:sz w:val="22"/>
                <w:szCs w:val="22"/>
              </w:rPr>
              <w:t>No fue evaluado</w:t>
            </w:r>
          </w:p>
        </w:tc>
      </w:tr>
      <w:tr w:rsidR="008F5A46" w:rsidRPr="00C90280" w14:paraId="4BFC6575" w14:textId="77777777" w:rsidTr="004317E3">
        <w:trPr>
          <w:jc w:val="center"/>
        </w:trPr>
        <w:tc>
          <w:tcPr>
            <w:tcW w:w="5102" w:type="dxa"/>
          </w:tcPr>
          <w:p w14:paraId="15F7EDB4" w14:textId="77777777" w:rsidR="008F5A46" w:rsidRPr="00C90280" w:rsidRDefault="008F5A46" w:rsidP="004317E3">
            <w:pPr>
              <w:widowControl w:val="0"/>
              <w:suppressAutoHyphens/>
              <w:autoSpaceDE w:val="0"/>
              <w:autoSpaceDN w:val="0"/>
              <w:adjustRightInd w:val="0"/>
              <w:rPr>
                <w:rFonts w:ascii="Montserrat" w:hAnsi="Montserrat" w:cstheme="minorHAnsi"/>
                <w:sz w:val="22"/>
                <w:szCs w:val="22"/>
              </w:rPr>
            </w:pPr>
            <w:r w:rsidRPr="00C90280">
              <w:rPr>
                <w:rFonts w:ascii="Montserrat" w:hAnsi="Montserrat" w:cstheme="minorHAnsi"/>
                <w:sz w:val="22"/>
                <w:szCs w:val="22"/>
              </w:rPr>
              <w:t>Resultado de la verificación a la Dimensión Atención a Solicitudes de Información</w:t>
            </w:r>
          </w:p>
        </w:tc>
        <w:tc>
          <w:tcPr>
            <w:tcW w:w="1928" w:type="dxa"/>
            <w:vAlign w:val="center"/>
          </w:tcPr>
          <w:p w14:paraId="6366C39E" w14:textId="0BFE7D08" w:rsidR="008F5A46" w:rsidRPr="00C90280" w:rsidRDefault="001D111D"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91.05%</w:t>
            </w:r>
          </w:p>
        </w:tc>
        <w:tc>
          <w:tcPr>
            <w:tcW w:w="1928" w:type="dxa"/>
            <w:vAlign w:val="center"/>
          </w:tcPr>
          <w:p w14:paraId="786B6B32" w14:textId="7F134F15" w:rsidR="008F5A46" w:rsidRPr="00C90280" w:rsidRDefault="008F5A46"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93.83%</w:t>
            </w:r>
          </w:p>
        </w:tc>
      </w:tr>
      <w:tr w:rsidR="008F5A46" w:rsidRPr="00C90280" w14:paraId="72C60021" w14:textId="77777777" w:rsidTr="004317E3">
        <w:trPr>
          <w:jc w:val="center"/>
        </w:trPr>
        <w:tc>
          <w:tcPr>
            <w:tcW w:w="5102" w:type="dxa"/>
          </w:tcPr>
          <w:p w14:paraId="5CA1D5CE" w14:textId="5853D14F" w:rsidR="008F5A46" w:rsidRPr="00C90280" w:rsidRDefault="008F5A46" w:rsidP="004317E3">
            <w:pPr>
              <w:widowControl w:val="0"/>
              <w:suppressAutoHyphens/>
              <w:autoSpaceDE w:val="0"/>
              <w:autoSpaceDN w:val="0"/>
              <w:adjustRightInd w:val="0"/>
              <w:rPr>
                <w:rFonts w:ascii="Montserrat" w:hAnsi="Montserrat" w:cstheme="minorHAnsi"/>
                <w:sz w:val="22"/>
                <w:szCs w:val="22"/>
              </w:rPr>
            </w:pPr>
            <w:r w:rsidRPr="00C90280">
              <w:rPr>
                <w:rFonts w:ascii="Montserrat" w:hAnsi="Montserrat" w:cstheme="minorHAnsi"/>
                <w:sz w:val="22"/>
                <w:szCs w:val="22"/>
              </w:rPr>
              <w:t>Resultado de la verificación a la Dimensión Capacidades Institucionales de Unidades de Transparencia</w:t>
            </w:r>
          </w:p>
        </w:tc>
        <w:tc>
          <w:tcPr>
            <w:tcW w:w="1928" w:type="dxa"/>
            <w:vAlign w:val="center"/>
          </w:tcPr>
          <w:p w14:paraId="4794224B" w14:textId="4F780373" w:rsidR="008F5A46" w:rsidRPr="00C90280" w:rsidRDefault="001D111D"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90.00%</w:t>
            </w:r>
          </w:p>
        </w:tc>
        <w:tc>
          <w:tcPr>
            <w:tcW w:w="1928" w:type="dxa"/>
            <w:vAlign w:val="center"/>
          </w:tcPr>
          <w:p w14:paraId="18F464A6" w14:textId="329FAF39" w:rsidR="008F5A46" w:rsidRPr="00C90280" w:rsidRDefault="008F5A46"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83.33%</w:t>
            </w:r>
          </w:p>
        </w:tc>
      </w:tr>
      <w:tr w:rsidR="005C673D" w:rsidRPr="00C90280" w14:paraId="248237A5" w14:textId="77777777" w:rsidTr="004317E3">
        <w:trPr>
          <w:jc w:val="center"/>
        </w:trPr>
        <w:tc>
          <w:tcPr>
            <w:tcW w:w="5102" w:type="dxa"/>
          </w:tcPr>
          <w:p w14:paraId="26B8A15E" w14:textId="088F1475" w:rsidR="005C673D" w:rsidRPr="00C90280" w:rsidRDefault="005C673D" w:rsidP="004317E3">
            <w:pPr>
              <w:widowControl w:val="0"/>
              <w:suppressAutoHyphens/>
              <w:autoSpaceDE w:val="0"/>
              <w:autoSpaceDN w:val="0"/>
              <w:adjustRightInd w:val="0"/>
              <w:rPr>
                <w:rFonts w:ascii="Montserrat" w:hAnsi="Montserrat" w:cstheme="minorHAnsi"/>
                <w:sz w:val="22"/>
                <w:szCs w:val="22"/>
              </w:rPr>
            </w:pPr>
            <w:r w:rsidRPr="00C90280">
              <w:rPr>
                <w:rFonts w:ascii="Montserrat" w:hAnsi="Montserrat" w:cstheme="minorHAnsi"/>
                <w:sz w:val="22"/>
                <w:szCs w:val="22"/>
              </w:rPr>
              <w:t>Resultado de la verificación a la Dimensión Acciones de Capacitación</w:t>
            </w:r>
          </w:p>
        </w:tc>
        <w:tc>
          <w:tcPr>
            <w:tcW w:w="1928" w:type="dxa"/>
            <w:vAlign w:val="center"/>
          </w:tcPr>
          <w:p w14:paraId="14136D97" w14:textId="13322711" w:rsidR="005C673D" w:rsidRPr="00C90280" w:rsidRDefault="00DE18F9"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No se realizó evaluación</w:t>
            </w:r>
          </w:p>
        </w:tc>
        <w:tc>
          <w:tcPr>
            <w:tcW w:w="1928" w:type="dxa"/>
            <w:vAlign w:val="center"/>
          </w:tcPr>
          <w:p w14:paraId="485FF68C" w14:textId="60FA2989" w:rsidR="005C673D" w:rsidRPr="00C90280" w:rsidRDefault="005C673D" w:rsidP="004317E3">
            <w:pPr>
              <w:widowControl w:val="0"/>
              <w:suppressAutoHyphens/>
              <w:autoSpaceDE w:val="0"/>
              <w:autoSpaceDN w:val="0"/>
              <w:adjustRightInd w:val="0"/>
              <w:jc w:val="center"/>
              <w:rPr>
                <w:rFonts w:ascii="Montserrat" w:hAnsi="Montserrat" w:cstheme="minorHAnsi"/>
                <w:sz w:val="22"/>
                <w:szCs w:val="22"/>
              </w:rPr>
            </w:pPr>
            <w:r w:rsidRPr="00C90280">
              <w:rPr>
                <w:rFonts w:ascii="Montserrat" w:hAnsi="Montserrat" w:cstheme="minorHAnsi"/>
                <w:sz w:val="22"/>
                <w:szCs w:val="22"/>
              </w:rPr>
              <w:t>97.06%</w:t>
            </w:r>
          </w:p>
        </w:tc>
      </w:tr>
    </w:tbl>
    <w:p w14:paraId="02EE6600" w14:textId="77777777" w:rsidR="008F5A46" w:rsidRPr="00C90280" w:rsidRDefault="008F5A46" w:rsidP="00F53B0B">
      <w:pPr>
        <w:widowControl w:val="0"/>
        <w:suppressAutoHyphens/>
        <w:autoSpaceDE w:val="0"/>
        <w:autoSpaceDN w:val="0"/>
        <w:adjustRightInd w:val="0"/>
        <w:jc w:val="both"/>
        <w:rPr>
          <w:rFonts w:ascii="Montserrat" w:hAnsi="Montserrat" w:cs="Arial"/>
          <w:szCs w:val="22"/>
          <w:u w:val="single"/>
        </w:rPr>
      </w:pPr>
    </w:p>
    <w:p w14:paraId="59A17C9C" w14:textId="77777777" w:rsidR="00F53B0B" w:rsidRPr="00C90280" w:rsidRDefault="00F53B0B" w:rsidP="00F53B0B">
      <w:pPr>
        <w:widowControl w:val="0"/>
        <w:suppressAutoHyphens/>
        <w:jc w:val="both"/>
        <w:rPr>
          <w:rFonts w:ascii="Montserrat" w:eastAsia="SimSun" w:hAnsi="Montserrat" w:cs="Arial"/>
          <w:kern w:val="1"/>
          <w:szCs w:val="22"/>
          <w:lang w:eastAsia="hi-IN" w:bidi="hi-IN"/>
        </w:rPr>
      </w:pPr>
    </w:p>
    <w:p w14:paraId="233665AF" w14:textId="77777777" w:rsidR="00F53B0B" w:rsidRPr="00C90280" w:rsidRDefault="00F53B0B" w:rsidP="00F53B0B">
      <w:pPr>
        <w:widowControl w:val="0"/>
        <w:numPr>
          <w:ilvl w:val="0"/>
          <w:numId w:val="21"/>
        </w:numPr>
        <w:suppressAutoHyphens/>
        <w:autoSpaceDE w:val="0"/>
        <w:autoSpaceDN w:val="0"/>
        <w:adjustRightInd w:val="0"/>
        <w:jc w:val="both"/>
        <w:rPr>
          <w:rFonts w:ascii="Montserrat" w:hAnsi="Montserrat" w:cs="Arial"/>
          <w:b/>
          <w:szCs w:val="22"/>
        </w:rPr>
      </w:pPr>
      <w:r w:rsidRPr="00C90280">
        <w:rPr>
          <w:rFonts w:ascii="Montserrat" w:hAnsi="Montserrat" w:cs="Arial"/>
          <w:b/>
          <w:szCs w:val="22"/>
        </w:rPr>
        <w:t>Cumplimiento a la actualización de Índices de Expedientes Reservados y Sistema de Datos Personales</w:t>
      </w:r>
    </w:p>
    <w:p w14:paraId="78E7AB75" w14:textId="77777777" w:rsidR="00F53B0B" w:rsidRPr="00C90280" w:rsidRDefault="00F53B0B" w:rsidP="00F53B0B">
      <w:pPr>
        <w:widowControl w:val="0"/>
        <w:suppressAutoHyphens/>
        <w:autoSpaceDE w:val="0"/>
        <w:autoSpaceDN w:val="0"/>
        <w:adjustRightInd w:val="0"/>
        <w:jc w:val="both"/>
        <w:rPr>
          <w:rFonts w:ascii="Montserrat" w:eastAsia="SimSun" w:hAnsi="Montserrat" w:cs="Arial"/>
          <w:kern w:val="1"/>
          <w:szCs w:val="22"/>
          <w:lang w:eastAsia="hi-IN" w:bidi="hi-IN"/>
        </w:rPr>
      </w:pPr>
    </w:p>
    <w:p w14:paraId="6AA9B33E" w14:textId="049AE8D1" w:rsidR="00F53B0B" w:rsidRPr="00C90280" w:rsidRDefault="00F53B0B" w:rsidP="00F53B0B">
      <w:pPr>
        <w:tabs>
          <w:tab w:val="left" w:pos="927"/>
        </w:tabs>
        <w:autoSpaceDE w:val="0"/>
        <w:autoSpaceDN w:val="0"/>
        <w:adjustRightInd w:val="0"/>
        <w:jc w:val="both"/>
        <w:rPr>
          <w:rFonts w:ascii="Montserrat" w:hAnsi="Montserrat" w:cs="Arial"/>
          <w:szCs w:val="22"/>
          <w:lang w:eastAsia="es-MX"/>
        </w:rPr>
      </w:pPr>
      <w:r w:rsidRPr="00C90280">
        <w:rPr>
          <w:rFonts w:ascii="Montserrat" w:hAnsi="Montserrat" w:cs="Arial"/>
          <w:szCs w:val="22"/>
          <w:lang w:eastAsia="es-MX"/>
        </w:rPr>
        <w:t>El Colegio de la Frontera Sur (ECOSUR),</w:t>
      </w:r>
      <w:r w:rsidRPr="00C90280">
        <w:rPr>
          <w:rFonts w:ascii="Montserrat" w:hAnsi="Montserrat"/>
          <w:szCs w:val="22"/>
        </w:rPr>
        <w:t xml:space="preserve"> no tienen expedientes clasificados como reservados </w:t>
      </w:r>
      <w:r w:rsidRPr="00C90280">
        <w:rPr>
          <w:rFonts w:ascii="Montserrat" w:eastAsia="SimSun" w:hAnsi="Montserrat" w:cs="Arial"/>
          <w:kern w:val="1"/>
          <w:szCs w:val="22"/>
          <w:lang w:eastAsia="hi-IN" w:bidi="hi-IN"/>
        </w:rPr>
        <w:t xml:space="preserve">de conformidad con los </w:t>
      </w:r>
      <w:r w:rsidRPr="00C90280">
        <w:rPr>
          <w:rFonts w:ascii="Montserrat" w:hAnsi="Montserrat" w:cs="Arial"/>
          <w:szCs w:val="22"/>
          <w:lang w:eastAsia="es-MX"/>
        </w:rPr>
        <w:t>“</w:t>
      </w:r>
      <w:r w:rsidRPr="00C90280">
        <w:rPr>
          <w:rFonts w:ascii="Montserrat" w:hAnsi="Montserrat" w:cs="Arial"/>
          <w:i/>
          <w:szCs w:val="22"/>
          <w:lang w:eastAsia="es-MX"/>
        </w:rPr>
        <w:t>Lineamientos generales en materia de clasificación de la información, así como la elaboración de versiones públicas</w:t>
      </w:r>
      <w:r w:rsidRPr="00C90280">
        <w:rPr>
          <w:rFonts w:ascii="Montserrat" w:hAnsi="Montserrat" w:cs="Arial"/>
          <w:szCs w:val="22"/>
          <w:lang w:eastAsia="es-MX"/>
        </w:rPr>
        <w:t>” a través del portal institucional se difunde dicha leyenda.</w:t>
      </w:r>
    </w:p>
    <w:p w14:paraId="0B4E4897" w14:textId="77777777" w:rsidR="00F53B0B" w:rsidRPr="00C90280" w:rsidRDefault="00F53B0B" w:rsidP="00F53B0B">
      <w:pPr>
        <w:tabs>
          <w:tab w:val="left" w:pos="927"/>
        </w:tabs>
        <w:autoSpaceDE w:val="0"/>
        <w:autoSpaceDN w:val="0"/>
        <w:adjustRightInd w:val="0"/>
        <w:jc w:val="both"/>
        <w:rPr>
          <w:rFonts w:ascii="Montserrat" w:hAnsi="Montserrat" w:cs="Arial"/>
          <w:szCs w:val="22"/>
          <w:lang w:eastAsia="es-MX"/>
        </w:rPr>
      </w:pPr>
    </w:p>
    <w:p w14:paraId="55436E05" w14:textId="77777777" w:rsidR="00F53B0B" w:rsidRPr="00C90280" w:rsidRDefault="00F53B0B" w:rsidP="00F53B0B">
      <w:pPr>
        <w:tabs>
          <w:tab w:val="left" w:pos="927"/>
        </w:tabs>
        <w:autoSpaceDE w:val="0"/>
        <w:autoSpaceDN w:val="0"/>
        <w:adjustRightInd w:val="0"/>
        <w:jc w:val="both"/>
        <w:rPr>
          <w:rFonts w:ascii="Montserrat" w:hAnsi="Montserrat" w:cs="Arial"/>
          <w:szCs w:val="22"/>
          <w:lang w:eastAsia="es-MX"/>
        </w:rPr>
      </w:pPr>
      <w:r w:rsidRPr="00C90280">
        <w:rPr>
          <w:rFonts w:ascii="Montserrat" w:hAnsi="Montserrat" w:cs="Arial"/>
          <w:szCs w:val="22"/>
          <w:lang w:eastAsia="es-MX"/>
        </w:rPr>
        <w:t>Se ha promovido la capacitación y actualización de los servidores públicos que recaban datos personales, a fin de que exista una cultura de protección de datos personales; además se continúa apoyando a las áreas para la elaboración de los avisos de privacidad, así como su actualización periódica del mismo.</w:t>
      </w:r>
    </w:p>
    <w:p w14:paraId="16E09341" w14:textId="77777777" w:rsidR="00F53B0B" w:rsidRPr="00C90280" w:rsidRDefault="00F53B0B" w:rsidP="00F53B0B">
      <w:pPr>
        <w:rPr>
          <w:rFonts w:ascii="Montserrat" w:hAnsi="Montserrat"/>
          <w:szCs w:val="22"/>
        </w:rPr>
      </w:pPr>
    </w:p>
    <w:p w14:paraId="013B4DB2" w14:textId="77777777" w:rsidR="00A34EBC" w:rsidRPr="00C90280" w:rsidRDefault="00A34EBC" w:rsidP="00340623">
      <w:pPr>
        <w:rPr>
          <w:rFonts w:ascii="Montserrat" w:hAnsi="Montserrat"/>
          <w:szCs w:val="22"/>
        </w:rPr>
      </w:pPr>
    </w:p>
    <w:sectPr w:rsidR="00A34EBC" w:rsidRPr="00C90280" w:rsidSect="001D1271">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EA9B" w14:textId="77777777" w:rsidR="002C11E5" w:rsidRDefault="002C11E5" w:rsidP="009D36E7">
      <w:r>
        <w:separator/>
      </w:r>
    </w:p>
  </w:endnote>
  <w:endnote w:type="continuationSeparator" w:id="0">
    <w:p w14:paraId="633A67AF" w14:textId="77777777" w:rsidR="002C11E5" w:rsidRDefault="002C11E5"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Bold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B07F" w14:textId="77777777" w:rsidR="002C11E5" w:rsidRDefault="002C11E5" w:rsidP="009D36E7">
      <w:r>
        <w:separator/>
      </w:r>
    </w:p>
  </w:footnote>
  <w:footnote w:type="continuationSeparator" w:id="0">
    <w:p w14:paraId="1207DC59" w14:textId="77777777" w:rsidR="002C11E5" w:rsidRDefault="002C11E5"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8E5B56"/>
    <w:multiLevelType w:val="hybridMultilevel"/>
    <w:tmpl w:val="ED9AB26C"/>
    <w:lvl w:ilvl="0" w:tplc="44E67A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2"/>
  </w:num>
  <w:num w:numId="4" w16cid:durableId="553007458">
    <w:abstractNumId w:val="20"/>
  </w:num>
  <w:num w:numId="5" w16cid:durableId="971901980">
    <w:abstractNumId w:val="2"/>
  </w:num>
  <w:num w:numId="6" w16cid:durableId="2052027261">
    <w:abstractNumId w:val="4"/>
  </w:num>
  <w:num w:numId="7" w16cid:durableId="698512186">
    <w:abstractNumId w:val="8"/>
  </w:num>
  <w:num w:numId="8" w16cid:durableId="891234912">
    <w:abstractNumId w:val="0"/>
  </w:num>
  <w:num w:numId="9" w16cid:durableId="592667921">
    <w:abstractNumId w:val="10"/>
  </w:num>
  <w:num w:numId="10" w16cid:durableId="1155612465">
    <w:abstractNumId w:val="9"/>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1"/>
  </w:num>
  <w:num w:numId="17" w16cid:durableId="1999651983">
    <w:abstractNumId w:val="13"/>
  </w:num>
  <w:num w:numId="18" w16cid:durableId="489296926">
    <w:abstractNumId w:val="15"/>
  </w:num>
  <w:num w:numId="19" w16cid:durableId="1132602520">
    <w:abstractNumId w:val="19"/>
  </w:num>
  <w:num w:numId="20" w16cid:durableId="56562469">
    <w:abstractNumId w:val="5"/>
  </w:num>
  <w:num w:numId="21" w16cid:durableId="1199582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B7E38"/>
    <w:rsid w:val="001D07B4"/>
    <w:rsid w:val="001D111D"/>
    <w:rsid w:val="001D1271"/>
    <w:rsid w:val="001F3DCD"/>
    <w:rsid w:val="00216AA3"/>
    <w:rsid w:val="0022665B"/>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7B7E"/>
    <w:rsid w:val="00383CB8"/>
    <w:rsid w:val="00396E41"/>
    <w:rsid w:val="003A17A9"/>
    <w:rsid w:val="003B351B"/>
    <w:rsid w:val="003B7978"/>
    <w:rsid w:val="003F078F"/>
    <w:rsid w:val="003F4B33"/>
    <w:rsid w:val="00405A69"/>
    <w:rsid w:val="0041677E"/>
    <w:rsid w:val="0043149E"/>
    <w:rsid w:val="00453810"/>
    <w:rsid w:val="00471892"/>
    <w:rsid w:val="0049481A"/>
    <w:rsid w:val="004A09C3"/>
    <w:rsid w:val="004B51D0"/>
    <w:rsid w:val="004B6261"/>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C673D"/>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8F5A46"/>
    <w:rsid w:val="00927BEF"/>
    <w:rsid w:val="00936061"/>
    <w:rsid w:val="009412E8"/>
    <w:rsid w:val="009435A2"/>
    <w:rsid w:val="00943BA4"/>
    <w:rsid w:val="00944649"/>
    <w:rsid w:val="00953876"/>
    <w:rsid w:val="00961E3B"/>
    <w:rsid w:val="009652E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280"/>
    <w:rsid w:val="00C90F4C"/>
    <w:rsid w:val="00C95428"/>
    <w:rsid w:val="00CA7F52"/>
    <w:rsid w:val="00CD4F4A"/>
    <w:rsid w:val="00CD6791"/>
    <w:rsid w:val="00CF7F7D"/>
    <w:rsid w:val="00D11A3F"/>
    <w:rsid w:val="00D33A0C"/>
    <w:rsid w:val="00D35A87"/>
    <w:rsid w:val="00D35BC6"/>
    <w:rsid w:val="00D43838"/>
    <w:rsid w:val="00D80B2F"/>
    <w:rsid w:val="00D83883"/>
    <w:rsid w:val="00DA1185"/>
    <w:rsid w:val="00DD27D7"/>
    <w:rsid w:val="00DD2D6B"/>
    <w:rsid w:val="00DD3C11"/>
    <w:rsid w:val="00DE18F9"/>
    <w:rsid w:val="00DF7567"/>
    <w:rsid w:val="00E028F2"/>
    <w:rsid w:val="00E049C4"/>
    <w:rsid w:val="00E07987"/>
    <w:rsid w:val="00E12434"/>
    <w:rsid w:val="00E25749"/>
    <w:rsid w:val="00E33122"/>
    <w:rsid w:val="00E51C89"/>
    <w:rsid w:val="00E5249B"/>
    <w:rsid w:val="00E81AAB"/>
    <w:rsid w:val="00E841B2"/>
    <w:rsid w:val="00E86853"/>
    <w:rsid w:val="00EA1EA7"/>
    <w:rsid w:val="00EA2425"/>
    <w:rsid w:val="00EB1332"/>
    <w:rsid w:val="00EB32CF"/>
    <w:rsid w:val="00EC247D"/>
    <w:rsid w:val="00EC64C3"/>
    <w:rsid w:val="00EC6D62"/>
    <w:rsid w:val="00F03248"/>
    <w:rsid w:val="00F21C2E"/>
    <w:rsid w:val="00F31C7E"/>
    <w:rsid w:val="00F53B0B"/>
    <w:rsid w:val="00F61DDD"/>
    <w:rsid w:val="00F639E5"/>
    <w:rsid w:val="00F65FB0"/>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3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Sofia Irene Martínez Ochoa</cp:lastModifiedBy>
  <cp:revision>5</cp:revision>
  <cp:lastPrinted>2023-04-24T16:52:00Z</cp:lastPrinted>
  <dcterms:created xsi:type="dcterms:W3CDTF">2023-05-02T15:57:00Z</dcterms:created>
  <dcterms:modified xsi:type="dcterms:W3CDTF">2023-05-03T00:02:00Z</dcterms:modified>
</cp:coreProperties>
</file>