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F695" w14:textId="77777777" w:rsidR="00094B85" w:rsidRPr="0070500B" w:rsidRDefault="00094B85" w:rsidP="00094B85">
      <w:pPr>
        <w:ind w:left="720" w:hanging="360"/>
        <w:jc w:val="center"/>
        <w:rPr>
          <w:rFonts w:ascii="Montserrat" w:hAnsi="Montserrat" w:cs="Arial"/>
          <w:b/>
          <w:i/>
        </w:rPr>
      </w:pPr>
      <w:r w:rsidRPr="0070500B">
        <w:rPr>
          <w:rFonts w:ascii="Montserrat" w:hAnsi="Montserrat" w:cs="Arial"/>
          <w:b/>
          <w:i/>
        </w:rPr>
        <w:t xml:space="preserve">Orden del día </w:t>
      </w:r>
    </w:p>
    <w:p w14:paraId="75BBA045" w14:textId="058DC4FE" w:rsidR="00094B85" w:rsidRDefault="00094B85" w:rsidP="00094B85">
      <w:pPr>
        <w:ind w:left="720" w:hanging="360"/>
        <w:jc w:val="center"/>
        <w:rPr>
          <w:rFonts w:ascii="Montserrat" w:hAnsi="Montserrat" w:cs="Arial"/>
          <w:b/>
          <w:i/>
        </w:rPr>
      </w:pPr>
      <w:r w:rsidRPr="0070500B">
        <w:rPr>
          <w:rFonts w:ascii="Montserrat" w:hAnsi="Montserrat" w:cs="Arial"/>
          <w:b/>
          <w:i/>
        </w:rPr>
        <w:t>Primera Sesión Ordinaria de la Junta de Gobierno 202</w:t>
      </w:r>
      <w:r w:rsidR="00C024E2">
        <w:rPr>
          <w:rFonts w:ascii="Montserrat" w:hAnsi="Montserrat" w:cs="Arial"/>
          <w:b/>
          <w:i/>
        </w:rPr>
        <w:t>3</w:t>
      </w:r>
    </w:p>
    <w:p w14:paraId="13E5BD9E" w14:textId="6BEAC0F6" w:rsidR="009326D4" w:rsidRPr="0070500B" w:rsidRDefault="00D91F6E" w:rsidP="00094B85">
      <w:pPr>
        <w:ind w:left="720" w:hanging="360"/>
        <w:jc w:val="center"/>
        <w:rPr>
          <w:rFonts w:ascii="Montserrat" w:hAnsi="Montserrat" w:cs="Arial"/>
          <w:b/>
          <w:i/>
        </w:rPr>
      </w:pPr>
      <w:r>
        <w:rPr>
          <w:rFonts w:ascii="Montserrat" w:hAnsi="Montserrat" w:cs="Arial"/>
          <w:b/>
          <w:i/>
        </w:rPr>
        <w:t xml:space="preserve"> </w:t>
      </w:r>
    </w:p>
    <w:p w14:paraId="015784FE" w14:textId="77777777" w:rsidR="00C024E2" w:rsidRDefault="00C024E2" w:rsidP="00C024E2">
      <w:pPr>
        <w:jc w:val="both"/>
        <w:rPr>
          <w:rFonts w:ascii="Montserrat" w:hAnsi="Montserrat" w:cs="Arial"/>
          <w:sz w:val="22"/>
          <w:szCs w:val="22"/>
        </w:rPr>
      </w:pPr>
    </w:p>
    <w:p w14:paraId="69277521" w14:textId="77777777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Lista de asistencia y declaración del quórum legal.</w:t>
      </w:r>
    </w:p>
    <w:p w14:paraId="156E2129" w14:textId="77777777" w:rsidR="00C024E2" w:rsidRDefault="00C024E2" w:rsidP="00C024E2">
      <w:pPr>
        <w:pStyle w:val="Prrafodelista"/>
        <w:jc w:val="both"/>
        <w:rPr>
          <w:rFonts w:ascii="Montserrat" w:hAnsi="Montserrat" w:cs="Arial"/>
          <w:sz w:val="22"/>
          <w:szCs w:val="22"/>
        </w:rPr>
      </w:pPr>
    </w:p>
    <w:p w14:paraId="018696EC" w14:textId="77777777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Lectura y, en su caso, aprobación del orden del día.</w:t>
      </w:r>
    </w:p>
    <w:p w14:paraId="23588699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3A89BF1E" w14:textId="77777777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Lectura y, en su caso, presentación del acta de la sesión anterior.</w:t>
      </w:r>
    </w:p>
    <w:p w14:paraId="5175C3FB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6DAC2C4C" w14:textId="77777777" w:rsidR="00C024E2" w:rsidRDefault="00C024E2" w:rsidP="00693F04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Informe sobre el cumplimiento de los acuerdos previos, adoptados por el Órgano de Gobierno</w:t>
      </w:r>
      <w:r>
        <w:rPr>
          <w:rFonts w:ascii="Montserrat" w:hAnsi="Montserrat" w:cs="Arial"/>
          <w:sz w:val="22"/>
          <w:szCs w:val="22"/>
        </w:rPr>
        <w:t>.</w:t>
      </w:r>
    </w:p>
    <w:p w14:paraId="012C570D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23BD0F52" w14:textId="4BBBC6D1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Presentación por el Titular del Centro del Informe y seguimiento al Programa Institucional 2022.</w:t>
      </w:r>
    </w:p>
    <w:p w14:paraId="27017F07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45D7DF3B" w14:textId="08D61B44" w:rsidR="00C024E2" w:rsidRDefault="00C024E2" w:rsidP="00C20DFE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Presentación por el Titular del Centro del Informe de Autoevaluación del ejercicio fiscal 2022 basado en el Convenio de Administración por Resultados (CAR).</w:t>
      </w:r>
    </w:p>
    <w:p w14:paraId="059BC403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61A9EE2A" w14:textId="5AD90121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Presentación por e</w:t>
      </w:r>
      <w:r w:rsidR="009326D4">
        <w:rPr>
          <w:rFonts w:ascii="Montserrat" w:hAnsi="Montserrat" w:cs="Arial"/>
          <w:sz w:val="22"/>
          <w:szCs w:val="22"/>
        </w:rPr>
        <w:t>l</w:t>
      </w:r>
      <w:r w:rsidRPr="00C024E2">
        <w:rPr>
          <w:rFonts w:ascii="Montserrat" w:hAnsi="Montserrat" w:cs="Arial"/>
          <w:sz w:val="22"/>
          <w:szCs w:val="22"/>
        </w:rPr>
        <w:t xml:space="preserve"> Titular del Centro del análisis autocrítico del estado que guarda el Centro en términos de las capacidades, desafíos y áreas de oportunidad para articularse al Sistema Nacional de Centros Públicos (</w:t>
      </w:r>
      <w:proofErr w:type="spellStart"/>
      <w:r w:rsidRPr="00C024E2">
        <w:rPr>
          <w:rFonts w:ascii="Montserrat" w:hAnsi="Montserrat" w:cs="Arial"/>
          <w:sz w:val="22"/>
          <w:szCs w:val="22"/>
        </w:rPr>
        <w:t>SNCP</w:t>
      </w:r>
      <w:proofErr w:type="spellEnd"/>
      <w:r w:rsidRPr="00C024E2">
        <w:rPr>
          <w:rFonts w:ascii="Montserrat" w:hAnsi="Montserrat" w:cs="Arial"/>
          <w:sz w:val="22"/>
          <w:szCs w:val="22"/>
        </w:rPr>
        <w:t>).</w:t>
      </w:r>
    </w:p>
    <w:p w14:paraId="4F22B3BF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2FD9A75C" w14:textId="1566E46E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Presentación de la Opinión del Comité Externo de Evaluación sobre el Informe correspondiente al ejercicio fiscal 2022, presentado por e</w:t>
      </w:r>
      <w:r w:rsidR="00192C9D">
        <w:rPr>
          <w:rFonts w:ascii="Montserrat" w:hAnsi="Montserrat" w:cs="Arial"/>
          <w:sz w:val="22"/>
          <w:szCs w:val="22"/>
        </w:rPr>
        <w:t>l Titular del Centro</w:t>
      </w:r>
      <w:r w:rsidRPr="00C024E2">
        <w:rPr>
          <w:rFonts w:ascii="Montserrat" w:hAnsi="Montserrat" w:cs="Arial"/>
          <w:sz w:val="22"/>
          <w:szCs w:val="22"/>
        </w:rPr>
        <w:t>.</w:t>
      </w:r>
    </w:p>
    <w:p w14:paraId="4BF64A4A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6CF51EDB" w14:textId="77777777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 xml:space="preserve">Presentación de la evaluación por parte de CONACYT a los </w:t>
      </w:r>
      <w:proofErr w:type="spellStart"/>
      <w:r w:rsidRPr="00C024E2">
        <w:rPr>
          <w:rFonts w:ascii="Montserrat" w:hAnsi="Montserrat" w:cs="Arial"/>
          <w:sz w:val="22"/>
          <w:szCs w:val="22"/>
        </w:rPr>
        <w:t>CPI</w:t>
      </w:r>
      <w:proofErr w:type="spellEnd"/>
      <w:r w:rsidRPr="00C024E2">
        <w:rPr>
          <w:rFonts w:ascii="Montserrat" w:hAnsi="Montserrat" w:cs="Arial"/>
          <w:sz w:val="22"/>
          <w:szCs w:val="22"/>
        </w:rPr>
        <w:t xml:space="preserve"> ejercicio fiscal 2022.</w:t>
      </w:r>
    </w:p>
    <w:p w14:paraId="12ADB644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57DB888F" w14:textId="6002AC57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Presentación de la Opinión de los Comisarios Públicos de la Secretaría de la Función Pública, sobre los informes correspondientes al Programa Institucional y de Autoevaluación del ejercicio fiscal 2022, que presenta el Titular del Centro.</w:t>
      </w:r>
    </w:p>
    <w:p w14:paraId="1C12C465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1B03A0B4" w14:textId="297B00FE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Análisis y, en su caso, aprobación de los informes correspondientes al Programa Institucional y de Autoevaluación del ejercicio fiscal 2022, presentado por el Titular del Centro.</w:t>
      </w:r>
    </w:p>
    <w:p w14:paraId="7538E750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29BF701A" w14:textId="04A01593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 xml:space="preserve">Presentación por el Titular del Centro de los Estados Financieros Dictaminados 2022 del Centro. </w:t>
      </w:r>
    </w:p>
    <w:p w14:paraId="303C530A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6134B078" w14:textId="77777777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Presentación del Informe de los Comisarios Públicos sobre los Estados Financieros Dictaminados del ejercicio 2022 del Centro.</w:t>
      </w:r>
    </w:p>
    <w:p w14:paraId="3D62C715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3947CA73" w14:textId="77777777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 xml:space="preserve">Aprobación, en su caso, de los Estados Financieros Dictaminados 2022 del Centro. </w:t>
      </w:r>
    </w:p>
    <w:p w14:paraId="122E6D21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0D7E1EB8" w14:textId="0BDDBAAB" w:rsidR="00C024E2" w:rsidRDefault="00C024E2" w:rsidP="002568F9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347A6A">
        <w:rPr>
          <w:rFonts w:ascii="Montserrat" w:hAnsi="Montserrat" w:cs="Arial"/>
          <w:sz w:val="22"/>
          <w:szCs w:val="22"/>
        </w:rPr>
        <w:t>Presentación y, en su caso, aprobación del calendario de sesiones ordinarias del Órgano de Gobierno del año en curso</w:t>
      </w:r>
      <w:r w:rsidR="00347A6A">
        <w:rPr>
          <w:rFonts w:ascii="Montserrat" w:hAnsi="Montserrat" w:cs="Arial"/>
          <w:sz w:val="22"/>
          <w:szCs w:val="22"/>
        </w:rPr>
        <w:t>.</w:t>
      </w:r>
    </w:p>
    <w:p w14:paraId="70A2DD92" w14:textId="77777777" w:rsidR="00347A6A" w:rsidRPr="00347A6A" w:rsidRDefault="00347A6A" w:rsidP="00347A6A">
      <w:pPr>
        <w:pStyle w:val="Prrafodelista"/>
        <w:jc w:val="both"/>
        <w:rPr>
          <w:rFonts w:ascii="Montserrat" w:hAnsi="Montserrat" w:cs="Arial"/>
          <w:sz w:val="22"/>
          <w:szCs w:val="22"/>
        </w:rPr>
      </w:pPr>
    </w:p>
    <w:p w14:paraId="53392255" w14:textId="21FF5249" w:rsidR="009326D4" w:rsidRDefault="00C024E2" w:rsidP="009326D4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 xml:space="preserve">Solicitud y, en su caso, aprobación de acuerdos del Órgano de Gobierno del Centro. </w:t>
      </w:r>
    </w:p>
    <w:p w14:paraId="115E0209" w14:textId="77777777" w:rsidR="00347A6A" w:rsidRDefault="00347A6A" w:rsidP="00347A6A">
      <w:pPr>
        <w:pStyle w:val="Prrafodelista"/>
        <w:jc w:val="both"/>
        <w:rPr>
          <w:rFonts w:ascii="Montserrat" w:hAnsi="Montserrat" w:cs="Arial"/>
          <w:sz w:val="22"/>
          <w:szCs w:val="22"/>
        </w:rPr>
      </w:pPr>
    </w:p>
    <w:p w14:paraId="656EDFC3" w14:textId="77777777" w:rsidR="00B90C08" w:rsidRDefault="00B90C08" w:rsidP="00C675AA">
      <w:pPr>
        <w:pStyle w:val="Prrafodelista"/>
        <w:numPr>
          <w:ilvl w:val="1"/>
          <w:numId w:val="4"/>
        </w:numPr>
        <w:ind w:left="1418" w:hanging="425"/>
        <w:jc w:val="both"/>
        <w:rPr>
          <w:rFonts w:ascii="Montserrat" w:hAnsi="Montserrat" w:cs="Arial"/>
          <w:sz w:val="22"/>
          <w:szCs w:val="22"/>
        </w:rPr>
      </w:pPr>
      <w:r w:rsidRPr="00B014C6">
        <w:rPr>
          <w:rFonts w:ascii="Montserrat" w:hAnsi="Montserrat" w:cs="Arial"/>
          <w:sz w:val="22"/>
          <w:szCs w:val="22"/>
        </w:rPr>
        <w:t>Presentación y aprobación, en su caso, de la distribución del presupuesto anual definitivo de la entidad, de acuerdo con el monto total autorizado de su presupuesto</w:t>
      </w:r>
      <w:r w:rsidR="003D43A5">
        <w:rPr>
          <w:rFonts w:ascii="Montserrat" w:hAnsi="Montserrat" w:cs="Arial"/>
          <w:sz w:val="22"/>
          <w:szCs w:val="22"/>
        </w:rPr>
        <w:t>.</w:t>
      </w:r>
    </w:p>
    <w:p w14:paraId="67552D33" w14:textId="77777777" w:rsidR="00C675AA" w:rsidRDefault="00C675AA" w:rsidP="00C675AA">
      <w:pPr>
        <w:pStyle w:val="Prrafodelista"/>
        <w:ind w:left="1418"/>
        <w:jc w:val="both"/>
        <w:rPr>
          <w:rFonts w:ascii="Montserrat" w:hAnsi="Montserrat" w:cs="Arial"/>
          <w:sz w:val="22"/>
          <w:szCs w:val="22"/>
        </w:rPr>
      </w:pPr>
    </w:p>
    <w:p w14:paraId="2DB97E50" w14:textId="415704E6" w:rsidR="003D43A5" w:rsidRDefault="00B90C08" w:rsidP="00C675AA">
      <w:pPr>
        <w:pStyle w:val="Prrafodelista"/>
        <w:numPr>
          <w:ilvl w:val="1"/>
          <w:numId w:val="4"/>
        </w:numPr>
        <w:ind w:left="1418" w:hanging="425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P</w:t>
      </w:r>
      <w:r w:rsidRPr="00B90C08">
        <w:rPr>
          <w:rFonts w:ascii="Montserrat" w:hAnsi="Montserrat" w:cs="Arial"/>
          <w:sz w:val="22"/>
          <w:szCs w:val="22"/>
        </w:rPr>
        <w:t>resentación y, en su caso, aprobación de la relación de proyectos, productos y/o servicios que generaron ingresos propios durante el ejercicio fiscal 202</w:t>
      </w:r>
      <w:r w:rsidR="00C675AA">
        <w:rPr>
          <w:rFonts w:ascii="Montserrat" w:hAnsi="Montserrat" w:cs="Arial"/>
          <w:sz w:val="22"/>
          <w:szCs w:val="22"/>
        </w:rPr>
        <w:t>2</w:t>
      </w:r>
    </w:p>
    <w:p w14:paraId="68118B67" w14:textId="77777777" w:rsidR="00C675AA" w:rsidRPr="00C675AA" w:rsidRDefault="00C675AA" w:rsidP="00C675AA">
      <w:pPr>
        <w:jc w:val="both"/>
        <w:rPr>
          <w:rFonts w:ascii="Montserrat" w:hAnsi="Montserrat" w:cs="Arial"/>
          <w:sz w:val="22"/>
          <w:szCs w:val="22"/>
        </w:rPr>
      </w:pPr>
    </w:p>
    <w:p w14:paraId="54A8B95C" w14:textId="0A8B7365" w:rsidR="001C36D4" w:rsidRDefault="00B90C08" w:rsidP="00C675AA">
      <w:pPr>
        <w:pStyle w:val="Prrafodelista"/>
        <w:numPr>
          <w:ilvl w:val="1"/>
          <w:numId w:val="4"/>
        </w:numPr>
        <w:ind w:left="1418" w:hanging="425"/>
        <w:jc w:val="both"/>
        <w:rPr>
          <w:rFonts w:ascii="Montserrat" w:hAnsi="Montserrat" w:cs="Arial"/>
          <w:sz w:val="22"/>
          <w:szCs w:val="22"/>
        </w:rPr>
      </w:pPr>
      <w:r w:rsidRPr="001A5BE2">
        <w:rPr>
          <w:rFonts w:ascii="Montserrat" w:hAnsi="Montserrat" w:cs="Arial"/>
          <w:sz w:val="22"/>
          <w:szCs w:val="22"/>
        </w:rPr>
        <w:t>Presentación y, en su caso, aprobación para el registro de la disponibilidad final 2022 e inicial 2023.</w:t>
      </w:r>
    </w:p>
    <w:p w14:paraId="4FC69FBD" w14:textId="77777777" w:rsidR="00C675AA" w:rsidRPr="00C675AA" w:rsidRDefault="00C675AA" w:rsidP="00C675AA">
      <w:pPr>
        <w:jc w:val="both"/>
        <w:rPr>
          <w:rFonts w:ascii="Montserrat" w:hAnsi="Montserrat" w:cs="Arial"/>
          <w:sz w:val="22"/>
          <w:szCs w:val="22"/>
        </w:rPr>
      </w:pPr>
    </w:p>
    <w:p w14:paraId="686722E3" w14:textId="6AE0499C" w:rsidR="001A5BE2" w:rsidRPr="00DD61D7" w:rsidRDefault="00B90C08" w:rsidP="00DD61D7">
      <w:pPr>
        <w:pStyle w:val="Prrafodelista"/>
        <w:numPr>
          <w:ilvl w:val="1"/>
          <w:numId w:val="4"/>
        </w:numPr>
        <w:ind w:hanging="87"/>
        <w:jc w:val="both"/>
        <w:rPr>
          <w:rFonts w:ascii="Montserrat" w:hAnsi="Montserrat" w:cs="Arial"/>
          <w:sz w:val="22"/>
          <w:szCs w:val="22"/>
        </w:rPr>
      </w:pPr>
      <w:r w:rsidRPr="00DD61D7">
        <w:rPr>
          <w:rFonts w:ascii="Montserrat" w:hAnsi="Montserrat" w:cs="Arial"/>
          <w:sz w:val="22"/>
          <w:szCs w:val="22"/>
        </w:rPr>
        <w:t>Presentación y, en su caso, aprobación del uso de recursos de acuerdo con el registro de disponibilidad final 2022 e inicial 2023.</w:t>
      </w:r>
    </w:p>
    <w:p w14:paraId="3CC940FC" w14:textId="77777777" w:rsidR="00C675AA" w:rsidRPr="00C675AA" w:rsidRDefault="00C675AA" w:rsidP="00C675AA">
      <w:pPr>
        <w:jc w:val="both"/>
        <w:rPr>
          <w:rFonts w:ascii="Montserrat" w:hAnsi="Montserrat" w:cs="Arial"/>
          <w:sz w:val="22"/>
          <w:szCs w:val="22"/>
        </w:rPr>
      </w:pPr>
    </w:p>
    <w:p w14:paraId="6F927874" w14:textId="53292BEB" w:rsidR="008D1A8E" w:rsidRDefault="00B90C08" w:rsidP="00C675AA">
      <w:pPr>
        <w:pStyle w:val="Prrafodelista"/>
        <w:numPr>
          <w:ilvl w:val="1"/>
          <w:numId w:val="4"/>
        </w:numPr>
        <w:ind w:left="1418" w:hanging="425"/>
        <w:jc w:val="both"/>
        <w:rPr>
          <w:rFonts w:ascii="Montserrat" w:hAnsi="Montserrat" w:cs="Arial"/>
          <w:sz w:val="22"/>
          <w:szCs w:val="22"/>
        </w:rPr>
      </w:pPr>
      <w:r w:rsidRPr="001E221F">
        <w:rPr>
          <w:rFonts w:ascii="Montserrat" w:hAnsi="Montserrat" w:cs="Arial"/>
          <w:sz w:val="22"/>
          <w:szCs w:val="22"/>
        </w:rPr>
        <w:t xml:space="preserve">Presentación y, en su caso, aprobación de la creación del doctorado en </w:t>
      </w:r>
      <w:r w:rsidR="00C675AA">
        <w:rPr>
          <w:rFonts w:ascii="Montserrat" w:hAnsi="Montserrat" w:cs="Arial"/>
          <w:sz w:val="22"/>
          <w:szCs w:val="22"/>
        </w:rPr>
        <w:t>C</w:t>
      </w:r>
      <w:r w:rsidRPr="001E221F">
        <w:rPr>
          <w:rFonts w:ascii="Montserrat" w:hAnsi="Montserrat" w:cs="Arial"/>
          <w:sz w:val="22"/>
          <w:szCs w:val="22"/>
        </w:rPr>
        <w:t xml:space="preserve">iencias en </w:t>
      </w:r>
      <w:r w:rsidR="00C675AA">
        <w:rPr>
          <w:rFonts w:ascii="Montserrat" w:hAnsi="Montserrat" w:cs="Arial"/>
          <w:sz w:val="22"/>
          <w:szCs w:val="22"/>
        </w:rPr>
        <w:t>A</w:t>
      </w:r>
      <w:r w:rsidRPr="001E221F">
        <w:rPr>
          <w:rFonts w:ascii="Montserrat" w:hAnsi="Montserrat" w:cs="Arial"/>
          <w:sz w:val="22"/>
          <w:szCs w:val="22"/>
        </w:rPr>
        <w:t>groecología</w:t>
      </w:r>
      <w:r w:rsidR="00C675AA">
        <w:rPr>
          <w:rFonts w:ascii="Montserrat" w:hAnsi="Montserrat" w:cs="Arial"/>
          <w:sz w:val="22"/>
          <w:szCs w:val="22"/>
        </w:rPr>
        <w:t>.</w:t>
      </w:r>
    </w:p>
    <w:p w14:paraId="51E6E7E0" w14:textId="77777777" w:rsidR="009326D4" w:rsidRPr="009326D4" w:rsidRDefault="009326D4" w:rsidP="009326D4">
      <w:pPr>
        <w:pStyle w:val="Prrafodelista"/>
        <w:rPr>
          <w:rFonts w:ascii="Montserrat" w:hAnsi="Montserrat" w:cs="Arial"/>
          <w:sz w:val="22"/>
          <w:szCs w:val="22"/>
        </w:rPr>
      </w:pPr>
    </w:p>
    <w:p w14:paraId="2C4E57AA" w14:textId="77777777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Informe de resultados de auditorías, exámenes y evaluaciones realizadas por el Órgano Interno de Control.</w:t>
      </w:r>
    </w:p>
    <w:p w14:paraId="5485DCEA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49E78232" w14:textId="46C4ACF8" w:rsid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Presentación por el Titular del Centro del Informe de la Cuenta de la Hacienda Pública Federal 2022.</w:t>
      </w:r>
    </w:p>
    <w:p w14:paraId="517A8E55" w14:textId="77777777" w:rsidR="00C024E2" w:rsidRPr="00C024E2" w:rsidRDefault="00C024E2" w:rsidP="00C024E2">
      <w:pPr>
        <w:pStyle w:val="Prrafodelista"/>
        <w:rPr>
          <w:rFonts w:ascii="Montserrat" w:hAnsi="Montserrat" w:cs="Arial"/>
          <w:sz w:val="22"/>
          <w:szCs w:val="22"/>
        </w:rPr>
      </w:pPr>
    </w:p>
    <w:p w14:paraId="5D08C03F" w14:textId="57490FBF" w:rsidR="00C024E2" w:rsidRPr="00C024E2" w:rsidRDefault="00C024E2" w:rsidP="00C024E2">
      <w:pPr>
        <w:pStyle w:val="Prrafodelista"/>
        <w:numPr>
          <w:ilvl w:val="0"/>
          <w:numId w:val="4"/>
        </w:numPr>
        <w:jc w:val="both"/>
        <w:rPr>
          <w:rFonts w:ascii="Montserrat" w:hAnsi="Montserrat" w:cs="Arial"/>
          <w:sz w:val="22"/>
          <w:szCs w:val="22"/>
        </w:rPr>
      </w:pPr>
      <w:r w:rsidRPr="00C024E2">
        <w:rPr>
          <w:rFonts w:ascii="Montserrat" w:hAnsi="Montserrat" w:cs="Arial"/>
          <w:sz w:val="22"/>
          <w:szCs w:val="22"/>
        </w:rPr>
        <w:t>Asuntos Generales.</w:t>
      </w:r>
      <w:r w:rsidR="006A7132">
        <w:rPr>
          <w:rFonts w:ascii="Montserrat" w:hAnsi="Montserrat" w:cs="Arial"/>
          <w:sz w:val="22"/>
          <w:szCs w:val="22"/>
        </w:rPr>
        <w:t xml:space="preserve"> </w:t>
      </w:r>
    </w:p>
    <w:sectPr w:rsidR="00C024E2" w:rsidRPr="00C024E2" w:rsidSect="00422F43">
      <w:headerReference w:type="default" r:id="rId8"/>
      <w:footerReference w:type="default" r:id="rId9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5AF2" w14:textId="77777777" w:rsidR="002A39E1" w:rsidRDefault="002A39E1">
      <w:r>
        <w:separator/>
      </w:r>
    </w:p>
  </w:endnote>
  <w:endnote w:type="continuationSeparator" w:id="0">
    <w:p w14:paraId="251A42B1" w14:textId="77777777" w:rsidR="002A39E1" w:rsidRDefault="002A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E791" w14:textId="77777777" w:rsidR="00E57969" w:rsidRDefault="00DD61D7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50BF3005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529DE994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7591F4D6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485710B6" w14:textId="77777777" w:rsidR="00C024E2" w:rsidRDefault="00C024E2" w:rsidP="00E364CC">
    <w:pPr>
      <w:pStyle w:val="Piedepgina"/>
      <w:tabs>
        <w:tab w:val="left" w:pos="8624"/>
        <w:tab w:val="right" w:pos="9405"/>
      </w:tabs>
      <w:rPr>
        <w:rFonts w:ascii="Montserrat" w:eastAsia="Batang" w:hAnsi="Montserrat"/>
        <w:b/>
        <w:i/>
        <w:color w:val="A6A6A6"/>
        <w:sz w:val="18"/>
        <w:szCs w:val="18"/>
      </w:rPr>
    </w:pPr>
  </w:p>
  <w:p w14:paraId="71DD8C6A" w14:textId="77777777" w:rsidR="00C024E2" w:rsidRPr="004C16DA" w:rsidRDefault="00C024E2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2EAE" w14:textId="77777777" w:rsidR="002A39E1" w:rsidRDefault="002A39E1">
      <w:r>
        <w:separator/>
      </w:r>
    </w:p>
  </w:footnote>
  <w:footnote w:type="continuationSeparator" w:id="0">
    <w:p w14:paraId="69B3E070" w14:textId="77777777" w:rsidR="002A39E1" w:rsidRDefault="002A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3D7D" w14:textId="21AED339" w:rsidR="00EE1715" w:rsidRDefault="00C024E2" w:rsidP="00E364CC">
    <w:pPr>
      <w:pStyle w:val="Encabezado"/>
      <w:tabs>
        <w:tab w:val="left" w:pos="1134"/>
      </w:tabs>
    </w:pPr>
    <w:r>
      <w:rPr>
        <w:noProof/>
      </w:rPr>
      <w:drawing>
        <wp:inline distT="0" distB="0" distL="0" distR="0" wp14:anchorId="4AE9FB70" wp14:editId="2AFECF27">
          <wp:extent cx="5612130" cy="610580"/>
          <wp:effectExtent l="0" t="0" r="0" b="0"/>
          <wp:docPr id="807027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1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C80E9C" w14:textId="77777777" w:rsidR="009B3E3F" w:rsidRPr="002777F8" w:rsidRDefault="009B3E3F" w:rsidP="002777F8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4DD3"/>
    <w:multiLevelType w:val="multilevel"/>
    <w:tmpl w:val="92F8A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22413">
    <w:abstractNumId w:val="2"/>
  </w:num>
  <w:num w:numId="2" w16cid:durableId="354232111">
    <w:abstractNumId w:val="0"/>
  </w:num>
  <w:num w:numId="3" w16cid:durableId="1659992886">
    <w:abstractNumId w:val="3"/>
  </w:num>
  <w:num w:numId="4" w16cid:durableId="188652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3433B"/>
    <w:rsid w:val="00062CF1"/>
    <w:rsid w:val="000733EA"/>
    <w:rsid w:val="00087333"/>
    <w:rsid w:val="000934AA"/>
    <w:rsid w:val="00094B2B"/>
    <w:rsid w:val="00094B85"/>
    <w:rsid w:val="000D6934"/>
    <w:rsid w:val="000E3223"/>
    <w:rsid w:val="00156EA7"/>
    <w:rsid w:val="00190C66"/>
    <w:rsid w:val="00192C9D"/>
    <w:rsid w:val="001A5A60"/>
    <w:rsid w:val="001A5BE2"/>
    <w:rsid w:val="001B2873"/>
    <w:rsid w:val="001B7CC2"/>
    <w:rsid w:val="001C36D4"/>
    <w:rsid w:val="001C4F8E"/>
    <w:rsid w:val="001D0AAD"/>
    <w:rsid w:val="001D37C7"/>
    <w:rsid w:val="001E221F"/>
    <w:rsid w:val="0024762E"/>
    <w:rsid w:val="00266457"/>
    <w:rsid w:val="002777F8"/>
    <w:rsid w:val="002A39E1"/>
    <w:rsid w:val="002C2E12"/>
    <w:rsid w:val="002E35F0"/>
    <w:rsid w:val="00340281"/>
    <w:rsid w:val="00347A6A"/>
    <w:rsid w:val="003D43A5"/>
    <w:rsid w:val="00452284"/>
    <w:rsid w:val="004531C7"/>
    <w:rsid w:val="004C16DA"/>
    <w:rsid w:val="004F6473"/>
    <w:rsid w:val="004F78FC"/>
    <w:rsid w:val="005012F9"/>
    <w:rsid w:val="00550F14"/>
    <w:rsid w:val="005547B6"/>
    <w:rsid w:val="00586514"/>
    <w:rsid w:val="0058714C"/>
    <w:rsid w:val="005A69BF"/>
    <w:rsid w:val="005D5FEE"/>
    <w:rsid w:val="005E25E9"/>
    <w:rsid w:val="005E3C8A"/>
    <w:rsid w:val="00642EB5"/>
    <w:rsid w:val="00655A94"/>
    <w:rsid w:val="006614F5"/>
    <w:rsid w:val="00665CBC"/>
    <w:rsid w:val="00670BF6"/>
    <w:rsid w:val="0067345A"/>
    <w:rsid w:val="006739E7"/>
    <w:rsid w:val="006A7132"/>
    <w:rsid w:val="006C6F0B"/>
    <w:rsid w:val="006D628C"/>
    <w:rsid w:val="006D6ECD"/>
    <w:rsid w:val="006E192E"/>
    <w:rsid w:val="006E47FB"/>
    <w:rsid w:val="006E5568"/>
    <w:rsid w:val="0070500B"/>
    <w:rsid w:val="00711936"/>
    <w:rsid w:val="007650F6"/>
    <w:rsid w:val="007D5015"/>
    <w:rsid w:val="00820BFA"/>
    <w:rsid w:val="00822148"/>
    <w:rsid w:val="00842569"/>
    <w:rsid w:val="00860912"/>
    <w:rsid w:val="00884C76"/>
    <w:rsid w:val="008A0D19"/>
    <w:rsid w:val="008A1FB2"/>
    <w:rsid w:val="008B7852"/>
    <w:rsid w:val="008C57F3"/>
    <w:rsid w:val="008D1A8E"/>
    <w:rsid w:val="008F6F13"/>
    <w:rsid w:val="00902340"/>
    <w:rsid w:val="009326D4"/>
    <w:rsid w:val="00946061"/>
    <w:rsid w:val="009B3E3F"/>
    <w:rsid w:val="009B48AB"/>
    <w:rsid w:val="009C671A"/>
    <w:rsid w:val="00A56ADE"/>
    <w:rsid w:val="00A6494E"/>
    <w:rsid w:val="00A6738C"/>
    <w:rsid w:val="00A903FC"/>
    <w:rsid w:val="00AE7D0E"/>
    <w:rsid w:val="00AF656F"/>
    <w:rsid w:val="00B014C6"/>
    <w:rsid w:val="00B10316"/>
    <w:rsid w:val="00B24D82"/>
    <w:rsid w:val="00B255BD"/>
    <w:rsid w:val="00B40BC9"/>
    <w:rsid w:val="00B76E4E"/>
    <w:rsid w:val="00B90C08"/>
    <w:rsid w:val="00BC4266"/>
    <w:rsid w:val="00C024E2"/>
    <w:rsid w:val="00C04FB0"/>
    <w:rsid w:val="00C675AA"/>
    <w:rsid w:val="00C96130"/>
    <w:rsid w:val="00CB67EE"/>
    <w:rsid w:val="00CE631C"/>
    <w:rsid w:val="00D01212"/>
    <w:rsid w:val="00D049A9"/>
    <w:rsid w:val="00D1238A"/>
    <w:rsid w:val="00D360E9"/>
    <w:rsid w:val="00D62CB2"/>
    <w:rsid w:val="00D761EB"/>
    <w:rsid w:val="00D91F6E"/>
    <w:rsid w:val="00D93DCB"/>
    <w:rsid w:val="00DB27CA"/>
    <w:rsid w:val="00DB4BD8"/>
    <w:rsid w:val="00DD61D7"/>
    <w:rsid w:val="00DE0521"/>
    <w:rsid w:val="00DE38DC"/>
    <w:rsid w:val="00E036DB"/>
    <w:rsid w:val="00E715D7"/>
    <w:rsid w:val="00E87E85"/>
    <w:rsid w:val="00E90B82"/>
    <w:rsid w:val="00EB6A26"/>
    <w:rsid w:val="00EE7E6E"/>
    <w:rsid w:val="00F00D3B"/>
    <w:rsid w:val="00F5248F"/>
    <w:rsid w:val="00F5603B"/>
    <w:rsid w:val="00F81B1E"/>
    <w:rsid w:val="00FA2027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9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6739E7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6739E7"/>
    <w:rPr>
      <w:rFonts w:ascii="Arial" w:eastAsia="Calibri" w:hAnsi="Arial" w:cs="Times New Roman"/>
      <w:b/>
      <w:szCs w:val="24"/>
      <w:lang w:eastAsia="es-ES"/>
    </w:rPr>
  </w:style>
  <w:style w:type="character" w:styleId="Textoennegrita">
    <w:name w:val="Strong"/>
    <w:qFormat/>
    <w:rsid w:val="00AE7D0E"/>
    <w:rPr>
      <w:b/>
      <w:bCs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AE7D0E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AE7D0E"/>
    <w:rPr>
      <w:rFonts w:ascii="Arial" w:eastAsia="Times New Roman" w:hAnsi="Arial" w:cs="Times New Roman"/>
      <w:b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3A65-E0C4-44D7-A265-6AEC452B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Elizabeth Torres Suarez</cp:lastModifiedBy>
  <cp:revision>18</cp:revision>
  <cp:lastPrinted>2023-04-27T22:53:00Z</cp:lastPrinted>
  <dcterms:created xsi:type="dcterms:W3CDTF">2023-04-27T22:46:00Z</dcterms:created>
  <dcterms:modified xsi:type="dcterms:W3CDTF">2023-05-08T17:29:00Z</dcterms:modified>
</cp:coreProperties>
</file>