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A6266" w14:textId="11AA396C" w:rsidR="00CF7154" w:rsidRPr="000D2FDC" w:rsidRDefault="0034354B" w:rsidP="00CF7154">
      <w:pPr>
        <w:spacing w:line="276" w:lineRule="auto"/>
        <w:jc w:val="center"/>
        <w:rPr>
          <w:rFonts w:ascii="Montserrat" w:hAnsi="Montserrat" w:cs="Arial"/>
          <w:iCs/>
          <w:lang w:val="es-ES"/>
        </w:rPr>
      </w:pPr>
      <w:r>
        <w:rPr>
          <w:rFonts w:ascii="Montserrat" w:hAnsi="Montserrat" w:cs="Arial"/>
          <w:b/>
          <w:bCs/>
          <w:iCs/>
          <w:lang w:val="es-ES"/>
        </w:rPr>
        <w:t>5.6</w:t>
      </w:r>
      <w:r w:rsidR="00CF7154" w:rsidRPr="000D2FDC">
        <w:rPr>
          <w:rFonts w:ascii="Montserrat" w:hAnsi="Montserrat" w:cs="Arial"/>
          <w:b/>
          <w:bCs/>
          <w:iCs/>
          <w:lang w:val="es-ES"/>
        </w:rPr>
        <w:t xml:space="preserve"> </w:t>
      </w:r>
      <w:r w:rsidR="000D2FDC" w:rsidRPr="000D2FDC">
        <w:rPr>
          <w:rFonts w:ascii="Montserrat" w:hAnsi="Montserrat" w:cs="Arial"/>
          <w:b/>
          <w:bCs/>
          <w:iCs/>
          <w:lang w:val="es-ES"/>
        </w:rPr>
        <w:t>Actividades de transferencia tecnológica y vinculación</w:t>
      </w:r>
    </w:p>
    <w:p w14:paraId="137DCB48" w14:textId="77777777" w:rsidR="00CF7154" w:rsidRPr="00CF7154" w:rsidRDefault="00CF7154" w:rsidP="00CF7154">
      <w:pPr>
        <w:spacing w:line="276" w:lineRule="auto"/>
        <w:jc w:val="both"/>
        <w:rPr>
          <w:rFonts w:ascii="Monserrat" w:hAnsi="Monserrat"/>
          <w:sz w:val="22"/>
          <w:szCs w:val="22"/>
          <w:lang w:val="es-ES"/>
        </w:rPr>
      </w:pPr>
    </w:p>
    <w:p w14:paraId="38D62FBC" w14:textId="65884626" w:rsidR="000D2FDC" w:rsidRPr="000D2FDC" w:rsidRDefault="000D2FDC" w:rsidP="000D2FDC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0D2FDC">
        <w:rPr>
          <w:rFonts w:ascii="Montserrat" w:hAnsi="Montserrat"/>
          <w:sz w:val="22"/>
          <w:szCs w:val="22"/>
        </w:rPr>
        <w:t>Durante el ejercicio 2021 se alcanzó un total de 53 proyectos interinstitucionales de una meta de 35 y 92 proyectos de investigación de una meta de 50. Sin embargo, debido al diseño del indicador y las variables que considera, la meta no se logró, es decir, se alcanzó .57 de .70 aunque ambas metas se superen de forma individual. En cuanto a los registros de obras se cumplió con la meta.</w:t>
      </w:r>
    </w:p>
    <w:p w14:paraId="0BF21458" w14:textId="77777777" w:rsidR="000D2FDC" w:rsidRPr="000D2FDC" w:rsidRDefault="000D2FDC" w:rsidP="000D2FDC">
      <w:pPr>
        <w:spacing w:line="276" w:lineRule="auto"/>
        <w:jc w:val="both"/>
        <w:rPr>
          <w:rFonts w:ascii="Montserrat" w:hAnsi="Montserrat"/>
          <w:b/>
          <w:bCs/>
          <w:sz w:val="22"/>
          <w:szCs w:val="22"/>
        </w:rPr>
      </w:pPr>
    </w:p>
    <w:p w14:paraId="61032DA9" w14:textId="563245D3" w:rsidR="000D2FDC" w:rsidRPr="000D2FDC" w:rsidRDefault="000D2FDC" w:rsidP="000D2FDC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 w:rsidRPr="000D2FDC">
        <w:rPr>
          <w:rFonts w:ascii="Montserrat" w:hAnsi="Montserrat"/>
          <w:b/>
          <w:bCs/>
          <w:sz w:val="22"/>
          <w:szCs w:val="22"/>
        </w:rPr>
        <w:t>Cuadro</w:t>
      </w:r>
      <w:r>
        <w:rPr>
          <w:rFonts w:ascii="Montserrat" w:hAnsi="Montserrat"/>
          <w:b/>
          <w:bCs/>
          <w:sz w:val="22"/>
          <w:szCs w:val="22"/>
        </w:rPr>
        <w:t>.</w:t>
      </w:r>
      <w:r w:rsidRPr="000D2FDC">
        <w:rPr>
          <w:rFonts w:ascii="Montserrat" w:hAnsi="Montserrat"/>
          <w:b/>
          <w:bCs/>
          <w:sz w:val="22"/>
          <w:szCs w:val="22"/>
        </w:rPr>
        <w:t xml:space="preserve"> </w:t>
      </w:r>
      <w:r w:rsidRPr="000D2FDC">
        <w:rPr>
          <w:rFonts w:ascii="Montserrat" w:hAnsi="Montserrat"/>
          <w:sz w:val="22"/>
          <w:szCs w:val="22"/>
        </w:rPr>
        <w:t>Desempeño de los indicadores Proyectos Interinstitucionales, Derechos de autor y Transferencia de Tecnología en ECOSUR 2021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784"/>
        <w:gridCol w:w="2336"/>
        <w:gridCol w:w="2472"/>
        <w:gridCol w:w="1311"/>
        <w:gridCol w:w="925"/>
      </w:tblGrid>
      <w:tr w:rsidR="000D2FDC" w:rsidRPr="000D2FDC" w14:paraId="1973A861" w14:textId="77777777" w:rsidTr="0042371A">
        <w:trPr>
          <w:trHeight w:val="498"/>
        </w:trPr>
        <w:tc>
          <w:tcPr>
            <w:tcW w:w="0" w:type="auto"/>
            <w:shd w:val="clear" w:color="auto" w:fill="D9D9D9"/>
            <w:vAlign w:val="center"/>
          </w:tcPr>
          <w:p w14:paraId="51FBA75A" w14:textId="77777777" w:rsidR="000D2FDC" w:rsidRPr="000D2FDC" w:rsidRDefault="000D2FDC" w:rsidP="000D2FDC">
            <w:pPr>
              <w:jc w:val="both"/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</w:pPr>
            <w:r w:rsidRPr="000D2FDC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>Programa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E50044F" w14:textId="77777777" w:rsidR="000D2FDC" w:rsidRPr="000D2FDC" w:rsidRDefault="000D2FDC" w:rsidP="000D2FDC">
            <w:pPr>
              <w:jc w:val="both"/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</w:pPr>
            <w:r w:rsidRPr="000D2FDC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>Indicador</w:t>
            </w:r>
          </w:p>
        </w:tc>
        <w:tc>
          <w:tcPr>
            <w:tcW w:w="3258" w:type="dxa"/>
            <w:shd w:val="clear" w:color="auto" w:fill="D9D9D9"/>
            <w:vAlign w:val="center"/>
          </w:tcPr>
          <w:p w14:paraId="1EC211A9" w14:textId="77777777" w:rsidR="000D2FDC" w:rsidRPr="000D2FDC" w:rsidRDefault="000D2FDC" w:rsidP="000D2FDC">
            <w:pPr>
              <w:jc w:val="both"/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</w:pPr>
            <w:r w:rsidRPr="000D2FDC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>Unidad de medida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162C3466" w14:textId="77777777" w:rsidR="000D2FDC" w:rsidRPr="000D2FDC" w:rsidRDefault="000D2FDC" w:rsidP="000D2FDC">
            <w:pPr>
              <w:jc w:val="both"/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</w:pPr>
            <w:r w:rsidRPr="000D2FDC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>Alcanzado 2021</w:t>
            </w:r>
          </w:p>
        </w:tc>
        <w:tc>
          <w:tcPr>
            <w:tcW w:w="1036" w:type="dxa"/>
            <w:shd w:val="clear" w:color="auto" w:fill="D9D9D9"/>
            <w:vAlign w:val="center"/>
          </w:tcPr>
          <w:p w14:paraId="38E2E2C7" w14:textId="77777777" w:rsidR="000D2FDC" w:rsidRPr="000D2FDC" w:rsidRDefault="000D2FDC" w:rsidP="000D2FDC">
            <w:pPr>
              <w:jc w:val="both"/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</w:pPr>
            <w:r w:rsidRPr="000D2FDC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>Meta</w:t>
            </w:r>
          </w:p>
          <w:p w14:paraId="7322CF32" w14:textId="77777777" w:rsidR="000D2FDC" w:rsidRPr="000D2FDC" w:rsidRDefault="000D2FDC" w:rsidP="000D2FDC">
            <w:pPr>
              <w:jc w:val="both"/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</w:pPr>
            <w:r w:rsidRPr="000D2FDC">
              <w:rPr>
                <w:rFonts w:ascii="Montserrat" w:hAnsi="Montserrat"/>
                <w:b/>
                <w:bCs/>
                <w:sz w:val="20"/>
                <w:szCs w:val="20"/>
                <w:lang w:val="es-ES"/>
              </w:rPr>
              <w:t>2021</w:t>
            </w:r>
          </w:p>
        </w:tc>
      </w:tr>
      <w:tr w:rsidR="000D2FDC" w:rsidRPr="000D2FDC" w14:paraId="2CE56D80" w14:textId="77777777" w:rsidTr="000D2FDC">
        <w:trPr>
          <w:trHeight w:val="985"/>
        </w:trPr>
        <w:tc>
          <w:tcPr>
            <w:tcW w:w="0" w:type="auto"/>
            <w:vMerge w:val="restart"/>
          </w:tcPr>
          <w:p w14:paraId="050F446B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0D626117" w14:textId="77777777" w:rsid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35C072AC" w14:textId="575FB2FC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0D2FDC">
              <w:rPr>
                <w:rFonts w:ascii="Montserrat" w:hAnsi="Montserrat"/>
                <w:sz w:val="22"/>
                <w:szCs w:val="22"/>
                <w:lang w:val="es-ES"/>
              </w:rPr>
              <w:t>Vinculación</w:t>
            </w:r>
          </w:p>
        </w:tc>
        <w:tc>
          <w:tcPr>
            <w:tcW w:w="0" w:type="auto"/>
            <w:vMerge w:val="restart"/>
          </w:tcPr>
          <w:p w14:paraId="3D3D499E" w14:textId="77777777" w:rsid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2F51275C" w14:textId="77777777" w:rsid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32FBF3FF" w14:textId="733E124E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0D2FDC">
              <w:rPr>
                <w:rFonts w:ascii="Montserrat" w:hAnsi="Montserrat"/>
                <w:sz w:val="22"/>
                <w:szCs w:val="22"/>
                <w:lang w:val="es-ES"/>
              </w:rPr>
              <w:t>Proyectos interinstitucionales</w:t>
            </w:r>
          </w:p>
        </w:tc>
        <w:tc>
          <w:tcPr>
            <w:tcW w:w="3258" w:type="dxa"/>
            <w:vAlign w:val="center"/>
          </w:tcPr>
          <w:p w14:paraId="06CC4A5E" w14:textId="77777777" w:rsidR="000D2FDC" w:rsidRPr="000D2FDC" w:rsidRDefault="000D2FDC" w:rsidP="000D2FDC">
            <w:pPr>
              <w:jc w:val="both"/>
              <w:rPr>
                <w:rFonts w:ascii="Montserrat" w:hAnsi="Montserrat"/>
                <w:sz w:val="10"/>
                <w:szCs w:val="10"/>
                <w:lang w:val="es-ES"/>
              </w:rPr>
            </w:pPr>
            <w:r w:rsidRPr="000D2FDC">
              <w:rPr>
                <w:rFonts w:ascii="Montserrat" w:hAnsi="Montserrat"/>
                <w:sz w:val="10"/>
                <w:szCs w:val="10"/>
                <w:lang w:val="es-ES"/>
              </w:rPr>
              <w:t>No. de proyectos interinstitucionales</w:t>
            </w:r>
          </w:p>
        </w:tc>
        <w:tc>
          <w:tcPr>
            <w:tcW w:w="1134" w:type="dxa"/>
            <w:vAlign w:val="center"/>
          </w:tcPr>
          <w:p w14:paraId="664DAB9F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0D2FDC">
              <w:rPr>
                <w:rFonts w:ascii="Montserrat" w:hAnsi="Montserrat"/>
                <w:sz w:val="22"/>
                <w:szCs w:val="22"/>
                <w:lang w:val="es-ES"/>
              </w:rPr>
              <w:t>53</w:t>
            </w:r>
          </w:p>
        </w:tc>
        <w:tc>
          <w:tcPr>
            <w:tcW w:w="1036" w:type="dxa"/>
            <w:vAlign w:val="center"/>
          </w:tcPr>
          <w:p w14:paraId="4CBDEACC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0D2FDC">
              <w:rPr>
                <w:rFonts w:ascii="Montserrat" w:hAnsi="Montserrat"/>
                <w:sz w:val="22"/>
                <w:szCs w:val="22"/>
                <w:lang w:val="es-ES"/>
              </w:rPr>
              <w:t>35</w:t>
            </w:r>
          </w:p>
        </w:tc>
      </w:tr>
      <w:tr w:rsidR="000D2FDC" w:rsidRPr="000D2FDC" w14:paraId="5B9F0453" w14:textId="77777777" w:rsidTr="000D2FDC">
        <w:trPr>
          <w:trHeight w:val="265"/>
        </w:trPr>
        <w:tc>
          <w:tcPr>
            <w:tcW w:w="0" w:type="auto"/>
            <w:vMerge/>
            <w:tcBorders>
              <w:top w:val="nil"/>
            </w:tcBorders>
          </w:tcPr>
          <w:p w14:paraId="78A695B9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29CACC53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  <w:tc>
          <w:tcPr>
            <w:tcW w:w="3258" w:type="dxa"/>
          </w:tcPr>
          <w:p w14:paraId="640D5834" w14:textId="77777777" w:rsidR="000D2FDC" w:rsidRPr="000D2FDC" w:rsidRDefault="000D2FDC" w:rsidP="000D2FDC">
            <w:pPr>
              <w:jc w:val="both"/>
              <w:rPr>
                <w:rFonts w:ascii="Montserrat" w:hAnsi="Montserrat"/>
                <w:sz w:val="10"/>
                <w:szCs w:val="10"/>
                <w:lang w:val="es-ES"/>
              </w:rPr>
            </w:pPr>
            <w:r w:rsidRPr="000D2FDC">
              <w:rPr>
                <w:rFonts w:ascii="Montserrat" w:hAnsi="Montserrat"/>
                <w:sz w:val="10"/>
                <w:szCs w:val="10"/>
                <w:lang w:val="es-ES"/>
              </w:rPr>
              <w:t>No. de proyectos de investigación</w:t>
            </w:r>
          </w:p>
        </w:tc>
        <w:tc>
          <w:tcPr>
            <w:tcW w:w="1134" w:type="dxa"/>
            <w:vAlign w:val="center"/>
          </w:tcPr>
          <w:p w14:paraId="6EFDAABD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0D2FDC">
              <w:rPr>
                <w:rFonts w:ascii="Montserrat" w:hAnsi="Montserrat"/>
                <w:sz w:val="22"/>
                <w:szCs w:val="22"/>
                <w:lang w:val="es-ES"/>
              </w:rPr>
              <w:t>92</w:t>
            </w:r>
          </w:p>
        </w:tc>
        <w:tc>
          <w:tcPr>
            <w:tcW w:w="1036" w:type="dxa"/>
            <w:vAlign w:val="center"/>
          </w:tcPr>
          <w:p w14:paraId="148C0B6D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0D2FDC">
              <w:rPr>
                <w:rFonts w:ascii="Montserrat" w:hAnsi="Montserrat"/>
                <w:sz w:val="22"/>
                <w:szCs w:val="22"/>
                <w:lang w:val="es-ES"/>
              </w:rPr>
              <w:t>50</w:t>
            </w:r>
          </w:p>
        </w:tc>
      </w:tr>
      <w:tr w:rsidR="000D2FDC" w:rsidRPr="000D2FDC" w14:paraId="24080AA8" w14:textId="77777777" w:rsidTr="000D2FDC">
        <w:trPr>
          <w:trHeight w:val="299"/>
        </w:trPr>
        <w:tc>
          <w:tcPr>
            <w:tcW w:w="0" w:type="auto"/>
            <w:vMerge/>
            <w:tcBorders>
              <w:top w:val="nil"/>
            </w:tcBorders>
          </w:tcPr>
          <w:p w14:paraId="7E75D909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0A143C43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  <w:tc>
          <w:tcPr>
            <w:tcW w:w="3258" w:type="dxa"/>
            <w:shd w:val="clear" w:color="auto" w:fill="E7E6E6" w:themeFill="background2"/>
          </w:tcPr>
          <w:p w14:paraId="455891E8" w14:textId="77777777" w:rsidR="000D2FDC" w:rsidRPr="000D2FDC" w:rsidRDefault="000D2FDC" w:rsidP="000D2FDC">
            <w:pPr>
              <w:jc w:val="both"/>
              <w:rPr>
                <w:rFonts w:ascii="Montserrat" w:hAnsi="Montserrat"/>
                <w:sz w:val="10"/>
                <w:szCs w:val="10"/>
                <w:lang w:val="es-ES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71E25AA1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0D2FDC">
              <w:rPr>
                <w:rFonts w:ascii="Montserrat" w:hAnsi="Montserrat"/>
                <w:sz w:val="22"/>
                <w:szCs w:val="22"/>
                <w:lang w:val="es-ES"/>
              </w:rPr>
              <w:t>0.58</w:t>
            </w:r>
          </w:p>
        </w:tc>
        <w:tc>
          <w:tcPr>
            <w:tcW w:w="1036" w:type="dxa"/>
            <w:shd w:val="clear" w:color="auto" w:fill="E7E6E6" w:themeFill="background2"/>
            <w:vAlign w:val="center"/>
          </w:tcPr>
          <w:p w14:paraId="13BBBB2B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0D2FDC">
              <w:rPr>
                <w:rFonts w:ascii="Montserrat" w:hAnsi="Montserrat"/>
                <w:sz w:val="22"/>
                <w:szCs w:val="22"/>
                <w:lang w:val="es-ES"/>
              </w:rPr>
              <w:t>0.70</w:t>
            </w:r>
          </w:p>
        </w:tc>
      </w:tr>
      <w:tr w:rsidR="000D2FDC" w:rsidRPr="000D2FDC" w14:paraId="0F0C7F1E" w14:textId="77777777" w:rsidTr="000D2FDC">
        <w:trPr>
          <w:trHeight w:val="1216"/>
        </w:trPr>
        <w:tc>
          <w:tcPr>
            <w:tcW w:w="0" w:type="auto"/>
            <w:vMerge w:val="restart"/>
          </w:tcPr>
          <w:p w14:paraId="638DA50C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4C01AB47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7714AE89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6F78C59D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0741FE04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09BA9B2D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20A08F98" w14:textId="77777777" w:rsidR="000D2FDC" w:rsidRPr="000D2FDC" w:rsidRDefault="000D2FDC" w:rsidP="000D2FDC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0D2FDC">
              <w:rPr>
                <w:rFonts w:ascii="Montserrat" w:hAnsi="Montserrat"/>
                <w:sz w:val="22"/>
                <w:szCs w:val="22"/>
                <w:lang w:val="es-ES"/>
              </w:rPr>
              <w:t>Transferencia del Conocimiento e Innovación</w:t>
            </w:r>
          </w:p>
        </w:tc>
        <w:tc>
          <w:tcPr>
            <w:tcW w:w="0" w:type="auto"/>
            <w:vMerge w:val="restart"/>
          </w:tcPr>
          <w:p w14:paraId="4AB18320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1700325A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7D98645C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537CDE95" w14:textId="77777777" w:rsidR="000D2FDC" w:rsidRPr="000D2FDC" w:rsidRDefault="000D2FDC" w:rsidP="000D2FDC">
            <w:pPr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0D2FDC">
              <w:rPr>
                <w:rFonts w:ascii="Montserrat" w:hAnsi="Montserrat"/>
                <w:sz w:val="22"/>
                <w:szCs w:val="22"/>
                <w:lang w:val="es-ES"/>
              </w:rPr>
              <w:t>Transferencia de conocimiento</w:t>
            </w:r>
          </w:p>
        </w:tc>
        <w:tc>
          <w:tcPr>
            <w:tcW w:w="3258" w:type="dxa"/>
          </w:tcPr>
          <w:p w14:paraId="7873EB7E" w14:textId="77777777" w:rsidR="000D2FDC" w:rsidRPr="000D2FDC" w:rsidRDefault="000D2FDC" w:rsidP="000D2FDC">
            <w:pPr>
              <w:jc w:val="both"/>
              <w:rPr>
                <w:rFonts w:ascii="Montserrat" w:hAnsi="Montserrat"/>
                <w:sz w:val="10"/>
                <w:szCs w:val="10"/>
                <w:lang w:val="es-ES"/>
              </w:rPr>
            </w:pPr>
            <w:r w:rsidRPr="000D2FDC">
              <w:rPr>
                <w:rFonts w:ascii="Montserrat" w:hAnsi="Montserrat"/>
                <w:sz w:val="10"/>
                <w:szCs w:val="10"/>
                <w:lang w:val="es-ES"/>
              </w:rPr>
              <w:t>No. de contratos o convenios de transferencia de conocimiento, innovación tecnológica, social, económica o ambiental firmados vigentes alineados al PECITI en el año n</w:t>
            </w:r>
          </w:p>
        </w:tc>
        <w:tc>
          <w:tcPr>
            <w:tcW w:w="1134" w:type="dxa"/>
            <w:vAlign w:val="center"/>
          </w:tcPr>
          <w:p w14:paraId="121E3A29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0D2FDC">
              <w:rPr>
                <w:rFonts w:ascii="Montserrat" w:hAnsi="Montserrat"/>
                <w:sz w:val="22"/>
                <w:szCs w:val="22"/>
                <w:lang w:val="es-ES"/>
              </w:rPr>
              <w:t>26</w:t>
            </w:r>
          </w:p>
        </w:tc>
        <w:tc>
          <w:tcPr>
            <w:tcW w:w="1036" w:type="dxa"/>
            <w:vAlign w:val="center"/>
          </w:tcPr>
          <w:p w14:paraId="2CA9F443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0D2FDC">
              <w:rPr>
                <w:rFonts w:ascii="Montserrat" w:hAnsi="Montserrat"/>
                <w:sz w:val="22"/>
                <w:szCs w:val="22"/>
                <w:lang w:val="es-ES"/>
              </w:rPr>
              <w:t>25</w:t>
            </w:r>
          </w:p>
        </w:tc>
      </w:tr>
      <w:tr w:rsidR="000D2FDC" w:rsidRPr="000D2FDC" w14:paraId="0DC8E20D" w14:textId="77777777" w:rsidTr="000D2FDC">
        <w:trPr>
          <w:trHeight w:val="1137"/>
        </w:trPr>
        <w:tc>
          <w:tcPr>
            <w:tcW w:w="0" w:type="auto"/>
            <w:vMerge/>
            <w:tcBorders>
              <w:top w:val="nil"/>
            </w:tcBorders>
          </w:tcPr>
          <w:p w14:paraId="6D754E07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483F6238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  <w:tc>
          <w:tcPr>
            <w:tcW w:w="3258" w:type="dxa"/>
          </w:tcPr>
          <w:p w14:paraId="42A7EBF7" w14:textId="77777777" w:rsidR="000D2FDC" w:rsidRPr="000D2FDC" w:rsidRDefault="000D2FDC" w:rsidP="000D2FDC">
            <w:pPr>
              <w:jc w:val="both"/>
              <w:rPr>
                <w:rFonts w:ascii="Montserrat" w:hAnsi="Montserrat"/>
                <w:sz w:val="10"/>
                <w:szCs w:val="10"/>
                <w:lang w:val="es-ES"/>
              </w:rPr>
            </w:pPr>
            <w:r w:rsidRPr="000D2FDC">
              <w:rPr>
                <w:rFonts w:ascii="Montserrat" w:hAnsi="Montserrat"/>
                <w:sz w:val="10"/>
                <w:szCs w:val="10"/>
                <w:lang w:val="es-ES"/>
              </w:rPr>
              <w:t>No. de contratos o convenios de transferencia de conocimiento, innovación tecnológica, social, económica o ambiental firmados vigentes alineados al PECITI en el año n-1</w:t>
            </w:r>
          </w:p>
        </w:tc>
        <w:tc>
          <w:tcPr>
            <w:tcW w:w="1134" w:type="dxa"/>
            <w:vAlign w:val="center"/>
          </w:tcPr>
          <w:p w14:paraId="3F14329B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0D2FDC">
              <w:rPr>
                <w:rFonts w:ascii="Montserrat" w:hAnsi="Montserrat"/>
                <w:sz w:val="22"/>
                <w:szCs w:val="22"/>
                <w:lang w:val="es-ES"/>
              </w:rPr>
              <w:t>8</w:t>
            </w:r>
          </w:p>
        </w:tc>
        <w:tc>
          <w:tcPr>
            <w:tcW w:w="1036" w:type="dxa"/>
            <w:vAlign w:val="center"/>
          </w:tcPr>
          <w:p w14:paraId="04E62FEA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0D2FDC">
              <w:rPr>
                <w:rFonts w:ascii="Montserrat" w:hAnsi="Montserrat"/>
                <w:sz w:val="22"/>
                <w:szCs w:val="22"/>
                <w:lang w:val="es-ES"/>
              </w:rPr>
              <w:t>8</w:t>
            </w:r>
          </w:p>
        </w:tc>
      </w:tr>
      <w:tr w:rsidR="000D2FDC" w:rsidRPr="000D2FDC" w14:paraId="47F7498A" w14:textId="77777777" w:rsidTr="000D2FDC">
        <w:trPr>
          <w:trHeight w:val="299"/>
        </w:trPr>
        <w:tc>
          <w:tcPr>
            <w:tcW w:w="0" w:type="auto"/>
            <w:vMerge/>
            <w:tcBorders>
              <w:top w:val="nil"/>
            </w:tcBorders>
          </w:tcPr>
          <w:p w14:paraId="6E94CF7B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5DE89BD1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  <w:tc>
          <w:tcPr>
            <w:tcW w:w="3258" w:type="dxa"/>
            <w:shd w:val="clear" w:color="auto" w:fill="E7E6E6" w:themeFill="background2"/>
          </w:tcPr>
          <w:p w14:paraId="3FAE7DC3" w14:textId="77777777" w:rsidR="000D2FDC" w:rsidRPr="000D2FDC" w:rsidRDefault="000D2FDC" w:rsidP="000D2FDC">
            <w:pPr>
              <w:jc w:val="both"/>
              <w:rPr>
                <w:rFonts w:ascii="Montserrat" w:hAnsi="Montserrat"/>
                <w:sz w:val="10"/>
                <w:szCs w:val="10"/>
                <w:lang w:val="es-ES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241B7DB4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0D2FDC">
              <w:rPr>
                <w:rFonts w:ascii="Montserrat" w:hAnsi="Montserrat"/>
                <w:sz w:val="22"/>
                <w:szCs w:val="22"/>
                <w:lang w:val="es-ES"/>
              </w:rPr>
              <w:t>3.25</w:t>
            </w:r>
          </w:p>
        </w:tc>
        <w:tc>
          <w:tcPr>
            <w:tcW w:w="1036" w:type="dxa"/>
            <w:shd w:val="clear" w:color="auto" w:fill="E7E6E6" w:themeFill="background2"/>
            <w:vAlign w:val="center"/>
          </w:tcPr>
          <w:p w14:paraId="4DB23064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0D2FDC">
              <w:rPr>
                <w:rFonts w:ascii="Montserrat" w:hAnsi="Montserrat"/>
                <w:sz w:val="22"/>
                <w:szCs w:val="22"/>
                <w:lang w:val="es-ES"/>
              </w:rPr>
              <w:t>3.13</w:t>
            </w:r>
          </w:p>
        </w:tc>
      </w:tr>
      <w:tr w:rsidR="000D2FDC" w:rsidRPr="000D2FDC" w14:paraId="2A03C37C" w14:textId="77777777" w:rsidTr="000D2FDC">
        <w:trPr>
          <w:trHeight w:val="669"/>
        </w:trPr>
        <w:tc>
          <w:tcPr>
            <w:tcW w:w="0" w:type="auto"/>
            <w:vMerge/>
            <w:tcBorders>
              <w:top w:val="nil"/>
            </w:tcBorders>
          </w:tcPr>
          <w:p w14:paraId="74CD0B78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 w:val="restart"/>
          </w:tcPr>
          <w:p w14:paraId="4792C6CE" w14:textId="77777777" w:rsid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793E00B6" w14:textId="24D2D71A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0D2FDC">
              <w:rPr>
                <w:rFonts w:ascii="Montserrat" w:hAnsi="Montserrat"/>
                <w:sz w:val="22"/>
                <w:szCs w:val="22"/>
                <w:lang w:val="es-ES"/>
              </w:rPr>
              <w:t>Propiedad intelectual</w:t>
            </w:r>
          </w:p>
        </w:tc>
        <w:tc>
          <w:tcPr>
            <w:tcW w:w="3258" w:type="dxa"/>
            <w:vAlign w:val="center"/>
          </w:tcPr>
          <w:p w14:paraId="5AAE4BB7" w14:textId="77777777" w:rsidR="000D2FDC" w:rsidRPr="000D2FDC" w:rsidRDefault="000D2FDC" w:rsidP="000D2FDC">
            <w:pPr>
              <w:jc w:val="both"/>
              <w:rPr>
                <w:rFonts w:ascii="Montserrat" w:hAnsi="Montserrat"/>
                <w:sz w:val="10"/>
                <w:szCs w:val="10"/>
                <w:lang w:val="es-ES"/>
              </w:rPr>
            </w:pPr>
            <w:r w:rsidRPr="000D2FDC">
              <w:rPr>
                <w:rFonts w:ascii="Montserrat" w:hAnsi="Montserrat"/>
                <w:sz w:val="10"/>
                <w:szCs w:val="10"/>
                <w:lang w:val="es-ES"/>
              </w:rPr>
              <w:t>No. de derechos de autor en el año n</w:t>
            </w:r>
          </w:p>
        </w:tc>
        <w:tc>
          <w:tcPr>
            <w:tcW w:w="1134" w:type="dxa"/>
            <w:vAlign w:val="center"/>
          </w:tcPr>
          <w:p w14:paraId="6B9B8039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4792F541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0D2FDC">
              <w:rPr>
                <w:rFonts w:ascii="Montserrat" w:hAnsi="Montserrat"/>
                <w:sz w:val="22"/>
                <w:szCs w:val="22"/>
                <w:lang w:val="es-ES"/>
              </w:rPr>
              <w:t>18</w:t>
            </w:r>
          </w:p>
        </w:tc>
        <w:tc>
          <w:tcPr>
            <w:tcW w:w="1036" w:type="dxa"/>
            <w:vAlign w:val="center"/>
          </w:tcPr>
          <w:p w14:paraId="6BD7A3D7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4AB55828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0D2FDC">
              <w:rPr>
                <w:rFonts w:ascii="Montserrat" w:hAnsi="Montserrat"/>
                <w:sz w:val="22"/>
                <w:szCs w:val="22"/>
                <w:lang w:val="es-ES"/>
              </w:rPr>
              <w:t>18</w:t>
            </w:r>
          </w:p>
        </w:tc>
      </w:tr>
      <w:tr w:rsidR="000D2FDC" w:rsidRPr="000D2FDC" w14:paraId="6E43D5D9" w14:textId="77777777" w:rsidTr="0042371A">
        <w:trPr>
          <w:trHeight w:val="564"/>
        </w:trPr>
        <w:tc>
          <w:tcPr>
            <w:tcW w:w="0" w:type="auto"/>
            <w:vMerge/>
            <w:tcBorders>
              <w:top w:val="nil"/>
            </w:tcBorders>
          </w:tcPr>
          <w:p w14:paraId="6D6F346D" w14:textId="77777777" w:rsidR="000D2FDC" w:rsidRPr="000D2FDC" w:rsidRDefault="000D2FDC" w:rsidP="000D2FDC">
            <w:pPr>
              <w:jc w:val="both"/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5E3B2545" w14:textId="77777777" w:rsidR="000D2FDC" w:rsidRPr="000D2FDC" w:rsidRDefault="000D2FDC" w:rsidP="000D2FDC">
            <w:pPr>
              <w:jc w:val="both"/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  <w:tc>
          <w:tcPr>
            <w:tcW w:w="3258" w:type="dxa"/>
          </w:tcPr>
          <w:p w14:paraId="1E11A2A8" w14:textId="77777777" w:rsidR="000D2FDC" w:rsidRPr="000D2FDC" w:rsidRDefault="000D2FDC" w:rsidP="000D2FDC">
            <w:pPr>
              <w:jc w:val="both"/>
              <w:rPr>
                <w:rFonts w:ascii="Montserrat" w:hAnsi="Montserrat"/>
                <w:sz w:val="10"/>
                <w:szCs w:val="10"/>
                <w:lang w:val="es-ES"/>
              </w:rPr>
            </w:pPr>
            <w:r w:rsidRPr="000D2FDC">
              <w:rPr>
                <w:rFonts w:ascii="Montserrat" w:hAnsi="Montserrat"/>
                <w:sz w:val="10"/>
                <w:szCs w:val="10"/>
                <w:lang w:val="es-ES"/>
              </w:rPr>
              <w:t>No. de derechos de autor en el año n-1</w:t>
            </w:r>
          </w:p>
        </w:tc>
        <w:tc>
          <w:tcPr>
            <w:tcW w:w="1134" w:type="dxa"/>
            <w:vAlign w:val="center"/>
          </w:tcPr>
          <w:p w14:paraId="2599D1A9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190D16F0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0D2FDC">
              <w:rPr>
                <w:rFonts w:ascii="Montserrat" w:hAnsi="Montserrat"/>
                <w:sz w:val="22"/>
                <w:szCs w:val="22"/>
                <w:lang w:val="es-ES"/>
              </w:rPr>
              <w:t>4</w:t>
            </w:r>
          </w:p>
        </w:tc>
        <w:tc>
          <w:tcPr>
            <w:tcW w:w="1036" w:type="dxa"/>
            <w:vAlign w:val="center"/>
          </w:tcPr>
          <w:p w14:paraId="2635C729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</w:p>
          <w:p w14:paraId="78263ECA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0D2FDC">
              <w:rPr>
                <w:rFonts w:ascii="Montserrat" w:hAnsi="Montserrat"/>
                <w:sz w:val="22"/>
                <w:szCs w:val="22"/>
                <w:lang w:val="es-ES"/>
              </w:rPr>
              <w:t>4</w:t>
            </w:r>
          </w:p>
        </w:tc>
      </w:tr>
      <w:tr w:rsidR="000D2FDC" w:rsidRPr="000D2FDC" w14:paraId="3785766D" w14:textId="77777777" w:rsidTr="0042371A">
        <w:trPr>
          <w:trHeight w:val="299"/>
        </w:trPr>
        <w:tc>
          <w:tcPr>
            <w:tcW w:w="0" w:type="auto"/>
            <w:vMerge/>
            <w:tcBorders>
              <w:top w:val="nil"/>
            </w:tcBorders>
          </w:tcPr>
          <w:p w14:paraId="3B6FD972" w14:textId="77777777" w:rsidR="000D2FDC" w:rsidRPr="000D2FDC" w:rsidRDefault="000D2FDC" w:rsidP="000D2FDC">
            <w:pPr>
              <w:jc w:val="both"/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4CF5CEBE" w14:textId="77777777" w:rsidR="000D2FDC" w:rsidRPr="000D2FDC" w:rsidRDefault="000D2FDC" w:rsidP="000D2FDC">
            <w:pPr>
              <w:jc w:val="both"/>
              <w:rPr>
                <w:rFonts w:ascii="Montserrat" w:hAnsi="Montserrat"/>
                <w:sz w:val="22"/>
                <w:szCs w:val="22"/>
                <w:lang w:val="en-US"/>
              </w:rPr>
            </w:pPr>
          </w:p>
        </w:tc>
        <w:tc>
          <w:tcPr>
            <w:tcW w:w="3258" w:type="dxa"/>
            <w:tcBorders>
              <w:bottom w:val="single" w:sz="4" w:space="0" w:color="000000"/>
            </w:tcBorders>
            <w:shd w:val="clear" w:color="auto" w:fill="E7E6E6" w:themeFill="background2"/>
          </w:tcPr>
          <w:p w14:paraId="0D09312F" w14:textId="77777777" w:rsidR="000D2FDC" w:rsidRPr="000D2FDC" w:rsidRDefault="000D2FDC" w:rsidP="000D2FDC">
            <w:pPr>
              <w:jc w:val="both"/>
              <w:rPr>
                <w:rFonts w:ascii="Montserrat" w:hAnsi="Montserrat"/>
                <w:sz w:val="10"/>
                <w:szCs w:val="10"/>
                <w:lang w:val="es-ES"/>
              </w:rPr>
            </w:pP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14:paraId="34B0899A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0D2FDC">
              <w:rPr>
                <w:rFonts w:ascii="Montserrat" w:hAnsi="Montserrat"/>
                <w:sz w:val="22"/>
                <w:szCs w:val="22"/>
                <w:lang w:val="es-ES"/>
              </w:rPr>
              <w:t>4.50</w:t>
            </w:r>
          </w:p>
        </w:tc>
        <w:tc>
          <w:tcPr>
            <w:tcW w:w="1036" w:type="dxa"/>
            <w:shd w:val="clear" w:color="auto" w:fill="E7E6E6" w:themeFill="background2"/>
            <w:vAlign w:val="center"/>
          </w:tcPr>
          <w:p w14:paraId="739BB541" w14:textId="77777777" w:rsidR="000D2FDC" w:rsidRPr="000D2FDC" w:rsidRDefault="000D2FDC" w:rsidP="000D2FDC">
            <w:pPr>
              <w:jc w:val="center"/>
              <w:rPr>
                <w:rFonts w:ascii="Montserrat" w:hAnsi="Montserrat"/>
                <w:sz w:val="22"/>
                <w:szCs w:val="22"/>
                <w:lang w:val="es-ES"/>
              </w:rPr>
            </w:pPr>
            <w:r w:rsidRPr="000D2FDC">
              <w:rPr>
                <w:rFonts w:ascii="Montserrat" w:hAnsi="Montserrat"/>
                <w:sz w:val="22"/>
                <w:szCs w:val="22"/>
                <w:lang w:val="es-ES"/>
              </w:rPr>
              <w:t>4.50</w:t>
            </w:r>
          </w:p>
        </w:tc>
      </w:tr>
    </w:tbl>
    <w:p w14:paraId="161CF829" w14:textId="77777777" w:rsidR="000D2FDC" w:rsidRPr="000D2FDC" w:rsidRDefault="000D2FDC" w:rsidP="000D2FDC">
      <w:pPr>
        <w:spacing w:line="276" w:lineRule="auto"/>
        <w:jc w:val="both"/>
        <w:rPr>
          <w:rFonts w:ascii="Montserrat" w:hAnsi="Montserrat"/>
          <w:b/>
          <w:bCs/>
          <w:sz w:val="22"/>
          <w:szCs w:val="22"/>
        </w:rPr>
      </w:pPr>
    </w:p>
    <w:p w14:paraId="034553FF" w14:textId="77777777" w:rsidR="000D2FDC" w:rsidRDefault="000D2FDC" w:rsidP="000D2FDC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 w:rsidRPr="648CE17C">
        <w:rPr>
          <w:rFonts w:ascii="Montserrat" w:hAnsi="Montserrat"/>
          <w:sz w:val="22"/>
          <w:szCs w:val="22"/>
        </w:rPr>
        <w:t xml:space="preserve">En lo referente al ingreso a convocatorias nacionales, desde principio de año, hemos trabajado con la Convocatoria de Extensionistas de CONAFOR y como resultado de las gestiones ante dicha institución, nuestra institución fue certificada con el proyecto “Aplicación de la tecnología </w:t>
      </w:r>
      <w:proofErr w:type="spellStart"/>
      <w:r w:rsidRPr="648CE17C">
        <w:rPr>
          <w:rFonts w:ascii="Montserrat" w:hAnsi="Montserrat"/>
          <w:sz w:val="22"/>
          <w:szCs w:val="22"/>
        </w:rPr>
        <w:t>FieldMap</w:t>
      </w:r>
      <w:proofErr w:type="spellEnd"/>
      <w:r w:rsidRPr="648CE17C">
        <w:rPr>
          <w:rFonts w:ascii="Montserrat" w:hAnsi="Montserrat"/>
          <w:sz w:val="22"/>
          <w:szCs w:val="22"/>
        </w:rPr>
        <w:t xml:space="preserve"> para el monitoreo de la dinámica de selvas productivas gestionadas con el Sistema Patrimonial de manejo forestal”.</w:t>
      </w:r>
    </w:p>
    <w:p w14:paraId="1C123140" w14:textId="1813FE87" w:rsidR="648CE17C" w:rsidRDefault="648CE17C" w:rsidP="648CE17C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14:paraId="3209CDFF" w14:textId="37E51127" w:rsidR="000D2FDC" w:rsidRPr="000D2FDC" w:rsidRDefault="000D2FDC" w:rsidP="000D2FDC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 w:rsidRPr="648CE17C">
        <w:rPr>
          <w:rFonts w:ascii="Montserrat" w:hAnsi="Montserrat"/>
          <w:sz w:val="22"/>
          <w:szCs w:val="22"/>
        </w:rPr>
        <w:t xml:space="preserve">Por otro lado, es importante mencionar </w:t>
      </w:r>
      <w:proofErr w:type="gramStart"/>
      <w:r w:rsidRPr="648CE17C">
        <w:rPr>
          <w:rFonts w:ascii="Montserrat" w:hAnsi="Montserrat"/>
          <w:sz w:val="22"/>
          <w:szCs w:val="22"/>
        </w:rPr>
        <w:t>que</w:t>
      </w:r>
      <w:proofErr w:type="gramEnd"/>
      <w:r w:rsidRPr="648CE17C">
        <w:rPr>
          <w:rFonts w:ascii="Montserrat" w:hAnsi="Montserrat"/>
          <w:sz w:val="22"/>
          <w:szCs w:val="22"/>
        </w:rPr>
        <w:t xml:space="preserve"> para incentivar la gestión de convenios y contratos, se programó del 17 al 21 de junio, una inducción al sistema de contratos y convenios, impartida por personal del área y de Infonomía, consistente en cinco sesiones de capacitación, el cual contó con 42 participantes.</w:t>
      </w:r>
    </w:p>
    <w:p w14:paraId="3D3078EB" w14:textId="77777777" w:rsidR="000D2FDC" w:rsidRPr="000D2FDC" w:rsidRDefault="000D2FDC" w:rsidP="000D2FDC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14:paraId="079B9B94" w14:textId="3D015515" w:rsidR="000D2FDC" w:rsidRPr="000D2FDC" w:rsidRDefault="000D2FDC" w:rsidP="000D2FDC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Se</w:t>
      </w:r>
      <w:r w:rsidRPr="000D2FDC">
        <w:rPr>
          <w:rFonts w:ascii="Montserrat" w:hAnsi="Montserrat"/>
          <w:sz w:val="22"/>
          <w:szCs w:val="22"/>
        </w:rPr>
        <w:t xml:space="preserve"> coordinó la realización del Primer Coloquio Nacional Virtual “Innovación y apropiación social de las tecnologías en México” realizado los días 29, 30 de noviembre y 1 de diciembre 2021, con las siguientes instituciones organizadoras: INECOL, CICY, CICESE, CIAD, CIBNOR, CIATEJ, COMIMSA e IPICYT. El objetivo fue incrementar la competitividad del ecosistema emprendedor e innovador a través de la transferencia de mejores prácticas del conocimiento, que busquen generar redes y sinergias que incrementen las capacidades de los centros públicos de investigación, así como formar recursos humanos.</w:t>
      </w:r>
    </w:p>
    <w:p w14:paraId="77AC25D3" w14:textId="77777777" w:rsidR="000D2FDC" w:rsidRPr="000D2FDC" w:rsidRDefault="000D2FDC" w:rsidP="000D2FDC">
      <w:pPr>
        <w:spacing w:line="276" w:lineRule="auto"/>
        <w:jc w:val="both"/>
        <w:rPr>
          <w:rFonts w:ascii="Montserrat" w:hAnsi="Montserrat"/>
          <w:sz w:val="22"/>
          <w:szCs w:val="22"/>
        </w:rPr>
      </w:pPr>
    </w:p>
    <w:p w14:paraId="2233FE2C" w14:textId="77777777" w:rsidR="000D2FDC" w:rsidRPr="000D2FDC" w:rsidRDefault="000D2FDC" w:rsidP="000D2FDC">
      <w:pPr>
        <w:spacing w:line="276" w:lineRule="auto"/>
        <w:jc w:val="both"/>
        <w:rPr>
          <w:rFonts w:ascii="Montserrat" w:hAnsi="Montserrat"/>
          <w:b/>
          <w:bCs/>
          <w:sz w:val="22"/>
          <w:szCs w:val="22"/>
        </w:rPr>
      </w:pPr>
      <w:r w:rsidRPr="000D2FDC">
        <w:rPr>
          <w:rFonts w:ascii="Montserrat" w:hAnsi="Montserrat"/>
          <w:b/>
          <w:bCs/>
          <w:sz w:val="22"/>
          <w:szCs w:val="22"/>
        </w:rPr>
        <w:t>Derechos de autor</w:t>
      </w:r>
    </w:p>
    <w:p w14:paraId="3FAAB4D4" w14:textId="77777777" w:rsidR="000D2FDC" w:rsidRPr="000D2FDC" w:rsidRDefault="000D2FDC" w:rsidP="000D2FDC">
      <w:pPr>
        <w:spacing w:line="276" w:lineRule="auto"/>
        <w:jc w:val="both"/>
        <w:rPr>
          <w:rFonts w:ascii="Montserrat" w:hAnsi="Montserrat"/>
          <w:b/>
          <w:bCs/>
          <w:sz w:val="22"/>
          <w:szCs w:val="22"/>
          <w:lang w:val="es-ES_tradnl"/>
        </w:rPr>
      </w:pPr>
    </w:p>
    <w:p w14:paraId="12E7F080" w14:textId="7C7288F5" w:rsidR="000D2FDC" w:rsidRPr="000D2FDC" w:rsidRDefault="000D2FDC" w:rsidP="000D2FDC">
      <w:pPr>
        <w:spacing w:line="276" w:lineRule="auto"/>
        <w:jc w:val="both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  <w:lang w:val="es-ES_tradnl"/>
        </w:rPr>
        <w:t xml:space="preserve">Se </w:t>
      </w:r>
      <w:r w:rsidRPr="000D2FDC">
        <w:rPr>
          <w:rFonts w:ascii="Montserrat" w:hAnsi="Montserrat"/>
          <w:sz w:val="22"/>
          <w:szCs w:val="22"/>
        </w:rPr>
        <w:t>registra</w:t>
      </w:r>
      <w:r>
        <w:rPr>
          <w:rFonts w:ascii="Montserrat" w:hAnsi="Montserrat"/>
          <w:sz w:val="22"/>
          <w:szCs w:val="22"/>
        </w:rPr>
        <w:t>ron</w:t>
      </w:r>
      <w:r w:rsidRPr="000D2FDC">
        <w:rPr>
          <w:rFonts w:ascii="Montserrat" w:hAnsi="Montserrat"/>
          <w:sz w:val="22"/>
          <w:szCs w:val="22"/>
        </w:rPr>
        <w:t xml:space="preserve"> 18 expedientes para realizar el estudio de forma y fondo respectivo, de los cuales se obtuvieron 12 registros para la Unidad San Cristóbal y 6 para la Unidad Chetumal</w:t>
      </w:r>
      <w:r>
        <w:rPr>
          <w:rFonts w:ascii="Montserrat" w:hAnsi="Montserrat"/>
          <w:sz w:val="22"/>
          <w:szCs w:val="22"/>
        </w:rPr>
        <w:t>.</w:t>
      </w:r>
    </w:p>
    <w:p w14:paraId="67021CEA" w14:textId="77777777" w:rsidR="000D2FDC" w:rsidRPr="000D2FDC" w:rsidRDefault="000D2FDC" w:rsidP="000D2FDC">
      <w:pPr>
        <w:spacing w:line="276" w:lineRule="auto"/>
        <w:jc w:val="both"/>
        <w:rPr>
          <w:rFonts w:ascii="Montserrat" w:hAnsi="Montserrat"/>
          <w:b/>
          <w:bCs/>
          <w:sz w:val="22"/>
          <w:szCs w:val="22"/>
        </w:rPr>
      </w:pPr>
    </w:p>
    <w:p w14:paraId="571C229C" w14:textId="77777777" w:rsidR="000D2FDC" w:rsidRPr="000D2FDC" w:rsidRDefault="000D2FDC" w:rsidP="000D2FDC">
      <w:pPr>
        <w:spacing w:line="276" w:lineRule="auto"/>
        <w:jc w:val="center"/>
        <w:rPr>
          <w:rFonts w:ascii="Montserrat" w:hAnsi="Montserrat"/>
          <w:b/>
          <w:bCs/>
          <w:sz w:val="22"/>
          <w:szCs w:val="22"/>
        </w:rPr>
      </w:pPr>
      <w:r w:rsidRPr="000D2FDC">
        <w:rPr>
          <w:rFonts w:ascii="Montserrat" w:hAnsi="Montserrat"/>
          <w:b/>
          <w:bCs/>
          <w:noProof/>
          <w:sz w:val="22"/>
          <w:szCs w:val="22"/>
        </w:rPr>
        <w:drawing>
          <wp:inline distT="0" distB="0" distL="0" distR="0" wp14:anchorId="75E9B21F" wp14:editId="2DCCB597">
            <wp:extent cx="3198211" cy="1527243"/>
            <wp:effectExtent l="0" t="0" r="0" b="0"/>
            <wp:docPr id="46" name="Gráfico 46">
              <a:extLst xmlns:a="http://schemas.openxmlformats.org/drawingml/2006/main">
                <a:ext uri="{FF2B5EF4-FFF2-40B4-BE49-F238E27FC236}">
                  <a16:creationId xmlns:a16="http://schemas.microsoft.com/office/drawing/2014/main" id="{2416D1CE-69A5-44B3-A72E-16235352CB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D68A032" w14:textId="17126492" w:rsidR="000D2FDC" w:rsidRPr="000D2FDC" w:rsidRDefault="000D2FDC" w:rsidP="000D2FDC">
      <w:pPr>
        <w:spacing w:line="276" w:lineRule="auto"/>
        <w:jc w:val="center"/>
        <w:rPr>
          <w:rFonts w:ascii="Montserrat" w:hAnsi="Montserrat"/>
          <w:sz w:val="22"/>
          <w:szCs w:val="22"/>
        </w:rPr>
      </w:pPr>
      <w:r w:rsidRPr="000D2FDC">
        <w:rPr>
          <w:rFonts w:ascii="Montserrat" w:hAnsi="Montserrat"/>
          <w:b/>
          <w:bCs/>
          <w:sz w:val="22"/>
          <w:szCs w:val="22"/>
        </w:rPr>
        <w:t xml:space="preserve">Figura. </w:t>
      </w:r>
      <w:r w:rsidRPr="000D2FDC">
        <w:rPr>
          <w:rFonts w:ascii="Montserrat" w:hAnsi="Montserrat"/>
          <w:sz w:val="22"/>
          <w:szCs w:val="22"/>
        </w:rPr>
        <w:t>Registro de obras ante INDAUTOR en ECOSUR 2021</w:t>
      </w:r>
    </w:p>
    <w:p w14:paraId="61D6A316" w14:textId="77777777" w:rsidR="000D2FDC" w:rsidRPr="000D2FDC" w:rsidRDefault="000D2FDC" w:rsidP="000D2FDC">
      <w:pPr>
        <w:spacing w:line="276" w:lineRule="auto"/>
        <w:jc w:val="both"/>
        <w:rPr>
          <w:rFonts w:ascii="Montserrat" w:hAnsi="Montserrat"/>
          <w:b/>
          <w:bCs/>
          <w:sz w:val="22"/>
          <w:szCs w:val="22"/>
        </w:rPr>
      </w:pPr>
    </w:p>
    <w:p w14:paraId="38CA7E3C" w14:textId="526FF57F" w:rsidR="00ED58FC" w:rsidRPr="000D2FDC" w:rsidRDefault="000D2FDC" w:rsidP="648CE17C">
      <w:pPr>
        <w:autoSpaceDE w:val="0"/>
        <w:autoSpaceDN w:val="0"/>
        <w:adjustRightInd w:val="0"/>
        <w:spacing w:line="276" w:lineRule="auto"/>
        <w:jc w:val="both"/>
        <w:rPr>
          <w:rFonts w:ascii="Montserrat" w:hAnsi="Montserrat"/>
          <w:sz w:val="22"/>
          <w:szCs w:val="22"/>
        </w:rPr>
      </w:pPr>
      <w:r w:rsidRPr="648CE17C">
        <w:rPr>
          <w:rFonts w:ascii="Montserrat" w:hAnsi="Montserrat"/>
          <w:sz w:val="22"/>
          <w:szCs w:val="22"/>
        </w:rPr>
        <w:t xml:space="preserve">Además, con el interés en promover la protección de las tecnologías generadas por personal académico, se coordinó la impartición del taller virtual “Registro de patentes y modelos de utilidad de productos de investigación” en colaboración con personal del CCYTET, durante los días 13 y 14 de octubre en el que participaron 17 personas. Se buscó proteger la invención del nuevo sistema mediante una patente y en diciembre 2021 se registró el modelo ante el IMPI con el número de solicitud 101168. </w:t>
      </w:r>
    </w:p>
    <w:sectPr w:rsidR="00ED58FC" w:rsidRPr="000D2FDC" w:rsidSect="00422F43">
      <w:headerReference w:type="default" r:id="rId8"/>
      <w:footerReference w:type="default" r:id="rId9"/>
      <w:pgSz w:w="12240" w:h="15840"/>
      <w:pgMar w:top="175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F068C" w14:textId="77777777" w:rsidR="00D266BA" w:rsidRDefault="00D266BA">
      <w:r>
        <w:separator/>
      </w:r>
    </w:p>
  </w:endnote>
  <w:endnote w:type="continuationSeparator" w:id="0">
    <w:p w14:paraId="77E2A641" w14:textId="77777777" w:rsidR="00D266BA" w:rsidRDefault="00D2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serrat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82D45" w14:textId="77777777" w:rsidR="003A63EB" w:rsidRPr="004C16DA" w:rsidRDefault="00D266BA" w:rsidP="003A63EB">
    <w:pPr>
      <w:pStyle w:val="Piedepgina"/>
      <w:jc w:val="center"/>
      <w:rPr>
        <w:rFonts w:ascii="Montserrat" w:eastAsia="Batang" w:hAnsi="Montserrat"/>
        <w:b/>
        <w:i/>
        <w:color w:val="A6A6A6"/>
        <w:sz w:val="18"/>
        <w:szCs w:val="18"/>
      </w:rPr>
    </w:pPr>
  </w:p>
  <w:p w14:paraId="2E1DAB53" w14:textId="03B940F4" w:rsidR="003A63EB" w:rsidRPr="004C16DA" w:rsidRDefault="005B251E" w:rsidP="003A63EB">
    <w:pPr>
      <w:pStyle w:val="Piedepgina"/>
      <w:jc w:val="center"/>
      <w:rPr>
        <w:rFonts w:ascii="Montserrat" w:eastAsia="Batang" w:hAnsi="Montserrat"/>
        <w:b/>
        <w:i/>
        <w:color w:val="A6A6A6"/>
        <w:sz w:val="18"/>
        <w:szCs w:val="18"/>
      </w:rPr>
    </w:pPr>
    <w:bookmarkStart w:id="0" w:name="_Hlk98413462"/>
    <w:r>
      <w:rPr>
        <w:rFonts w:ascii="Montserrat" w:eastAsia="Batang" w:hAnsi="Montserrat"/>
        <w:b/>
        <w:i/>
        <w:color w:val="A6A6A6"/>
        <w:sz w:val="18"/>
        <w:szCs w:val="18"/>
      </w:rPr>
      <w:t>Primera</w:t>
    </w:r>
    <w:r w:rsidR="00C96130" w:rsidRPr="004C16DA">
      <w:rPr>
        <w:rFonts w:ascii="Montserrat" w:eastAsia="Batang" w:hAnsi="Montserrat"/>
        <w:b/>
        <w:i/>
        <w:color w:val="A6A6A6"/>
        <w:sz w:val="18"/>
        <w:szCs w:val="18"/>
      </w:rPr>
      <w:t xml:space="preserve"> Sesión Ordinaria de la Junta de Gobierno 202</w:t>
    </w:r>
    <w:r>
      <w:rPr>
        <w:rFonts w:ascii="Montserrat" w:eastAsia="Batang" w:hAnsi="Montserrat"/>
        <w:b/>
        <w:i/>
        <w:color w:val="A6A6A6"/>
        <w:sz w:val="18"/>
        <w:szCs w:val="18"/>
      </w:rPr>
      <w:t>2</w:t>
    </w:r>
  </w:p>
  <w:bookmarkEnd w:id="0"/>
  <w:p w14:paraId="43426146" w14:textId="77777777" w:rsidR="003A63EB" w:rsidRDefault="00D266BA" w:rsidP="003A63EB">
    <w:pPr>
      <w:pStyle w:val="Piedepgina"/>
      <w:jc w:val="center"/>
    </w:pPr>
  </w:p>
  <w:sdt>
    <w:sdtPr>
      <w:id w:val="1156028607"/>
      <w:docPartObj>
        <w:docPartGallery w:val="Page Numbers (Bottom of Page)"/>
        <w:docPartUnique/>
      </w:docPartObj>
    </w:sdtPr>
    <w:sdtEndPr>
      <w:rPr>
        <w:rFonts w:ascii="Montserrat" w:hAnsi="Montserrat"/>
        <w:sz w:val="16"/>
        <w:szCs w:val="16"/>
      </w:rPr>
    </w:sdtEndPr>
    <w:sdtContent>
      <w:p w14:paraId="649A9744" w14:textId="77777777" w:rsidR="003A63EB" w:rsidRDefault="00C96130">
        <w:pPr>
          <w:pStyle w:val="Piedepgina"/>
          <w:jc w:val="right"/>
        </w:pPr>
        <w:r w:rsidRPr="00822148">
          <w:rPr>
            <w:rFonts w:ascii="Montserrat" w:hAnsi="Montserrat"/>
            <w:sz w:val="20"/>
            <w:szCs w:val="20"/>
          </w:rPr>
          <w:fldChar w:fldCharType="begin"/>
        </w:r>
        <w:r w:rsidRPr="00822148">
          <w:rPr>
            <w:rFonts w:ascii="Montserrat" w:hAnsi="Montserrat"/>
            <w:sz w:val="20"/>
            <w:szCs w:val="20"/>
          </w:rPr>
          <w:instrText>PAGE   \* MERGEFORMAT</w:instrText>
        </w:r>
        <w:r w:rsidRPr="00822148">
          <w:rPr>
            <w:rFonts w:ascii="Montserrat" w:hAnsi="Montserrat"/>
            <w:sz w:val="20"/>
            <w:szCs w:val="20"/>
          </w:rPr>
          <w:fldChar w:fldCharType="separate"/>
        </w:r>
        <w:r w:rsidRPr="00822148">
          <w:rPr>
            <w:rFonts w:ascii="Montserrat" w:hAnsi="Montserrat"/>
            <w:sz w:val="20"/>
            <w:szCs w:val="20"/>
            <w:lang w:val="es-ES"/>
          </w:rPr>
          <w:t>2</w:t>
        </w:r>
        <w:r w:rsidRPr="00822148">
          <w:rPr>
            <w:rFonts w:ascii="Montserrat" w:hAnsi="Montserrat"/>
            <w:sz w:val="20"/>
            <w:szCs w:val="20"/>
          </w:rPr>
          <w:fldChar w:fldCharType="end"/>
        </w:r>
      </w:p>
    </w:sdtContent>
  </w:sdt>
  <w:p w14:paraId="19A9E791" w14:textId="77777777" w:rsidR="00E57969" w:rsidRPr="004C16DA" w:rsidRDefault="00D266BA" w:rsidP="00E364CC">
    <w:pPr>
      <w:pStyle w:val="Piedepgina"/>
      <w:tabs>
        <w:tab w:val="left" w:pos="8624"/>
        <w:tab w:val="right" w:pos="9405"/>
      </w:tabs>
      <w:rPr>
        <w:rFonts w:ascii="Montserrat" w:hAnsi="Montserrat"/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145D8" w14:textId="77777777" w:rsidR="00D266BA" w:rsidRDefault="00D266BA">
      <w:r>
        <w:separator/>
      </w:r>
    </w:p>
  </w:footnote>
  <w:footnote w:type="continuationSeparator" w:id="0">
    <w:p w14:paraId="0DAC292E" w14:textId="77777777" w:rsidR="00D266BA" w:rsidRDefault="00D26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D3D7D" w14:textId="70A73935" w:rsidR="00EE1715" w:rsidRDefault="005B251E" w:rsidP="00E364CC">
    <w:pPr>
      <w:pStyle w:val="Encabezado"/>
      <w:tabs>
        <w:tab w:val="left" w:pos="1134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EE89369" wp14:editId="362CAAC3">
          <wp:simplePos x="0" y="0"/>
          <wp:positionH relativeFrom="column">
            <wp:posOffset>-3810</wp:posOffset>
          </wp:positionH>
          <wp:positionV relativeFrom="paragraph">
            <wp:posOffset>-231140</wp:posOffset>
          </wp:positionV>
          <wp:extent cx="5822315" cy="1042670"/>
          <wp:effectExtent l="0" t="0" r="6985" b="508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2315" cy="1042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FCC572" w14:textId="77777777" w:rsidR="00EE1715" w:rsidRDefault="00D266BA" w:rsidP="00E364CC">
    <w:pPr>
      <w:pStyle w:val="Encabezado"/>
      <w:tabs>
        <w:tab w:val="left" w:pos="1134"/>
      </w:tabs>
    </w:pPr>
  </w:p>
  <w:p w14:paraId="4C2F6282" w14:textId="77777777" w:rsidR="00EE1715" w:rsidRDefault="00D266BA" w:rsidP="00E364CC">
    <w:pPr>
      <w:pStyle w:val="Encabezado"/>
      <w:tabs>
        <w:tab w:val="left" w:pos="1134"/>
      </w:tabs>
    </w:pPr>
  </w:p>
  <w:p w14:paraId="50E2E2A0" w14:textId="77777777" w:rsidR="00EE1715" w:rsidRDefault="00D266BA" w:rsidP="00E364CC">
    <w:pPr>
      <w:pStyle w:val="Encabezado"/>
      <w:tabs>
        <w:tab w:val="left" w:pos="1134"/>
      </w:tabs>
    </w:pPr>
  </w:p>
  <w:p w14:paraId="5E74838F" w14:textId="77777777" w:rsidR="00996F29" w:rsidRDefault="00996F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95D"/>
    <w:multiLevelType w:val="hybridMultilevel"/>
    <w:tmpl w:val="E4145D60"/>
    <w:lvl w:ilvl="0" w:tplc="86E45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84E2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681D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D8A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EAB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AC84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2043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9066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E4F43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8749C2"/>
    <w:multiLevelType w:val="hybridMultilevel"/>
    <w:tmpl w:val="1CE4B478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062E6"/>
    <w:multiLevelType w:val="hybridMultilevel"/>
    <w:tmpl w:val="A880B290"/>
    <w:lvl w:ilvl="0" w:tplc="080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04A2484"/>
    <w:multiLevelType w:val="multilevel"/>
    <w:tmpl w:val="52B6895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CC41462"/>
    <w:multiLevelType w:val="hybridMultilevel"/>
    <w:tmpl w:val="3A808DCC"/>
    <w:lvl w:ilvl="0" w:tplc="3E5010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E0A0C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3B2CCA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7824C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0E8A5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2B0782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D20CB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CA8734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A3E79B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396C9E"/>
    <w:multiLevelType w:val="hybridMultilevel"/>
    <w:tmpl w:val="C4D6C9A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C4513"/>
    <w:multiLevelType w:val="hybridMultilevel"/>
    <w:tmpl w:val="4B94CC3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7488E"/>
    <w:multiLevelType w:val="hybridMultilevel"/>
    <w:tmpl w:val="7E864A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45AEC"/>
    <w:multiLevelType w:val="hybridMultilevel"/>
    <w:tmpl w:val="8F6A55D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545072">
    <w:abstractNumId w:val="3"/>
  </w:num>
  <w:num w:numId="2" w16cid:durableId="659693956">
    <w:abstractNumId w:val="1"/>
  </w:num>
  <w:num w:numId="3" w16cid:durableId="1739476428">
    <w:abstractNumId w:val="6"/>
  </w:num>
  <w:num w:numId="4" w16cid:durableId="1951619224">
    <w:abstractNumId w:val="5"/>
  </w:num>
  <w:num w:numId="5" w16cid:durableId="758529488">
    <w:abstractNumId w:val="2"/>
  </w:num>
  <w:num w:numId="6" w16cid:durableId="1656492653">
    <w:abstractNumId w:val="4"/>
  </w:num>
  <w:num w:numId="7" w16cid:durableId="568535252">
    <w:abstractNumId w:val="0"/>
  </w:num>
  <w:num w:numId="8" w16cid:durableId="1134130924">
    <w:abstractNumId w:val="7"/>
  </w:num>
  <w:num w:numId="9" w16cid:durableId="14843943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30"/>
    <w:rsid w:val="00036BA8"/>
    <w:rsid w:val="000934AA"/>
    <w:rsid w:val="000D2FDC"/>
    <w:rsid w:val="001459D9"/>
    <w:rsid w:val="001B7CC2"/>
    <w:rsid w:val="001F2A48"/>
    <w:rsid w:val="00214EC4"/>
    <w:rsid w:val="00237F1E"/>
    <w:rsid w:val="0024762E"/>
    <w:rsid w:val="003315E2"/>
    <w:rsid w:val="0034354B"/>
    <w:rsid w:val="003477FB"/>
    <w:rsid w:val="003C30F0"/>
    <w:rsid w:val="003D5208"/>
    <w:rsid w:val="004236D9"/>
    <w:rsid w:val="00452284"/>
    <w:rsid w:val="004531C7"/>
    <w:rsid w:val="004C16DA"/>
    <w:rsid w:val="004E4003"/>
    <w:rsid w:val="005B251E"/>
    <w:rsid w:val="005E3C8A"/>
    <w:rsid w:val="00605200"/>
    <w:rsid w:val="00627643"/>
    <w:rsid w:val="00656770"/>
    <w:rsid w:val="00781EB7"/>
    <w:rsid w:val="007D1DAC"/>
    <w:rsid w:val="00822148"/>
    <w:rsid w:val="00842569"/>
    <w:rsid w:val="00865C37"/>
    <w:rsid w:val="00877728"/>
    <w:rsid w:val="00884C76"/>
    <w:rsid w:val="00940119"/>
    <w:rsid w:val="00996F29"/>
    <w:rsid w:val="009B48AB"/>
    <w:rsid w:val="00A02BBA"/>
    <w:rsid w:val="00A26E56"/>
    <w:rsid w:val="00A72C9F"/>
    <w:rsid w:val="00AB27E1"/>
    <w:rsid w:val="00AB6C79"/>
    <w:rsid w:val="00B31A1D"/>
    <w:rsid w:val="00BE1F9A"/>
    <w:rsid w:val="00BF3CB9"/>
    <w:rsid w:val="00C35BCB"/>
    <w:rsid w:val="00C96130"/>
    <w:rsid w:val="00CF7154"/>
    <w:rsid w:val="00D266BA"/>
    <w:rsid w:val="00D83F3C"/>
    <w:rsid w:val="00DB21DB"/>
    <w:rsid w:val="00DE0521"/>
    <w:rsid w:val="00E31959"/>
    <w:rsid w:val="00ED58FC"/>
    <w:rsid w:val="00F00D3B"/>
    <w:rsid w:val="00F3713A"/>
    <w:rsid w:val="00F55543"/>
    <w:rsid w:val="4575D66A"/>
    <w:rsid w:val="648CE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A4B54"/>
  <w15:chartTrackingRefBased/>
  <w15:docId w15:val="{5D8E6732-76B5-4D99-B64D-4F793D36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130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6130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C961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130"/>
    <w:rPr>
      <w:sz w:val="24"/>
      <w:szCs w:val="24"/>
    </w:rPr>
  </w:style>
  <w:style w:type="paragraph" w:styleId="Sinespaciado">
    <w:name w:val="No Spacing"/>
    <w:uiPriority w:val="1"/>
    <w:qFormat/>
    <w:rsid w:val="00C96130"/>
    <w:pPr>
      <w:spacing w:after="0" w:line="240" w:lineRule="auto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C96130"/>
    <w:pPr>
      <w:ind w:left="720"/>
      <w:contextualSpacing/>
    </w:pPr>
  </w:style>
  <w:style w:type="table" w:customStyle="1" w:styleId="Tablanormal21">
    <w:name w:val="Tabla normal 21"/>
    <w:basedOn w:val="Tablanormal"/>
    <w:uiPriority w:val="42"/>
    <w:rsid w:val="0082214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">
    <w:name w:val="Table Grid"/>
    <w:basedOn w:val="Tablanormal"/>
    <w:uiPriority w:val="39"/>
    <w:rsid w:val="0084256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CF7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3713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713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713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713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713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713A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713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0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9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8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6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9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0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6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9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2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F4E-7047-B558-22467D66F6BA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F4E-7047-B558-22467D66F6BA}"/>
              </c:ext>
            </c:extLst>
          </c:dPt>
          <c:cat>
            <c:strRef>
              <c:f>Hoja4!$C$6:$C$10</c:f>
              <c:strCache>
                <c:ptCount val="5"/>
                <c:pt idx="0">
                  <c:v>Campeche</c:v>
                </c:pt>
                <c:pt idx="1">
                  <c:v>Chetumal</c:v>
                </c:pt>
                <c:pt idx="2">
                  <c:v>San Cristóbal</c:v>
                </c:pt>
                <c:pt idx="3">
                  <c:v>Tapachula</c:v>
                </c:pt>
                <c:pt idx="4">
                  <c:v>Villahermosa</c:v>
                </c:pt>
              </c:strCache>
            </c:strRef>
          </c:cat>
          <c:val>
            <c:numRef>
              <c:f>Hoja4!$D$6:$D$10</c:f>
              <c:numCache>
                <c:formatCode>General</c:formatCode>
                <c:ptCount val="5"/>
                <c:pt idx="1">
                  <c:v>6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F4E-7047-B558-22467D66F6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85252400"/>
        <c:axId val="885254480"/>
      </c:barChart>
      <c:catAx>
        <c:axId val="885252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85254480"/>
        <c:crosses val="autoZero"/>
        <c:auto val="1"/>
        <c:lblAlgn val="ctr"/>
        <c:lblOffset val="100"/>
        <c:noMultiLvlLbl val="0"/>
      </c:catAx>
      <c:valAx>
        <c:axId val="885254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885252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 Gilberto Martínez Gómez</dc:creator>
  <cp:keywords/>
  <dc:description/>
  <cp:lastModifiedBy>Noé Gilberto Martínez Gómez</cp:lastModifiedBy>
  <cp:revision>5</cp:revision>
  <dcterms:created xsi:type="dcterms:W3CDTF">2022-03-22T20:57:00Z</dcterms:created>
  <dcterms:modified xsi:type="dcterms:W3CDTF">2022-04-20T14:32:00Z</dcterms:modified>
</cp:coreProperties>
</file>