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27B0" w14:textId="39EE451A" w:rsidR="005255BE" w:rsidRPr="00F21825" w:rsidRDefault="00CF4592" w:rsidP="00F21825">
      <w:pPr>
        <w:spacing w:after="160"/>
        <w:ind w:left="567" w:hanging="567"/>
        <w:jc w:val="center"/>
        <w:rPr>
          <w:rFonts w:ascii="Montserrat" w:eastAsia="Calibri" w:hAnsi="Montserrat" w:cs="Times New Roman"/>
          <w:b/>
          <w:bCs/>
          <w:i/>
          <w:iCs/>
        </w:rPr>
      </w:pPr>
      <w:r w:rsidRPr="00F21825">
        <w:rPr>
          <w:rFonts w:ascii="Montserrat" w:eastAsia="Calibri" w:hAnsi="Montserrat" w:cs="Times New Roman"/>
          <w:b/>
          <w:bCs/>
          <w:i/>
          <w:iCs/>
        </w:rPr>
        <w:t>5.11</w:t>
      </w:r>
      <w:r w:rsidR="005255BE" w:rsidRPr="00F21825">
        <w:rPr>
          <w:rFonts w:ascii="Montserrat" w:eastAsia="Calibri" w:hAnsi="Montserrat" w:cs="Times New Roman"/>
          <w:b/>
          <w:bCs/>
          <w:i/>
          <w:iCs/>
        </w:rPr>
        <w:t>. Seguimiento al Programa Nacional de Combate a la Corrupción y la Impunidad, y de Mejora de Gestión Pública 2019-2024</w:t>
      </w:r>
    </w:p>
    <w:p w14:paraId="2896073C" w14:textId="50C65CD9" w:rsidR="00301373" w:rsidRDefault="00301373" w:rsidP="005255BE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  <w:r w:rsidRPr="00301373">
        <w:rPr>
          <w:rFonts w:ascii="Montserrat" w:eastAsia="Calibri" w:hAnsi="Montserrat" w:cs="Times New Roman"/>
          <w:sz w:val="22"/>
          <w:szCs w:val="22"/>
        </w:rPr>
        <w:t xml:space="preserve">A partir de la publicación del </w:t>
      </w:r>
      <w:r w:rsidRPr="00301373">
        <w:rPr>
          <w:rFonts w:ascii="Montserrat" w:eastAsia="Calibri" w:hAnsi="Montserrat" w:cs="Times New Roman"/>
          <w:i/>
          <w:iCs/>
          <w:sz w:val="22"/>
          <w:szCs w:val="22"/>
        </w:rPr>
        <w:t>Programa Nacional de Combate a la Corrupción y a la Impunidad, y de Mejora de la Gestión Pública 2019-2024</w:t>
      </w:r>
      <w:r w:rsidRPr="00301373">
        <w:rPr>
          <w:rFonts w:ascii="Montserrat" w:eastAsia="Calibri" w:hAnsi="Montserrat" w:cs="Times New Roman"/>
          <w:sz w:val="22"/>
          <w:szCs w:val="22"/>
        </w:rPr>
        <w:t xml:space="preserve">, el 30 de agosto de 2019, se estableció el compromiso para ECOSUR de llevar a cabo 47 acciones: </w:t>
      </w: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>8 del objetivo 1 Combate a la corrupción; 10 del objetivo 2 Combate impunidad; 12 del objetivo 3 Mejora de la gestión pública; 10 del objetivo 4 Programa de recursos humanos y 7 del objetivo 5 Uso de bienes. Igualmente, se asumen 12 indicadores</w:t>
      </w:r>
      <w:r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de temporalidades diferentes. </w:t>
      </w:r>
    </w:p>
    <w:p w14:paraId="64E4D695" w14:textId="77777777" w:rsidR="00301373" w:rsidRPr="00301373" w:rsidRDefault="00301373" w:rsidP="005255BE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</w:p>
    <w:p w14:paraId="1EA04CFC" w14:textId="0CEFC87E" w:rsidR="00301373" w:rsidRPr="00301373" w:rsidRDefault="00301373" w:rsidP="005255BE">
      <w:pPr>
        <w:spacing w:after="160"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En la primera quincena de </w:t>
      </w:r>
      <w:r w:rsidR="0051099F">
        <w:rPr>
          <w:rFonts w:ascii="Montserrat" w:eastAsia="Calibri" w:hAnsi="Montserrat" w:cs="Times New Roman"/>
          <w:color w:val="000000" w:themeColor="text1"/>
          <w:sz w:val="22"/>
          <w:szCs w:val="22"/>
        </w:rPr>
        <w:t>enero 2022</w:t>
      </w: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, la institución informó en tiempo y forma de </w:t>
      </w:r>
      <w:r w:rsidR="00B15AB9">
        <w:rPr>
          <w:rFonts w:ascii="Montserrat" w:eastAsia="Calibri" w:hAnsi="Montserrat" w:cs="Times New Roman"/>
          <w:color w:val="000000" w:themeColor="text1"/>
          <w:sz w:val="22"/>
          <w:szCs w:val="22"/>
        </w:rPr>
        <w:t>las acciones</w:t>
      </w: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realizad</w:t>
      </w:r>
      <w:r w:rsidR="00B15AB9">
        <w:rPr>
          <w:rFonts w:ascii="Montserrat" w:eastAsia="Calibri" w:hAnsi="Montserrat" w:cs="Times New Roman"/>
          <w:color w:val="000000" w:themeColor="text1"/>
          <w:sz w:val="22"/>
          <w:szCs w:val="22"/>
        </w:rPr>
        <w:t>a</w:t>
      </w: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s en el </w:t>
      </w:r>
      <w:r w:rsidR="0051099F">
        <w:rPr>
          <w:rFonts w:ascii="Montserrat" w:eastAsia="Calibri" w:hAnsi="Montserrat" w:cs="Times New Roman"/>
          <w:color w:val="000000" w:themeColor="text1"/>
          <w:sz w:val="22"/>
          <w:szCs w:val="22"/>
        </w:rPr>
        <w:t>año 2021</w:t>
      </w: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, a través del sistema habilitado en el Portal de Aplicaciones de la SHCP. </w:t>
      </w:r>
    </w:p>
    <w:p w14:paraId="78B1D82B" w14:textId="62D5EC16" w:rsidR="002D05F3" w:rsidRDefault="002D05F3" w:rsidP="005255BE">
      <w:pPr>
        <w:spacing w:line="276" w:lineRule="auto"/>
        <w:jc w:val="both"/>
        <w:rPr>
          <w:rFonts w:ascii="Montserrat" w:eastAsia="Calibri" w:hAnsi="Montserrat" w:cs="Times New Roman"/>
          <w:b/>
          <w:bCs/>
          <w:color w:val="000000" w:themeColor="text1"/>
          <w:sz w:val="22"/>
          <w:szCs w:val="22"/>
        </w:rPr>
      </w:pPr>
      <w:bookmarkStart w:id="0" w:name="_Hlk69386216"/>
      <w:r w:rsidRPr="002D05F3">
        <w:rPr>
          <w:rFonts w:ascii="Montserrat" w:eastAsia="Calibri" w:hAnsi="Montserrat" w:cs="Times New Roman"/>
          <w:b/>
          <w:bCs/>
          <w:color w:val="000000" w:themeColor="text1"/>
          <w:sz w:val="22"/>
          <w:szCs w:val="22"/>
        </w:rPr>
        <w:t>Compromisos</w:t>
      </w:r>
    </w:p>
    <w:p w14:paraId="672FC3B6" w14:textId="530D74E8" w:rsidR="007B5D21" w:rsidRDefault="007B5D21" w:rsidP="007B5D21">
      <w:pPr>
        <w:spacing w:after="160"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 xml:space="preserve">En 2021, sobre los 47 compromisos aplicables distribuidos en los cinco </w:t>
      </w:r>
      <w:r w:rsidRPr="007B5D21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programas, </w:t>
      </w:r>
      <w:r w:rsidRPr="00191E6A">
        <w:rPr>
          <w:rFonts w:ascii="Montserrat" w:eastAsia="Calibri" w:hAnsi="Montserrat" w:cs="Times New Roman"/>
          <w:sz w:val="22"/>
          <w:szCs w:val="22"/>
        </w:rPr>
        <w:t xml:space="preserve">40 </w:t>
      </w:r>
      <w:r w:rsidRPr="007B5D21">
        <w:rPr>
          <w:rFonts w:ascii="Montserrat" w:eastAsia="Calibri" w:hAnsi="Montserrat" w:cs="Times New Roman"/>
          <w:color w:val="000000" w:themeColor="text1"/>
          <w:sz w:val="22"/>
          <w:szCs w:val="22"/>
        </w:rPr>
        <w:t>registra</w:t>
      </w:r>
      <w:r w:rsidR="009C46CE">
        <w:rPr>
          <w:rFonts w:ascii="Montserrat" w:eastAsia="Calibri" w:hAnsi="Montserrat" w:cs="Times New Roman"/>
          <w:color w:val="000000" w:themeColor="text1"/>
          <w:sz w:val="22"/>
          <w:szCs w:val="22"/>
        </w:rPr>
        <w:t>ron</w:t>
      </w:r>
      <w:r w:rsidRPr="007B5D21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avances, lo que corresponde a </w:t>
      </w:r>
      <w:r w:rsidRPr="00191E6A">
        <w:rPr>
          <w:rFonts w:ascii="Montserrat" w:eastAsia="Calibri" w:hAnsi="Montserrat" w:cs="Times New Roman"/>
          <w:sz w:val="22"/>
          <w:szCs w:val="22"/>
        </w:rPr>
        <w:t xml:space="preserve">85% </w:t>
      </w:r>
      <w:r w:rsidRPr="007B5D21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del total, como lo muestra la Tabla 1.  </w:t>
      </w:r>
    </w:p>
    <w:p w14:paraId="13B3CB75" w14:textId="3F0BF3EB" w:rsidR="00301373" w:rsidRPr="00301373" w:rsidRDefault="00301373" w:rsidP="005255BE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Tabla 1. </w:t>
      </w:r>
      <w:r w:rsidR="009C46CE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Número de </w:t>
      </w:r>
      <w:r w:rsidRPr="00301373">
        <w:rPr>
          <w:rFonts w:ascii="Montserrat" w:eastAsia="Calibri" w:hAnsi="Montserrat" w:cs="Times New Roman"/>
          <w:color w:val="000000" w:themeColor="text1"/>
          <w:sz w:val="22"/>
          <w:szCs w:val="22"/>
        </w:rPr>
        <w:t>compromisos</w:t>
      </w:r>
      <w:r w:rsidR="009C46CE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con acciones</w:t>
      </w:r>
      <w:r w:rsidR="00F55D12">
        <w:rPr>
          <w:rFonts w:ascii="Montserrat" w:eastAsia="Calibri" w:hAnsi="Montserrat" w:cs="Times New Roman"/>
          <w:color w:val="000000" w:themeColor="text1"/>
          <w:sz w:val="22"/>
          <w:szCs w:val="22"/>
        </w:rPr>
        <w:t>- 2021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2268"/>
        <w:gridCol w:w="1559"/>
      </w:tblGrid>
      <w:tr w:rsidR="00B375B8" w:rsidRPr="00301373" w14:paraId="118689C6" w14:textId="25F0ECBA" w:rsidTr="00B375B8">
        <w:trPr>
          <w:trHeight w:val="1229"/>
        </w:trPr>
        <w:tc>
          <w:tcPr>
            <w:tcW w:w="2410" w:type="dxa"/>
            <w:tcBorders>
              <w:right w:val="double" w:sz="4" w:space="0" w:color="auto"/>
            </w:tcBorders>
          </w:tcPr>
          <w:p w14:paraId="7390F62E" w14:textId="109CAEF6" w:rsidR="00B375B8" w:rsidRPr="00301373" w:rsidRDefault="00B375B8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bookmarkStart w:id="1" w:name="_Hlk93649479"/>
            <w:bookmarkEnd w:id="0"/>
            <w:r w:rsidRPr="00301373">
              <w:rPr>
                <w:rFonts w:ascii="Montserrat" w:hAnsi="Montserrat"/>
                <w:color w:val="000000" w:themeColor="text1"/>
                <w:sz w:val="22"/>
                <w:szCs w:val="22"/>
              </w:rPr>
              <w:t xml:space="preserve"> </w:t>
            </w:r>
            <w:r w:rsidRPr="00301373">
              <w:rPr>
                <w:rFonts w:ascii="Montserrat" w:hAnsi="Montserrat"/>
                <w:b/>
                <w:bCs/>
                <w:sz w:val="22"/>
                <w:szCs w:val="22"/>
              </w:rPr>
              <w:t>Programa</w:t>
            </w:r>
            <w:r>
              <w:rPr>
                <w:rFonts w:ascii="Montserrat" w:hAnsi="Montserrat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</w:tcPr>
          <w:p w14:paraId="1B414923" w14:textId="77777777" w:rsidR="00B375B8" w:rsidRPr="00AB26CC" w:rsidRDefault="00B375B8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B26CC">
              <w:rPr>
                <w:rFonts w:ascii="Montserrat" w:hAnsi="Montserrat"/>
                <w:b/>
                <w:bCs/>
                <w:sz w:val="22"/>
                <w:szCs w:val="22"/>
              </w:rPr>
              <w:t>Compromisos con acciones realizadas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329F7219" w14:textId="6C0F49FE" w:rsidR="00B375B8" w:rsidRPr="00301373" w:rsidRDefault="00B375B8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301373">
              <w:rPr>
                <w:rFonts w:ascii="Montserrat" w:hAnsi="Montserrat"/>
                <w:b/>
                <w:bCs/>
                <w:sz w:val="22"/>
                <w:szCs w:val="22"/>
              </w:rPr>
              <w:t xml:space="preserve">Compromisos sin avances o no aplicables en el </w:t>
            </w:r>
            <w:r>
              <w:rPr>
                <w:rFonts w:ascii="Montserrat" w:hAnsi="Montserrat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6B65B90" w14:textId="513DBB6D" w:rsidR="00B375B8" w:rsidRPr="00301373" w:rsidRDefault="00B375B8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Total</w:t>
            </w:r>
          </w:p>
        </w:tc>
      </w:tr>
      <w:tr w:rsidR="00B375B8" w:rsidRPr="00301373" w14:paraId="01D7AF6D" w14:textId="3CE35B6F" w:rsidTr="00B375B8">
        <w:tc>
          <w:tcPr>
            <w:tcW w:w="2410" w:type="dxa"/>
            <w:tcBorders>
              <w:right w:val="double" w:sz="4" w:space="0" w:color="auto"/>
            </w:tcBorders>
          </w:tcPr>
          <w:p w14:paraId="71601F9B" w14:textId="77777777" w:rsidR="00B375B8" w:rsidRPr="00301373" w:rsidRDefault="00B375B8" w:rsidP="005255BE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301373">
              <w:rPr>
                <w:rFonts w:ascii="Montserrat" w:hAnsi="Montserrat"/>
                <w:sz w:val="22"/>
                <w:szCs w:val="22"/>
              </w:rPr>
              <w:t>Combate Corrupción (CC)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</w:tcPr>
          <w:p w14:paraId="0FA983BC" w14:textId="5D197609" w:rsidR="00B375B8" w:rsidRPr="00AB26CC" w:rsidRDefault="00B375B8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752F71AD" w14:textId="269C7FAD" w:rsidR="00B375B8" w:rsidRPr="00301373" w:rsidRDefault="00B375B8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9378D09" w14:textId="2311AC94" w:rsidR="00B375B8" w:rsidRPr="005F58F1" w:rsidRDefault="00B375B8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8</w:t>
            </w:r>
          </w:p>
        </w:tc>
      </w:tr>
      <w:tr w:rsidR="00B375B8" w:rsidRPr="00301373" w14:paraId="5FCD294D" w14:textId="632A78B2" w:rsidTr="00B375B8">
        <w:tc>
          <w:tcPr>
            <w:tcW w:w="2410" w:type="dxa"/>
            <w:tcBorders>
              <w:right w:val="double" w:sz="4" w:space="0" w:color="auto"/>
            </w:tcBorders>
          </w:tcPr>
          <w:p w14:paraId="4A718F09" w14:textId="77777777" w:rsidR="00B375B8" w:rsidRPr="00301373" w:rsidRDefault="00B375B8" w:rsidP="005255BE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301373">
              <w:rPr>
                <w:rFonts w:ascii="Montserrat" w:hAnsi="Montserrat"/>
                <w:sz w:val="22"/>
                <w:szCs w:val="22"/>
              </w:rPr>
              <w:t>Combate Impunidad (CI)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</w:tcPr>
          <w:p w14:paraId="01892D15" w14:textId="7BE6F0D3" w:rsidR="00B375B8" w:rsidRPr="00AB26CC" w:rsidRDefault="00B375B8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6933CD3" w14:textId="51DFBDAA" w:rsidR="00B375B8" w:rsidRPr="00301373" w:rsidRDefault="00B375B8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F652A30" w14:textId="62D1647B" w:rsidR="00B375B8" w:rsidRPr="005F58F1" w:rsidRDefault="00B375B8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10</w:t>
            </w:r>
          </w:p>
        </w:tc>
      </w:tr>
      <w:tr w:rsidR="00B375B8" w:rsidRPr="00301373" w14:paraId="5B99BCC7" w14:textId="1710785D" w:rsidTr="00B375B8">
        <w:tc>
          <w:tcPr>
            <w:tcW w:w="2410" w:type="dxa"/>
            <w:tcBorders>
              <w:right w:val="double" w:sz="4" w:space="0" w:color="auto"/>
            </w:tcBorders>
          </w:tcPr>
          <w:p w14:paraId="5CB65F10" w14:textId="77777777" w:rsidR="00B375B8" w:rsidRPr="00301373" w:rsidRDefault="00B375B8" w:rsidP="005255BE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301373">
              <w:rPr>
                <w:rFonts w:ascii="Montserrat" w:hAnsi="Montserrat"/>
                <w:sz w:val="22"/>
                <w:szCs w:val="22"/>
              </w:rPr>
              <w:t>Mejora Gestión Pública (MGP)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</w:tcPr>
          <w:p w14:paraId="5B69DED3" w14:textId="2F64E8D6" w:rsidR="00B375B8" w:rsidRPr="00AB26CC" w:rsidRDefault="00B375B8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79621B8" w14:textId="250EAECE" w:rsidR="00B375B8" w:rsidRPr="00301373" w:rsidRDefault="00B375B8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DE64440" w14:textId="041A2C8B" w:rsidR="00B375B8" w:rsidRPr="005F58F1" w:rsidRDefault="00B375B8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12</w:t>
            </w:r>
          </w:p>
        </w:tc>
      </w:tr>
      <w:tr w:rsidR="00B375B8" w:rsidRPr="00301373" w14:paraId="49CDD8F0" w14:textId="35D53B7E" w:rsidTr="00B375B8">
        <w:tc>
          <w:tcPr>
            <w:tcW w:w="2410" w:type="dxa"/>
            <w:tcBorders>
              <w:right w:val="double" w:sz="4" w:space="0" w:color="auto"/>
            </w:tcBorders>
          </w:tcPr>
          <w:p w14:paraId="33EC126F" w14:textId="77777777" w:rsidR="00B375B8" w:rsidRPr="00301373" w:rsidRDefault="00B375B8" w:rsidP="005255BE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301373">
              <w:rPr>
                <w:rFonts w:ascii="Montserrat" w:hAnsi="Montserrat"/>
                <w:sz w:val="22"/>
                <w:szCs w:val="22"/>
              </w:rPr>
              <w:t>Recursos Humanos (PRH)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</w:tcPr>
          <w:p w14:paraId="028BF4A2" w14:textId="706EA89A" w:rsidR="00B375B8" w:rsidRPr="00AB26CC" w:rsidRDefault="00B375B8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E34A931" w14:textId="34A09F33" w:rsidR="00B375B8" w:rsidRPr="00301373" w:rsidRDefault="00B375B8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0582E82" w14:textId="5570B69D" w:rsidR="00B375B8" w:rsidRPr="005F58F1" w:rsidRDefault="00B375B8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10</w:t>
            </w:r>
          </w:p>
        </w:tc>
      </w:tr>
      <w:tr w:rsidR="00B375B8" w:rsidRPr="00301373" w14:paraId="3657143E" w14:textId="61FD13FB" w:rsidTr="00B375B8"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14:paraId="79085636" w14:textId="5EECCD36" w:rsidR="00B375B8" w:rsidRPr="00301373" w:rsidRDefault="00B375B8" w:rsidP="005255BE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301373">
              <w:rPr>
                <w:rFonts w:ascii="Montserrat" w:hAnsi="Montserrat"/>
                <w:sz w:val="22"/>
                <w:szCs w:val="22"/>
              </w:rPr>
              <w:t>Uso de Bienes (UB)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FE04C74" w14:textId="238B4A11" w:rsidR="00B375B8" w:rsidRPr="00AB26CC" w:rsidRDefault="00B375B8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14:paraId="6AE1DB46" w14:textId="0184AA12" w:rsidR="00B375B8" w:rsidRPr="00301373" w:rsidRDefault="00B375B8" w:rsidP="005255BE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14:paraId="44F46D75" w14:textId="491F7B87" w:rsidR="00B375B8" w:rsidRPr="005F58F1" w:rsidRDefault="00B375B8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7</w:t>
            </w:r>
          </w:p>
        </w:tc>
      </w:tr>
      <w:tr w:rsidR="00B375B8" w:rsidRPr="00301373" w14:paraId="7E2BA5C9" w14:textId="70180335" w:rsidTr="00B375B8">
        <w:trPr>
          <w:trHeight w:val="542"/>
        </w:trPr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14:paraId="1CA1CA7D" w14:textId="77777777" w:rsidR="00B375B8" w:rsidRDefault="00B375B8" w:rsidP="00475468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301373">
              <w:rPr>
                <w:rFonts w:ascii="Montserrat" w:hAnsi="Montserrat"/>
                <w:b/>
                <w:bCs/>
                <w:sz w:val="22"/>
                <w:szCs w:val="22"/>
              </w:rPr>
              <w:t>Total</w:t>
            </w:r>
          </w:p>
          <w:p w14:paraId="45B05794" w14:textId="05E1D084" w:rsidR="00B375B8" w:rsidRPr="00301373" w:rsidRDefault="00B375B8" w:rsidP="00475468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C40C286" w14:textId="77777777" w:rsidR="00B375B8" w:rsidRDefault="00B375B8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40</w:t>
            </w:r>
          </w:p>
          <w:p w14:paraId="7B297F62" w14:textId="4A9C2635" w:rsidR="00B375B8" w:rsidRPr="00AB26CC" w:rsidRDefault="00B375B8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(85%)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14:paraId="3F1A375F" w14:textId="3107B80B" w:rsidR="00B375B8" w:rsidRDefault="00B375B8" w:rsidP="00AB26CC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7</w:t>
            </w:r>
          </w:p>
          <w:p w14:paraId="24BA7AF8" w14:textId="5372D919" w:rsidR="00B375B8" w:rsidRPr="00301373" w:rsidRDefault="00B375B8" w:rsidP="00AB26CC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(15%)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14:paraId="402427A5" w14:textId="77777777" w:rsidR="00B375B8" w:rsidRDefault="00B375B8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47</w:t>
            </w:r>
          </w:p>
          <w:p w14:paraId="6440030F" w14:textId="7BFAD202" w:rsidR="00B375B8" w:rsidRPr="00301373" w:rsidRDefault="00B375B8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(100%)</w:t>
            </w:r>
          </w:p>
        </w:tc>
      </w:tr>
      <w:bookmarkEnd w:id="1"/>
    </w:tbl>
    <w:p w14:paraId="37258981" w14:textId="77777777" w:rsidR="007B5D21" w:rsidRDefault="007B5D21" w:rsidP="007B5D2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704C54A8" w14:textId="06D7BBFE" w:rsidR="005E5798" w:rsidRDefault="00475468" w:rsidP="00F76D48">
      <w:pPr>
        <w:spacing w:after="160"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301373">
        <w:rPr>
          <w:rFonts w:ascii="Montserrat" w:eastAsia="Calibri" w:hAnsi="Montserrat" w:cs="Times New Roman"/>
          <w:sz w:val="22"/>
          <w:szCs w:val="22"/>
        </w:rPr>
        <w:t>A continuación, se proporciona información sobre los</w:t>
      </w:r>
      <w:r w:rsidR="009C46CE">
        <w:rPr>
          <w:rFonts w:ascii="Montserrat" w:eastAsia="Calibri" w:hAnsi="Montserrat" w:cs="Times New Roman"/>
          <w:sz w:val="22"/>
          <w:szCs w:val="22"/>
        </w:rPr>
        <w:t xml:space="preserve"> siete</w:t>
      </w:r>
      <w:r w:rsidRPr="00301373">
        <w:rPr>
          <w:rFonts w:ascii="Montserrat" w:eastAsia="Calibri" w:hAnsi="Montserrat" w:cs="Times New Roman"/>
          <w:sz w:val="22"/>
          <w:szCs w:val="22"/>
        </w:rPr>
        <w:t xml:space="preserve"> compromisos sin acciones. </w:t>
      </w:r>
    </w:p>
    <w:p w14:paraId="5AF11855" w14:textId="77777777" w:rsidR="009C46CE" w:rsidRDefault="009C46CE" w:rsidP="00475468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0A424819" w14:textId="3D8964E9" w:rsidR="00475468" w:rsidRPr="00301373" w:rsidRDefault="00475468" w:rsidP="00475468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301373">
        <w:rPr>
          <w:rFonts w:ascii="Montserrat" w:eastAsia="Calibri" w:hAnsi="Montserrat" w:cs="Times New Roman"/>
          <w:sz w:val="22"/>
          <w:szCs w:val="22"/>
        </w:rPr>
        <w:t>Tabla</w:t>
      </w:r>
      <w:r>
        <w:rPr>
          <w:rFonts w:ascii="Montserrat" w:eastAsia="Calibri" w:hAnsi="Montserrat" w:cs="Times New Roman"/>
          <w:sz w:val="22"/>
          <w:szCs w:val="22"/>
        </w:rPr>
        <w:t xml:space="preserve"> 2</w:t>
      </w:r>
      <w:r w:rsidRPr="00301373">
        <w:rPr>
          <w:rFonts w:ascii="Montserrat" w:eastAsia="Calibri" w:hAnsi="Montserrat" w:cs="Times New Roman"/>
          <w:sz w:val="22"/>
          <w:szCs w:val="22"/>
        </w:rPr>
        <w:t>. Justificación de los compromisos sin avances</w:t>
      </w:r>
      <w:r>
        <w:rPr>
          <w:rFonts w:ascii="Montserrat" w:eastAsia="Calibri" w:hAnsi="Montserrat" w:cs="Times New Roman"/>
          <w:sz w:val="22"/>
          <w:szCs w:val="22"/>
        </w:rPr>
        <w:t xml:space="preserve">- </w:t>
      </w:r>
      <w:r w:rsidR="00F76D48">
        <w:rPr>
          <w:rFonts w:ascii="Montserrat" w:eastAsia="Calibri" w:hAnsi="Montserrat" w:cs="Times New Roman"/>
          <w:sz w:val="22"/>
          <w:szCs w:val="22"/>
        </w:rPr>
        <w:t xml:space="preserve">Año </w:t>
      </w:r>
      <w:r>
        <w:rPr>
          <w:rFonts w:ascii="Montserrat" w:eastAsia="Calibri" w:hAnsi="Montserrat" w:cs="Times New Roman"/>
          <w:sz w:val="22"/>
          <w:szCs w:val="22"/>
        </w:rPr>
        <w:t>2021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914"/>
        <w:gridCol w:w="4048"/>
        <w:gridCol w:w="4394"/>
      </w:tblGrid>
      <w:tr w:rsidR="00470BD7" w:rsidRPr="00470BD7" w14:paraId="4E524FD7" w14:textId="77777777" w:rsidTr="00D32196">
        <w:trPr>
          <w:trHeight w:val="391"/>
        </w:trPr>
        <w:tc>
          <w:tcPr>
            <w:tcW w:w="914" w:type="dxa"/>
          </w:tcPr>
          <w:p w14:paraId="2BD48B93" w14:textId="77777777" w:rsidR="00475468" w:rsidRPr="00470BD7" w:rsidRDefault="00475468" w:rsidP="008828DF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4048" w:type="dxa"/>
          </w:tcPr>
          <w:p w14:paraId="13FB4B7D" w14:textId="77777777" w:rsidR="00475468" w:rsidRPr="00470BD7" w:rsidRDefault="00475468" w:rsidP="008828DF">
            <w:pPr>
              <w:jc w:val="center"/>
              <w:rPr>
                <w:rFonts w:ascii="Montserrat" w:hAnsi="Montserrat"/>
                <w:b/>
                <w:bCs/>
              </w:rPr>
            </w:pPr>
            <w:r w:rsidRPr="00470BD7">
              <w:rPr>
                <w:rFonts w:ascii="Montserrat" w:hAnsi="Montserrat"/>
                <w:b/>
                <w:bCs/>
              </w:rPr>
              <w:t xml:space="preserve">Compromisos sin avances </w:t>
            </w:r>
          </w:p>
        </w:tc>
        <w:tc>
          <w:tcPr>
            <w:tcW w:w="4394" w:type="dxa"/>
          </w:tcPr>
          <w:p w14:paraId="2A8BC005" w14:textId="77777777" w:rsidR="00475468" w:rsidRPr="00470BD7" w:rsidRDefault="00475468" w:rsidP="008828DF">
            <w:pPr>
              <w:jc w:val="center"/>
              <w:rPr>
                <w:rFonts w:ascii="Montserrat" w:hAnsi="Montserrat"/>
                <w:b/>
                <w:bCs/>
              </w:rPr>
            </w:pPr>
            <w:r w:rsidRPr="00470BD7">
              <w:rPr>
                <w:rFonts w:ascii="Montserrat" w:hAnsi="Montserrat"/>
                <w:b/>
                <w:bCs/>
              </w:rPr>
              <w:t>Justificación</w:t>
            </w:r>
          </w:p>
        </w:tc>
      </w:tr>
      <w:tr w:rsidR="001C30AA" w:rsidRPr="00470BD7" w14:paraId="6D5251DE" w14:textId="77777777" w:rsidTr="00D32196">
        <w:tc>
          <w:tcPr>
            <w:tcW w:w="914" w:type="dxa"/>
            <w:shd w:val="clear" w:color="auto" w:fill="auto"/>
          </w:tcPr>
          <w:p w14:paraId="051C8C8F" w14:textId="19D1C5EF" w:rsidR="001C30AA" w:rsidRPr="00470BD7" w:rsidRDefault="001C30AA" w:rsidP="008828D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CC.2</w:t>
            </w:r>
          </w:p>
        </w:tc>
        <w:tc>
          <w:tcPr>
            <w:tcW w:w="4048" w:type="dxa"/>
            <w:shd w:val="clear" w:color="auto" w:fill="auto"/>
          </w:tcPr>
          <w:p w14:paraId="33490A2A" w14:textId="20EB5818" w:rsidR="001C30AA" w:rsidRPr="00470BD7" w:rsidRDefault="001C30AA" w:rsidP="008828DF">
            <w:pPr>
              <w:rPr>
                <w:rFonts w:ascii="Montserrat" w:hAnsi="Montserrat"/>
              </w:rPr>
            </w:pPr>
            <w:r w:rsidRPr="001C30AA">
              <w:rPr>
                <w:rFonts w:ascii="Montserrat" w:hAnsi="Montserrat"/>
              </w:rPr>
              <w:t>Proponer al Comité de Control y Desempeño Institucional los acuerdos que permitan realizar el seguimiento trimestral de sus programas presupuestarios, a efecto de verificar su administración por resultados para el cumplimiento de metas y objetivos institucionales.</w:t>
            </w:r>
          </w:p>
        </w:tc>
        <w:tc>
          <w:tcPr>
            <w:tcW w:w="4394" w:type="dxa"/>
            <w:shd w:val="clear" w:color="auto" w:fill="auto"/>
          </w:tcPr>
          <w:p w14:paraId="138CF965" w14:textId="77777777" w:rsidR="001C30AA" w:rsidRDefault="0082784F" w:rsidP="00100E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</w:t>
            </w:r>
            <w:r w:rsidR="001C30AA">
              <w:rPr>
                <w:rFonts w:ascii="Montserrat" w:hAnsi="Montserrat"/>
              </w:rPr>
              <w:t xml:space="preserve">l Programa presupuestario E003 refleja una variación de 6.56% en 2021, </w:t>
            </w:r>
            <w:r>
              <w:rPr>
                <w:rFonts w:ascii="Montserrat" w:hAnsi="Montserrat"/>
              </w:rPr>
              <w:t>por debajo de las variaciones consideradas críticas, siendo</w:t>
            </w:r>
            <w:r w:rsidR="001C30AA">
              <w:rPr>
                <w:rFonts w:ascii="Montserrat" w:hAnsi="Montserrat"/>
              </w:rPr>
              <w:t xml:space="preserve"> menor a los 10% previstos para solicitar al COCODI un seguimiento.</w:t>
            </w:r>
          </w:p>
          <w:p w14:paraId="1417BA49" w14:textId="53AF26D4" w:rsidR="0082784F" w:rsidRDefault="0082784F" w:rsidP="00100E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En este caso </w:t>
            </w:r>
            <w:r w:rsidRPr="00DD3BB6">
              <w:rPr>
                <w:rFonts w:ascii="Montserrat" w:hAnsi="Montserrat"/>
                <w:b/>
                <w:bCs/>
              </w:rPr>
              <w:t>el compromiso no es aplicable</w:t>
            </w:r>
            <w:r>
              <w:rPr>
                <w:rFonts w:ascii="Montserrat" w:hAnsi="Montserrat"/>
              </w:rPr>
              <w:t xml:space="preserve">, lo que refleja un manejo eficiente del presupuesto de parte de la institución. </w:t>
            </w:r>
          </w:p>
        </w:tc>
      </w:tr>
      <w:tr w:rsidR="00470BD7" w:rsidRPr="00470BD7" w14:paraId="37594F91" w14:textId="77777777" w:rsidTr="00D32196">
        <w:tc>
          <w:tcPr>
            <w:tcW w:w="914" w:type="dxa"/>
            <w:shd w:val="clear" w:color="auto" w:fill="auto"/>
          </w:tcPr>
          <w:p w14:paraId="654C18CA" w14:textId="214E461C" w:rsidR="00475468" w:rsidRPr="00470BD7" w:rsidRDefault="007B5D21" w:rsidP="008828DF">
            <w:pPr>
              <w:jc w:val="both"/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CC.8</w:t>
            </w:r>
          </w:p>
        </w:tc>
        <w:tc>
          <w:tcPr>
            <w:tcW w:w="4048" w:type="dxa"/>
            <w:shd w:val="clear" w:color="auto" w:fill="auto"/>
          </w:tcPr>
          <w:p w14:paraId="335FF56B" w14:textId="4A40C07C" w:rsidR="00475468" w:rsidRPr="00470BD7" w:rsidRDefault="007B5D21" w:rsidP="008828DF">
            <w:pPr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Impulsar la implementación y el seguimiento de los compromisos derivados de Planes de Acción de la Alianza para el Gobierno Abierto que contribuyan al bienestar del pueblo de México.</w:t>
            </w:r>
          </w:p>
        </w:tc>
        <w:tc>
          <w:tcPr>
            <w:tcW w:w="4394" w:type="dxa"/>
            <w:shd w:val="clear" w:color="auto" w:fill="auto"/>
          </w:tcPr>
          <w:p w14:paraId="0356E344" w14:textId="725AD80F" w:rsidR="00475468" w:rsidRPr="00470BD7" w:rsidRDefault="00806C31" w:rsidP="00100E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Este c</w:t>
            </w:r>
            <w:r w:rsidR="00470BD7" w:rsidRPr="00470BD7">
              <w:rPr>
                <w:rFonts w:ascii="Montserrat" w:hAnsi="Montserrat"/>
              </w:rPr>
              <w:t xml:space="preserve">ompromiso </w:t>
            </w:r>
            <w:r>
              <w:rPr>
                <w:rFonts w:ascii="Montserrat" w:hAnsi="Montserrat"/>
              </w:rPr>
              <w:t xml:space="preserve">es </w:t>
            </w:r>
            <w:r w:rsidR="00470BD7" w:rsidRPr="00470BD7">
              <w:rPr>
                <w:rFonts w:ascii="Montserrat" w:hAnsi="Montserrat"/>
              </w:rPr>
              <w:t>sectorial</w:t>
            </w:r>
            <w:r>
              <w:rPr>
                <w:rFonts w:ascii="Montserrat" w:hAnsi="Montserrat"/>
              </w:rPr>
              <w:t xml:space="preserve"> y </w:t>
            </w:r>
            <w:r w:rsidRPr="00DD3BB6">
              <w:rPr>
                <w:rFonts w:ascii="Montserrat" w:hAnsi="Montserrat"/>
                <w:b/>
                <w:bCs/>
              </w:rPr>
              <w:t xml:space="preserve">no </w:t>
            </w:r>
            <w:r w:rsidR="00DD3BB6" w:rsidRPr="00DD3BB6">
              <w:rPr>
                <w:rFonts w:ascii="Montserrat" w:hAnsi="Montserrat"/>
                <w:b/>
                <w:bCs/>
              </w:rPr>
              <w:t>es aplicable</w:t>
            </w:r>
            <w:r>
              <w:rPr>
                <w:rFonts w:ascii="Montserrat" w:hAnsi="Montserrat"/>
              </w:rPr>
              <w:t xml:space="preserve"> a ECOSUR mientras no existe una solicitud explícita de la SFP</w:t>
            </w:r>
            <w:r w:rsidR="005E5798" w:rsidRPr="00470BD7">
              <w:rPr>
                <w:rFonts w:ascii="Montserrat" w:hAnsi="Montserrat"/>
              </w:rPr>
              <w:t>.</w:t>
            </w:r>
          </w:p>
        </w:tc>
      </w:tr>
      <w:tr w:rsidR="003E4784" w:rsidRPr="00470BD7" w14:paraId="66541B8A" w14:textId="77777777" w:rsidTr="00D32196">
        <w:tc>
          <w:tcPr>
            <w:tcW w:w="914" w:type="dxa"/>
            <w:shd w:val="clear" w:color="auto" w:fill="auto"/>
          </w:tcPr>
          <w:p w14:paraId="26CE7899" w14:textId="5C7C0BFD" w:rsidR="00470BD7" w:rsidRPr="00470BD7" w:rsidRDefault="00470BD7" w:rsidP="008828D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CI8</w:t>
            </w:r>
          </w:p>
        </w:tc>
        <w:tc>
          <w:tcPr>
            <w:tcW w:w="4048" w:type="dxa"/>
            <w:shd w:val="clear" w:color="auto" w:fill="auto"/>
          </w:tcPr>
          <w:p w14:paraId="59F556CE" w14:textId="25913A6F" w:rsidR="00470BD7" w:rsidRPr="00470BD7" w:rsidRDefault="00470BD7" w:rsidP="008828DF">
            <w:pPr>
              <w:rPr>
                <w:rFonts w:ascii="Montserrat" w:hAnsi="Montserrat"/>
              </w:rPr>
            </w:pPr>
            <w:proofErr w:type="gramStart"/>
            <w:r w:rsidRPr="00470BD7">
              <w:rPr>
                <w:rFonts w:ascii="Montserrat" w:hAnsi="Montserrat"/>
              </w:rPr>
              <w:t>Asegurar</w:t>
            </w:r>
            <w:proofErr w:type="gramEnd"/>
            <w:r w:rsidRPr="00470BD7">
              <w:rPr>
                <w:rFonts w:ascii="Montserrat" w:hAnsi="Montserrat"/>
              </w:rPr>
              <w:t xml:space="preserve"> que el personal adscrito a las áreas convocantes asista a la capacitación que proporcione la Secretaría de la Función Pública, en materia de procedimientos administrativos de sanción a licitantes, proveedores y contratistas.</w:t>
            </w:r>
          </w:p>
        </w:tc>
        <w:tc>
          <w:tcPr>
            <w:tcW w:w="4394" w:type="dxa"/>
            <w:shd w:val="clear" w:color="auto" w:fill="auto"/>
          </w:tcPr>
          <w:p w14:paraId="341009C8" w14:textId="15E361C7" w:rsidR="00470BD7" w:rsidRPr="00470BD7" w:rsidRDefault="00470BD7" w:rsidP="008828D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En </w:t>
            </w:r>
            <w:r w:rsidR="001C30AA">
              <w:rPr>
                <w:rFonts w:ascii="Montserrat" w:hAnsi="Montserrat"/>
              </w:rPr>
              <w:t>2021</w:t>
            </w:r>
            <w:r>
              <w:rPr>
                <w:rFonts w:ascii="Montserrat" w:hAnsi="Montserrat"/>
              </w:rPr>
              <w:t xml:space="preserve">, </w:t>
            </w:r>
            <w:r w:rsidRPr="00470BD7">
              <w:rPr>
                <w:rFonts w:ascii="Montserrat" w:hAnsi="Montserrat"/>
              </w:rPr>
              <w:t>la SFP no brindó cursos de capacitación referente a los temas solicitados</w:t>
            </w:r>
            <w:r w:rsidR="00EA73ED">
              <w:rPr>
                <w:rFonts w:ascii="Montserrat" w:hAnsi="Montserrat"/>
              </w:rPr>
              <w:t xml:space="preserve">, por lo que este compromiso </w:t>
            </w:r>
            <w:r w:rsidR="00EA73ED" w:rsidRPr="00DD3BB6">
              <w:rPr>
                <w:rFonts w:ascii="Montserrat" w:hAnsi="Montserrat"/>
                <w:b/>
                <w:bCs/>
              </w:rPr>
              <w:t>no fue aplicable</w:t>
            </w:r>
            <w:r w:rsidRPr="00470BD7">
              <w:rPr>
                <w:rFonts w:ascii="Montserrat" w:hAnsi="Montserrat"/>
              </w:rPr>
              <w:t>.</w:t>
            </w:r>
          </w:p>
        </w:tc>
      </w:tr>
      <w:tr w:rsidR="00470BD7" w:rsidRPr="00470BD7" w14:paraId="3E5826DF" w14:textId="77777777" w:rsidTr="00D32196">
        <w:tc>
          <w:tcPr>
            <w:tcW w:w="914" w:type="dxa"/>
            <w:shd w:val="clear" w:color="auto" w:fill="auto"/>
          </w:tcPr>
          <w:p w14:paraId="67F457BE" w14:textId="50D20B76" w:rsidR="00475468" w:rsidRPr="00470BD7" w:rsidRDefault="007B5D21" w:rsidP="008828DF">
            <w:pPr>
              <w:jc w:val="both"/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CI.9</w:t>
            </w:r>
          </w:p>
        </w:tc>
        <w:tc>
          <w:tcPr>
            <w:tcW w:w="4048" w:type="dxa"/>
            <w:shd w:val="clear" w:color="auto" w:fill="auto"/>
          </w:tcPr>
          <w:p w14:paraId="23D70218" w14:textId="5AB61CA1" w:rsidR="00475468" w:rsidRPr="00470BD7" w:rsidRDefault="00100E2D" w:rsidP="00100E2D">
            <w:pPr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Denunciar o dar vista a la Secretaría de la Función Pública de los actos o hechos presuntamente constitutivos de infracciones a las disposiciones en materia de contrataciones públicas, que cometan los licitantes, proveedores o contratistas.</w:t>
            </w:r>
          </w:p>
        </w:tc>
        <w:tc>
          <w:tcPr>
            <w:tcW w:w="4394" w:type="dxa"/>
            <w:shd w:val="clear" w:color="auto" w:fill="auto"/>
          </w:tcPr>
          <w:p w14:paraId="08206A17" w14:textId="2EA42E3E" w:rsidR="00475468" w:rsidRPr="00470BD7" w:rsidRDefault="00470BD7" w:rsidP="00100E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En </w:t>
            </w:r>
            <w:r w:rsidR="001C30AA">
              <w:rPr>
                <w:rFonts w:ascii="Montserrat" w:hAnsi="Montserrat"/>
              </w:rPr>
              <w:t>2021</w:t>
            </w:r>
            <w:r>
              <w:rPr>
                <w:rFonts w:ascii="Montserrat" w:hAnsi="Montserrat"/>
              </w:rPr>
              <w:t>, n</w:t>
            </w:r>
            <w:r w:rsidR="00100E2D" w:rsidRPr="00470BD7">
              <w:rPr>
                <w:rFonts w:ascii="Montserrat" w:hAnsi="Montserrat"/>
              </w:rPr>
              <w:t>o se presentaron actos o hechos presuntamente constitutivos de infracciones en este periodo</w:t>
            </w:r>
            <w:r w:rsidR="00EA73ED">
              <w:rPr>
                <w:rFonts w:ascii="Montserrat" w:hAnsi="Montserrat"/>
              </w:rPr>
              <w:t xml:space="preserve">, por lo que la institución </w:t>
            </w:r>
            <w:r w:rsidR="00EA73ED" w:rsidRPr="00DD3BB6">
              <w:rPr>
                <w:rFonts w:ascii="Montserrat" w:hAnsi="Montserrat"/>
                <w:b/>
                <w:bCs/>
              </w:rPr>
              <w:t>no tuvo acciones que reportar</w:t>
            </w:r>
            <w:r w:rsidR="00EA73ED">
              <w:rPr>
                <w:rFonts w:ascii="Montserrat" w:hAnsi="Montserrat"/>
              </w:rPr>
              <w:t>.</w:t>
            </w:r>
            <w:r w:rsidR="00DD3BB6">
              <w:rPr>
                <w:rFonts w:ascii="Montserrat" w:hAnsi="Montserrat"/>
              </w:rPr>
              <w:t xml:space="preserve"> </w:t>
            </w:r>
          </w:p>
          <w:p w14:paraId="0A78260B" w14:textId="17753FE1" w:rsidR="00100E2D" w:rsidRPr="00470BD7" w:rsidRDefault="00100E2D" w:rsidP="00100E2D">
            <w:pPr>
              <w:jc w:val="center"/>
              <w:rPr>
                <w:rFonts w:ascii="Montserrat" w:hAnsi="Montserrat"/>
              </w:rPr>
            </w:pPr>
          </w:p>
        </w:tc>
      </w:tr>
      <w:tr w:rsidR="00470BD7" w:rsidRPr="00470BD7" w14:paraId="4CC77C88" w14:textId="77777777" w:rsidTr="00D32196">
        <w:tc>
          <w:tcPr>
            <w:tcW w:w="914" w:type="dxa"/>
            <w:shd w:val="clear" w:color="auto" w:fill="auto"/>
          </w:tcPr>
          <w:p w14:paraId="56D81FAA" w14:textId="782A0D1E" w:rsidR="00475468" w:rsidRPr="00470BD7" w:rsidRDefault="007B5D21" w:rsidP="008828DF">
            <w:pPr>
              <w:jc w:val="both"/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CI.10</w:t>
            </w:r>
          </w:p>
        </w:tc>
        <w:tc>
          <w:tcPr>
            <w:tcW w:w="4048" w:type="dxa"/>
            <w:shd w:val="clear" w:color="auto" w:fill="auto"/>
          </w:tcPr>
          <w:p w14:paraId="3C4390C1" w14:textId="57655008" w:rsidR="00475468" w:rsidRPr="00470BD7" w:rsidRDefault="00100E2D" w:rsidP="008828DF">
            <w:pPr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Remitir a la Secretaría de la Función Pública la documentación comprobatoria de los hechos presumiblemente constitutivos de infracción, dentro de los 15 días naturales a la fecha en que tengan conocimiento de alguna infracción a las disposiciones en materia de contrataciones públicas, conforme a lo establecido en la normatividad aplicable.</w:t>
            </w:r>
          </w:p>
        </w:tc>
        <w:tc>
          <w:tcPr>
            <w:tcW w:w="4394" w:type="dxa"/>
            <w:shd w:val="clear" w:color="auto" w:fill="auto"/>
          </w:tcPr>
          <w:p w14:paraId="07150758" w14:textId="40586E7A" w:rsidR="00475468" w:rsidRPr="00470BD7" w:rsidRDefault="00EA73ED" w:rsidP="008828D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Derivado del compromiso CI9, </w:t>
            </w:r>
            <w:r w:rsidRPr="00DD3BB6">
              <w:rPr>
                <w:rFonts w:ascii="Montserrat" w:hAnsi="Montserrat"/>
                <w:b/>
                <w:bCs/>
              </w:rPr>
              <w:t>no hubo acciones que reportar</w:t>
            </w:r>
            <w:r>
              <w:rPr>
                <w:rFonts w:ascii="Montserrat" w:hAnsi="Montserrat"/>
              </w:rPr>
              <w:t xml:space="preserve"> para este compromiso, durante 2021.</w:t>
            </w:r>
          </w:p>
        </w:tc>
      </w:tr>
      <w:tr w:rsidR="00D97EA9" w:rsidRPr="00D97EA9" w14:paraId="21F38124" w14:textId="77777777" w:rsidTr="00D32196">
        <w:tc>
          <w:tcPr>
            <w:tcW w:w="914" w:type="dxa"/>
            <w:shd w:val="clear" w:color="auto" w:fill="auto"/>
          </w:tcPr>
          <w:p w14:paraId="1C0144C6" w14:textId="2DADFA17" w:rsidR="00475468" w:rsidRPr="00470BD7" w:rsidRDefault="007B5D21" w:rsidP="008828DF">
            <w:pPr>
              <w:jc w:val="both"/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PRH.8</w:t>
            </w:r>
          </w:p>
        </w:tc>
        <w:tc>
          <w:tcPr>
            <w:tcW w:w="4048" w:type="dxa"/>
            <w:shd w:val="clear" w:color="auto" w:fill="auto"/>
          </w:tcPr>
          <w:p w14:paraId="77B831D3" w14:textId="76B0C8D2" w:rsidR="00475468" w:rsidRPr="00470BD7" w:rsidRDefault="00100E2D" w:rsidP="008828DF">
            <w:pPr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Analizar el impacto de las estructuras orgánicas en el cumplimiento de sus objetivos y resultados institucionales.</w:t>
            </w:r>
          </w:p>
        </w:tc>
        <w:tc>
          <w:tcPr>
            <w:tcW w:w="4394" w:type="dxa"/>
            <w:shd w:val="clear" w:color="auto" w:fill="auto"/>
          </w:tcPr>
          <w:p w14:paraId="705C59F2" w14:textId="1503E1AC" w:rsidR="00475468" w:rsidRPr="00470BD7" w:rsidRDefault="00D32196" w:rsidP="00D32196">
            <w:pPr>
              <w:rPr>
                <w:rFonts w:ascii="Montserrat" w:hAnsi="Montserrat"/>
              </w:rPr>
            </w:pPr>
            <w:r w:rsidRPr="00D32196">
              <w:rPr>
                <w:rFonts w:ascii="Montserrat" w:hAnsi="Montserrat"/>
              </w:rPr>
              <w:t>Estas acciones son responsabilidad de la Coordinadora Sectorial. Para dar cumplimiento a</w:t>
            </w:r>
            <w:r>
              <w:rPr>
                <w:rFonts w:ascii="Montserrat" w:hAnsi="Montserrat"/>
              </w:rPr>
              <w:t>l</w:t>
            </w:r>
            <w:r w:rsidRPr="00D32196">
              <w:rPr>
                <w:rFonts w:ascii="Montserrat" w:hAnsi="Montserrat"/>
              </w:rPr>
              <w:t xml:space="preserve"> compromiso</w:t>
            </w:r>
            <w:r w:rsidR="00EA73ED">
              <w:rPr>
                <w:rFonts w:ascii="Montserrat" w:hAnsi="Montserrat"/>
              </w:rPr>
              <w:t>,</w:t>
            </w:r>
            <w:r w:rsidRPr="00D32196">
              <w:rPr>
                <w:rFonts w:ascii="Montserrat" w:hAnsi="Montserrat"/>
              </w:rPr>
              <w:t xml:space="preserve"> </w:t>
            </w:r>
            <w:r w:rsidR="007754CD">
              <w:rPr>
                <w:rFonts w:ascii="Montserrat" w:hAnsi="Montserrat"/>
              </w:rPr>
              <w:t>CONACYT</w:t>
            </w:r>
            <w:r w:rsidRPr="00D32196">
              <w:rPr>
                <w:rFonts w:ascii="Montserrat" w:hAnsi="Montserrat"/>
              </w:rPr>
              <w:t xml:space="preserve"> solicitó, en el mes de diciembre 2020, el </w:t>
            </w:r>
            <w:r w:rsidRPr="00D32196">
              <w:rPr>
                <w:rFonts w:ascii="Montserrat" w:hAnsi="Montserrat"/>
              </w:rPr>
              <w:lastRenderedPageBreak/>
              <w:t xml:space="preserve">formato "Elementos de análisis" para la definición del modelo de impacto organizacional de las estructuras orgánicas. Durante 2021 no </w:t>
            </w:r>
            <w:r>
              <w:rPr>
                <w:rFonts w:ascii="Montserrat" w:hAnsi="Montserrat"/>
              </w:rPr>
              <w:t>se percibió</w:t>
            </w:r>
            <w:r w:rsidRPr="00D32196">
              <w:rPr>
                <w:rFonts w:ascii="Montserrat" w:hAnsi="Montserrat"/>
              </w:rPr>
              <w:t xml:space="preserve"> ningún avance en este tema. La fecha límite para cumplir con este compromiso es </w:t>
            </w:r>
            <w:r w:rsidRPr="00DD3BB6">
              <w:rPr>
                <w:rFonts w:ascii="Montserrat" w:hAnsi="Montserrat"/>
                <w:b/>
                <w:bCs/>
              </w:rPr>
              <w:t>diciembre de 2022</w:t>
            </w:r>
            <w:r w:rsidRPr="00D32196">
              <w:rPr>
                <w:rFonts w:ascii="Montserrat" w:hAnsi="Montserrat"/>
              </w:rPr>
              <w:t>.</w:t>
            </w:r>
          </w:p>
        </w:tc>
      </w:tr>
      <w:tr w:rsidR="00D97EA9" w:rsidRPr="00D97EA9" w14:paraId="17CE7C51" w14:textId="77777777" w:rsidTr="00D32196">
        <w:tc>
          <w:tcPr>
            <w:tcW w:w="914" w:type="dxa"/>
            <w:shd w:val="clear" w:color="auto" w:fill="auto"/>
          </w:tcPr>
          <w:p w14:paraId="15AE0F08" w14:textId="60476DCB" w:rsidR="00475468" w:rsidRPr="00470BD7" w:rsidRDefault="007B5D21" w:rsidP="008828DF">
            <w:pPr>
              <w:jc w:val="both"/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lastRenderedPageBreak/>
              <w:t>PRH.10</w:t>
            </w:r>
          </w:p>
        </w:tc>
        <w:tc>
          <w:tcPr>
            <w:tcW w:w="4048" w:type="dxa"/>
            <w:shd w:val="clear" w:color="auto" w:fill="auto"/>
          </w:tcPr>
          <w:p w14:paraId="51836E49" w14:textId="63CB0DC2" w:rsidR="00475468" w:rsidRPr="00470BD7" w:rsidRDefault="00100E2D" w:rsidP="008828DF">
            <w:pPr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Proponer al Comité de Control y Desempeño Institucional los acuerdos que permitan dar cumplimiento a las disposiciones normativas en materia de funciones del servicio público.</w:t>
            </w:r>
          </w:p>
        </w:tc>
        <w:tc>
          <w:tcPr>
            <w:tcW w:w="4394" w:type="dxa"/>
            <w:shd w:val="clear" w:color="auto" w:fill="auto"/>
          </w:tcPr>
          <w:p w14:paraId="3A2AD231" w14:textId="77671BCD" w:rsidR="00475468" w:rsidRPr="00470BD7" w:rsidRDefault="00100E2D" w:rsidP="00DF3AED">
            <w:pPr>
              <w:rPr>
                <w:rFonts w:ascii="Montserrat" w:hAnsi="Montserrat"/>
              </w:rPr>
            </w:pPr>
            <w:r w:rsidRPr="00470BD7">
              <w:rPr>
                <w:rFonts w:ascii="Montserrat" w:hAnsi="Montserrat"/>
              </w:rPr>
              <w:t>Una vez que se tenga aprobado el M</w:t>
            </w:r>
            <w:r w:rsidR="00DF3AED" w:rsidRPr="00470BD7">
              <w:rPr>
                <w:rFonts w:ascii="Montserrat" w:hAnsi="Montserrat"/>
              </w:rPr>
              <w:t>anual de Organización,</w:t>
            </w:r>
            <w:r w:rsidRPr="00470BD7">
              <w:rPr>
                <w:rFonts w:ascii="Montserrat" w:hAnsi="Montserrat"/>
              </w:rPr>
              <w:t xml:space="preserve"> se podrá identificar </w:t>
            </w:r>
            <w:r w:rsidR="00DF3AED" w:rsidRPr="00470BD7">
              <w:rPr>
                <w:rFonts w:ascii="Montserrat" w:hAnsi="Montserrat"/>
              </w:rPr>
              <w:t>si permite</w:t>
            </w:r>
            <w:r w:rsidRPr="00470BD7">
              <w:rPr>
                <w:rFonts w:ascii="Montserrat" w:hAnsi="Montserrat"/>
              </w:rPr>
              <w:t xml:space="preserve"> cumplir con los objetivos y metas institucionales, y en caso de detectar insuficiencias proponer al COCODI acuerdos que permitan corregirlas.</w:t>
            </w:r>
            <w:r w:rsidR="00EA73ED">
              <w:rPr>
                <w:rFonts w:ascii="Montserrat" w:hAnsi="Montserrat"/>
              </w:rPr>
              <w:t xml:space="preserve"> En consecuencia, este compromiso está sujeto a la validación del Manual de Organización de parte de CONACYT, para luego ser presentado ante la Junta de Gobierno para su aprobación.</w:t>
            </w:r>
          </w:p>
        </w:tc>
      </w:tr>
    </w:tbl>
    <w:p w14:paraId="13889743" w14:textId="365C163B" w:rsidR="00470BD7" w:rsidRDefault="00470BD7" w:rsidP="00B15AB9">
      <w:pPr>
        <w:spacing w:line="276" w:lineRule="auto"/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</w:p>
    <w:p w14:paraId="456A6A4C" w14:textId="664C2DDE" w:rsidR="002D05F3" w:rsidRPr="003E4784" w:rsidRDefault="002D05F3" w:rsidP="00B15AB9">
      <w:pPr>
        <w:spacing w:line="276" w:lineRule="auto"/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  <w:r w:rsidRPr="003E4784">
        <w:rPr>
          <w:rFonts w:ascii="Montserrat" w:eastAsia="Calibri" w:hAnsi="Montserrat" w:cs="Times New Roman"/>
          <w:b/>
          <w:bCs/>
          <w:sz w:val="22"/>
          <w:szCs w:val="22"/>
        </w:rPr>
        <w:t>Indicadores</w:t>
      </w:r>
    </w:p>
    <w:p w14:paraId="7113AC1C" w14:textId="58E6C416" w:rsidR="002D05F3" w:rsidRPr="003E4784" w:rsidRDefault="00D32196" w:rsidP="002029AB">
      <w:pPr>
        <w:spacing w:after="160"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En este informe</w:t>
      </w:r>
      <w:r w:rsidR="00C42EDE">
        <w:rPr>
          <w:rFonts w:ascii="Montserrat" w:eastAsia="Calibri" w:hAnsi="Montserrat" w:cs="Times New Roman"/>
          <w:sz w:val="22"/>
          <w:szCs w:val="22"/>
        </w:rPr>
        <w:t xml:space="preserve"> correspondiente a 2021,</w:t>
      </w:r>
      <w:r>
        <w:rPr>
          <w:rFonts w:ascii="Montserrat" w:eastAsia="Calibri" w:hAnsi="Montserrat" w:cs="Times New Roman"/>
          <w:sz w:val="22"/>
          <w:szCs w:val="22"/>
        </w:rPr>
        <w:t xml:space="preserve"> los</w:t>
      </w:r>
      <w:r w:rsidR="002D05F3" w:rsidRPr="003E4784">
        <w:rPr>
          <w:rFonts w:ascii="Montserrat" w:eastAsia="Calibri" w:hAnsi="Montserrat" w:cs="Times New Roman"/>
          <w:sz w:val="22"/>
          <w:szCs w:val="22"/>
        </w:rPr>
        <w:t xml:space="preserve"> 12 indicadores </w:t>
      </w:r>
      <w:r w:rsidR="00D97EA9" w:rsidRPr="003E4784">
        <w:rPr>
          <w:rFonts w:ascii="Montserrat" w:eastAsia="Calibri" w:hAnsi="Montserrat" w:cs="Times New Roman"/>
          <w:sz w:val="22"/>
          <w:szCs w:val="22"/>
        </w:rPr>
        <w:t>se reportan</w:t>
      </w:r>
      <w:r w:rsidR="002D05F3" w:rsidRPr="003E4784">
        <w:rPr>
          <w:rFonts w:ascii="Montserrat" w:eastAsia="Calibri" w:hAnsi="Montserrat" w:cs="Times New Roman"/>
          <w:sz w:val="22"/>
          <w:szCs w:val="22"/>
        </w:rPr>
        <w:t xml:space="preserve">. De </w:t>
      </w:r>
      <w:r w:rsidR="00D97EA9" w:rsidRPr="003E4784">
        <w:rPr>
          <w:rFonts w:ascii="Montserrat" w:eastAsia="Calibri" w:hAnsi="Montserrat" w:cs="Times New Roman"/>
          <w:sz w:val="22"/>
          <w:szCs w:val="22"/>
        </w:rPr>
        <w:t>estos</w:t>
      </w:r>
      <w:r w:rsidR="002D05F3" w:rsidRPr="003E4784">
        <w:rPr>
          <w:rFonts w:ascii="Montserrat" w:eastAsia="Calibri" w:hAnsi="Montserrat" w:cs="Times New Roman"/>
          <w:sz w:val="22"/>
          <w:szCs w:val="22"/>
        </w:rPr>
        <w:t xml:space="preserve">, </w:t>
      </w:r>
      <w:r w:rsidR="00C42EDE">
        <w:rPr>
          <w:rFonts w:ascii="Montserrat" w:eastAsia="Calibri" w:hAnsi="Montserrat" w:cs="Times New Roman"/>
          <w:sz w:val="22"/>
          <w:szCs w:val="22"/>
        </w:rPr>
        <w:t xml:space="preserve">solo </w:t>
      </w:r>
      <w:r w:rsidR="00766927">
        <w:rPr>
          <w:rFonts w:ascii="Montserrat" w:eastAsia="Calibri" w:hAnsi="Montserrat" w:cs="Times New Roman"/>
          <w:sz w:val="22"/>
          <w:szCs w:val="22"/>
        </w:rPr>
        <w:t>5</w:t>
      </w:r>
      <w:r w:rsidR="003E4784">
        <w:rPr>
          <w:rFonts w:ascii="Montserrat" w:eastAsia="Calibri" w:hAnsi="Montserrat" w:cs="Times New Roman"/>
          <w:sz w:val="22"/>
          <w:szCs w:val="22"/>
        </w:rPr>
        <w:t xml:space="preserve"> presentan avances</w:t>
      </w:r>
      <w:r w:rsidR="002D05F3" w:rsidRPr="003E4784">
        <w:rPr>
          <w:rFonts w:ascii="Montserrat" w:eastAsia="Calibri" w:hAnsi="Montserrat" w:cs="Times New Roman"/>
          <w:sz w:val="22"/>
          <w:szCs w:val="22"/>
        </w:rPr>
        <w:t xml:space="preserve">, como lo muestra la Tabla 3. </w:t>
      </w:r>
    </w:p>
    <w:p w14:paraId="1ED51C6A" w14:textId="72FD2115" w:rsidR="00B15AB9" w:rsidRDefault="00B15AB9" w:rsidP="00B15AB9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 xml:space="preserve">Tabla </w:t>
      </w:r>
      <w:r w:rsidR="002D05F3">
        <w:rPr>
          <w:rFonts w:ascii="Montserrat" w:eastAsia="Calibri" w:hAnsi="Montserrat" w:cs="Times New Roman"/>
          <w:sz w:val="22"/>
          <w:szCs w:val="22"/>
        </w:rPr>
        <w:t>3</w:t>
      </w:r>
      <w:r>
        <w:rPr>
          <w:rFonts w:ascii="Montserrat" w:eastAsia="Calibri" w:hAnsi="Montserrat" w:cs="Times New Roman"/>
          <w:sz w:val="22"/>
          <w:szCs w:val="22"/>
        </w:rPr>
        <w:t xml:space="preserve">. </w:t>
      </w:r>
      <w:r w:rsidR="00C42EDE">
        <w:rPr>
          <w:rFonts w:ascii="Montserrat" w:eastAsia="Calibri" w:hAnsi="Montserrat" w:cs="Times New Roman"/>
          <w:sz w:val="22"/>
          <w:szCs w:val="22"/>
        </w:rPr>
        <w:t>Cumplimiento</w:t>
      </w:r>
      <w:r>
        <w:rPr>
          <w:rFonts w:ascii="Montserrat" w:eastAsia="Calibri" w:hAnsi="Montserrat" w:cs="Times New Roman"/>
          <w:sz w:val="22"/>
          <w:szCs w:val="22"/>
        </w:rPr>
        <w:t xml:space="preserve"> en indicadores (%)-2021</w:t>
      </w:r>
    </w:p>
    <w:tbl>
      <w:tblPr>
        <w:tblStyle w:val="Tablaconcuadrc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984"/>
        <w:gridCol w:w="2693"/>
      </w:tblGrid>
      <w:tr w:rsidR="008C50B1" w:rsidRPr="008C50B1" w14:paraId="095692CC" w14:textId="77777777" w:rsidTr="00C42EDE">
        <w:tc>
          <w:tcPr>
            <w:tcW w:w="3402" w:type="dxa"/>
          </w:tcPr>
          <w:p w14:paraId="41E38C67" w14:textId="57FEA570" w:rsidR="00B15AB9" w:rsidRPr="008C50B1" w:rsidRDefault="00B15AB9" w:rsidP="00475468">
            <w:pPr>
              <w:jc w:val="center"/>
              <w:rPr>
                <w:rFonts w:ascii="Montserrat" w:hAnsi="Montserrat"/>
                <w:b/>
                <w:bCs/>
              </w:rPr>
            </w:pPr>
            <w:r w:rsidRPr="008C50B1">
              <w:rPr>
                <w:rFonts w:ascii="Montserrat" w:hAnsi="Montserrat"/>
                <w:b/>
                <w:bCs/>
              </w:rPr>
              <w:t>Indicador</w:t>
            </w:r>
          </w:p>
        </w:tc>
        <w:tc>
          <w:tcPr>
            <w:tcW w:w="1560" w:type="dxa"/>
          </w:tcPr>
          <w:p w14:paraId="518E1260" w14:textId="7DFE1F2F" w:rsidR="00B15AB9" w:rsidRPr="008C50B1" w:rsidRDefault="00B15AB9" w:rsidP="00475468">
            <w:pPr>
              <w:jc w:val="center"/>
              <w:rPr>
                <w:rFonts w:ascii="Montserrat" w:hAnsi="Montserrat"/>
                <w:b/>
                <w:bCs/>
              </w:rPr>
            </w:pPr>
            <w:r w:rsidRPr="008C50B1">
              <w:rPr>
                <w:rFonts w:ascii="Montserrat" w:hAnsi="Montserrat"/>
                <w:b/>
                <w:bCs/>
              </w:rPr>
              <w:t>Periodicidad</w:t>
            </w:r>
          </w:p>
        </w:tc>
        <w:tc>
          <w:tcPr>
            <w:tcW w:w="1984" w:type="dxa"/>
          </w:tcPr>
          <w:p w14:paraId="208A8331" w14:textId="77777777" w:rsidR="00B15AB9" w:rsidRDefault="00B15AB9" w:rsidP="00475468">
            <w:pPr>
              <w:jc w:val="center"/>
              <w:rPr>
                <w:rFonts w:ascii="Montserrat" w:hAnsi="Montserrat"/>
                <w:b/>
                <w:bCs/>
              </w:rPr>
            </w:pPr>
            <w:r w:rsidRPr="008C50B1">
              <w:rPr>
                <w:rFonts w:ascii="Montserrat" w:hAnsi="Montserrat"/>
                <w:b/>
                <w:bCs/>
              </w:rPr>
              <w:t xml:space="preserve">Situación </w:t>
            </w:r>
          </w:p>
          <w:p w14:paraId="5263C73D" w14:textId="1B261F46" w:rsidR="00C42EDE" w:rsidRPr="008C50B1" w:rsidRDefault="00C42EDE" w:rsidP="00475468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3" w:type="dxa"/>
          </w:tcPr>
          <w:p w14:paraId="58DF4B3F" w14:textId="7DE9B623" w:rsidR="00B15AB9" w:rsidRPr="008C50B1" w:rsidRDefault="008C50B1" w:rsidP="00475468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Observaciones</w:t>
            </w:r>
          </w:p>
        </w:tc>
      </w:tr>
      <w:tr w:rsidR="007C79A2" w:rsidRPr="007C79A2" w14:paraId="1E5FADE2" w14:textId="77777777" w:rsidTr="00C42EDE">
        <w:tc>
          <w:tcPr>
            <w:tcW w:w="3402" w:type="dxa"/>
          </w:tcPr>
          <w:p w14:paraId="594A4698" w14:textId="318C58E7" w:rsidR="00B15AB9" w:rsidRPr="007C79A2" w:rsidRDefault="00B15AB9" w:rsidP="00B32373">
            <w:pPr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ICC1. % contratos registrados en la bitácora electrónica de seguimiento de adquisiciones</w:t>
            </w:r>
          </w:p>
        </w:tc>
        <w:tc>
          <w:tcPr>
            <w:tcW w:w="1560" w:type="dxa"/>
          </w:tcPr>
          <w:p w14:paraId="11830EB0" w14:textId="608B58C9" w:rsidR="00B15AB9" w:rsidRPr="007C79A2" w:rsidRDefault="00B32373" w:rsidP="007241FD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Trimestral</w:t>
            </w:r>
          </w:p>
        </w:tc>
        <w:tc>
          <w:tcPr>
            <w:tcW w:w="1984" w:type="dxa"/>
          </w:tcPr>
          <w:p w14:paraId="6BD724C4" w14:textId="404F4B61" w:rsidR="00B15AB9" w:rsidRPr="007C79A2" w:rsidRDefault="00B32373" w:rsidP="00475468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Sin reporte</w:t>
            </w:r>
          </w:p>
        </w:tc>
        <w:tc>
          <w:tcPr>
            <w:tcW w:w="2693" w:type="dxa"/>
          </w:tcPr>
          <w:p w14:paraId="4EC2B7F4" w14:textId="77777777" w:rsidR="00B15AB9" w:rsidRDefault="00C42EDE" w:rsidP="007C79A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 SFP no ha liberado aun la bitácora (BESA) para reportar.</w:t>
            </w:r>
          </w:p>
          <w:p w14:paraId="37AA6133" w14:textId="3DA3C4D3" w:rsidR="00C42EDE" w:rsidRPr="007C79A2" w:rsidRDefault="00C42EDE" w:rsidP="007C79A2">
            <w:pPr>
              <w:rPr>
                <w:rFonts w:ascii="Montserrat" w:hAnsi="Montserrat"/>
              </w:rPr>
            </w:pPr>
          </w:p>
        </w:tc>
      </w:tr>
      <w:tr w:rsidR="007C79A2" w:rsidRPr="007C79A2" w14:paraId="199267DF" w14:textId="77777777" w:rsidTr="00C42EDE">
        <w:tc>
          <w:tcPr>
            <w:tcW w:w="3402" w:type="dxa"/>
          </w:tcPr>
          <w:p w14:paraId="579E6E19" w14:textId="5A91AABE" w:rsidR="00B15AB9" w:rsidRPr="007C79A2" w:rsidRDefault="00475468" w:rsidP="00B32373">
            <w:pPr>
              <w:jc w:val="both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ICC2. % de atención de acuerdos de los COCODI relacionados con el seguimiento de las metas de los programas presupuestarios</w:t>
            </w:r>
          </w:p>
        </w:tc>
        <w:tc>
          <w:tcPr>
            <w:tcW w:w="1560" w:type="dxa"/>
          </w:tcPr>
          <w:p w14:paraId="73F29B5B" w14:textId="2C693F9F" w:rsidR="00B15AB9" w:rsidRPr="007C79A2" w:rsidRDefault="00475468" w:rsidP="007241FD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Trimestral</w:t>
            </w:r>
          </w:p>
        </w:tc>
        <w:tc>
          <w:tcPr>
            <w:tcW w:w="1984" w:type="dxa"/>
          </w:tcPr>
          <w:p w14:paraId="3D3EEFF0" w14:textId="578FBA7A" w:rsidR="00B15AB9" w:rsidRPr="007C79A2" w:rsidRDefault="00475468" w:rsidP="00475468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Sin reporte</w:t>
            </w:r>
          </w:p>
        </w:tc>
        <w:tc>
          <w:tcPr>
            <w:tcW w:w="2693" w:type="dxa"/>
          </w:tcPr>
          <w:p w14:paraId="62AC2BAE" w14:textId="62A1930E" w:rsidR="00B15AB9" w:rsidRDefault="00475468" w:rsidP="00B32373">
            <w:pPr>
              <w:jc w:val="both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 xml:space="preserve">No </w:t>
            </w:r>
            <w:r w:rsidR="00C42EDE">
              <w:rPr>
                <w:rFonts w:ascii="Montserrat" w:hAnsi="Montserrat"/>
              </w:rPr>
              <w:t xml:space="preserve">fue necesario solicitar acuerdo en COCODI ya que la variación entre el </w:t>
            </w:r>
            <w:r w:rsidR="00E57B27">
              <w:rPr>
                <w:rFonts w:ascii="Montserrat" w:hAnsi="Montserrat"/>
              </w:rPr>
              <w:t>presupuesto programado</w:t>
            </w:r>
            <w:r w:rsidR="00C42EDE">
              <w:rPr>
                <w:rFonts w:ascii="Montserrat" w:hAnsi="Montserrat"/>
              </w:rPr>
              <w:t xml:space="preserve"> y el ejecutado es mínima y no afectó el cumplimiento de las metas institucionales.</w:t>
            </w:r>
          </w:p>
          <w:p w14:paraId="3287AA06" w14:textId="45D39FF4" w:rsidR="00C42EDE" w:rsidRPr="007C79A2" w:rsidRDefault="00C42EDE" w:rsidP="00B32373">
            <w:pPr>
              <w:jc w:val="both"/>
              <w:rPr>
                <w:rFonts w:ascii="Montserrat" w:hAnsi="Montserrat"/>
              </w:rPr>
            </w:pPr>
          </w:p>
        </w:tc>
      </w:tr>
      <w:tr w:rsidR="007C79A2" w:rsidRPr="007C79A2" w14:paraId="1276C94A" w14:textId="77777777" w:rsidTr="00C42EDE">
        <w:tc>
          <w:tcPr>
            <w:tcW w:w="3402" w:type="dxa"/>
          </w:tcPr>
          <w:p w14:paraId="6D1F3187" w14:textId="77777777" w:rsidR="00B15AB9" w:rsidRDefault="00475468" w:rsidP="00B32373">
            <w:pPr>
              <w:jc w:val="both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ICI1. % difusión de posibles faltas administrativas de las personas servidoras públicas y sanciones</w:t>
            </w:r>
          </w:p>
          <w:p w14:paraId="20A798A0" w14:textId="5F80D95A" w:rsidR="00B627B1" w:rsidRPr="007C79A2" w:rsidRDefault="00B627B1" w:rsidP="00B32373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560" w:type="dxa"/>
          </w:tcPr>
          <w:p w14:paraId="5896F7F5" w14:textId="2325B365" w:rsidR="00B15AB9" w:rsidRPr="007C79A2" w:rsidRDefault="00475468" w:rsidP="007241FD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Trimestral</w:t>
            </w:r>
          </w:p>
        </w:tc>
        <w:tc>
          <w:tcPr>
            <w:tcW w:w="1984" w:type="dxa"/>
          </w:tcPr>
          <w:p w14:paraId="76161B3C" w14:textId="491FD098" w:rsidR="00475468" w:rsidRPr="007C79A2" w:rsidRDefault="00475468" w:rsidP="00475468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(3/3)</w:t>
            </w:r>
          </w:p>
          <w:p w14:paraId="32B356EF" w14:textId="704A867B" w:rsidR="00B15AB9" w:rsidRPr="007C79A2" w:rsidRDefault="00475468" w:rsidP="00475468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= 100%</w:t>
            </w:r>
          </w:p>
        </w:tc>
        <w:tc>
          <w:tcPr>
            <w:tcW w:w="2693" w:type="dxa"/>
          </w:tcPr>
          <w:p w14:paraId="251ADC01" w14:textId="65C3B1A5" w:rsidR="00B15AB9" w:rsidRPr="007C79A2" w:rsidRDefault="00493694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Acción </w:t>
            </w:r>
            <w:r w:rsidR="00FD79CC">
              <w:rPr>
                <w:rFonts w:ascii="Montserrat" w:hAnsi="Montserrat"/>
              </w:rPr>
              <w:t>cumplid</w:t>
            </w:r>
            <w:r>
              <w:rPr>
                <w:rFonts w:ascii="Montserrat" w:hAnsi="Montserrat"/>
              </w:rPr>
              <w:t>a</w:t>
            </w:r>
          </w:p>
        </w:tc>
      </w:tr>
      <w:tr w:rsidR="007C79A2" w:rsidRPr="007C79A2" w14:paraId="2E6370A3" w14:textId="77777777" w:rsidTr="00C42EDE">
        <w:tc>
          <w:tcPr>
            <w:tcW w:w="3402" w:type="dxa"/>
          </w:tcPr>
          <w:p w14:paraId="7214D4D3" w14:textId="2068A220" w:rsidR="00B15AB9" w:rsidRPr="007C79A2" w:rsidRDefault="00475468" w:rsidP="00B32373">
            <w:pPr>
              <w:jc w:val="both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lastRenderedPageBreak/>
              <w:t>ICI2. Eficacia en asesorías y consultas brindadas en materia de conflictos de intereses</w:t>
            </w:r>
          </w:p>
        </w:tc>
        <w:tc>
          <w:tcPr>
            <w:tcW w:w="1560" w:type="dxa"/>
          </w:tcPr>
          <w:p w14:paraId="2435A4A8" w14:textId="7AF129BC" w:rsidR="00B15AB9" w:rsidRPr="007C79A2" w:rsidRDefault="00475468" w:rsidP="007241FD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Trimestral</w:t>
            </w:r>
          </w:p>
        </w:tc>
        <w:tc>
          <w:tcPr>
            <w:tcW w:w="1984" w:type="dxa"/>
          </w:tcPr>
          <w:p w14:paraId="38FA7A34" w14:textId="4663FC58" w:rsidR="00475468" w:rsidRPr="007C79A2" w:rsidRDefault="007C79A2" w:rsidP="00475468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Sin reporte</w:t>
            </w:r>
          </w:p>
        </w:tc>
        <w:tc>
          <w:tcPr>
            <w:tcW w:w="2693" w:type="dxa"/>
          </w:tcPr>
          <w:p w14:paraId="7C2EE711" w14:textId="5DD22234" w:rsidR="00B15AB9" w:rsidRPr="007C79A2" w:rsidRDefault="00FD79CC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Indicador trimestral. En el cuarto trimestre 2021, no hubo </w:t>
            </w:r>
            <w:r w:rsidR="007C79A2" w:rsidRPr="007C79A2">
              <w:rPr>
                <w:rFonts w:ascii="Montserrat" w:hAnsi="Montserrat"/>
              </w:rPr>
              <w:t>solicitud de asesoría ni consultas</w:t>
            </w:r>
          </w:p>
        </w:tc>
      </w:tr>
      <w:tr w:rsidR="007C79A2" w:rsidRPr="007C79A2" w14:paraId="32B80799" w14:textId="77777777" w:rsidTr="00C42EDE">
        <w:tc>
          <w:tcPr>
            <w:tcW w:w="3402" w:type="dxa"/>
          </w:tcPr>
          <w:p w14:paraId="37E4E1A0" w14:textId="4E8C8584" w:rsidR="00B15AB9" w:rsidRPr="007C79A2" w:rsidRDefault="00DD22E7" w:rsidP="00B32373">
            <w:pPr>
              <w:jc w:val="both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ICI3. % Denuncias remitidas a titulares de áreas de queja de los OIC</w:t>
            </w:r>
          </w:p>
        </w:tc>
        <w:tc>
          <w:tcPr>
            <w:tcW w:w="1560" w:type="dxa"/>
          </w:tcPr>
          <w:p w14:paraId="62B08ABE" w14:textId="0B29CB84" w:rsidR="00B15AB9" w:rsidRPr="007C79A2" w:rsidRDefault="00DD22E7" w:rsidP="007241FD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Trimestral</w:t>
            </w:r>
          </w:p>
        </w:tc>
        <w:tc>
          <w:tcPr>
            <w:tcW w:w="1984" w:type="dxa"/>
          </w:tcPr>
          <w:p w14:paraId="29C79023" w14:textId="55B1DD2B" w:rsidR="00B15AB9" w:rsidRPr="007C79A2" w:rsidRDefault="00DD22E7" w:rsidP="00475468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Sin reporte</w:t>
            </w:r>
          </w:p>
        </w:tc>
        <w:tc>
          <w:tcPr>
            <w:tcW w:w="2693" w:type="dxa"/>
          </w:tcPr>
          <w:p w14:paraId="2735EA6D" w14:textId="3AEF9B6C" w:rsidR="00B15AB9" w:rsidRDefault="00FD79CC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Indicador trimestral. En el cuarto trimestre, ni en el año 2021, hubo denuncias de este tipo, por lo que este indicador no es aplicable.</w:t>
            </w:r>
          </w:p>
          <w:p w14:paraId="67F164E1" w14:textId="01E0C6C3" w:rsidR="00FD79CC" w:rsidRPr="007C79A2" w:rsidRDefault="00FD79CC" w:rsidP="00B32373">
            <w:pPr>
              <w:jc w:val="both"/>
              <w:rPr>
                <w:rFonts w:ascii="Montserrat" w:hAnsi="Montserrat"/>
              </w:rPr>
            </w:pPr>
          </w:p>
        </w:tc>
      </w:tr>
      <w:tr w:rsidR="00CD6D0D" w:rsidRPr="007C79A2" w14:paraId="35863CB8" w14:textId="77777777" w:rsidTr="00C42EDE">
        <w:tc>
          <w:tcPr>
            <w:tcW w:w="3402" w:type="dxa"/>
          </w:tcPr>
          <w:p w14:paraId="5CA458BD" w14:textId="1A64C87F" w:rsidR="00CD6D0D" w:rsidRPr="007C79A2" w:rsidRDefault="00CD6D0D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IMGP2. Cociente de </w:t>
            </w:r>
            <w:r w:rsidR="001D06B6">
              <w:rPr>
                <w:rFonts w:ascii="Montserrat" w:hAnsi="Montserrat"/>
              </w:rPr>
              <w:t>r</w:t>
            </w:r>
            <w:r>
              <w:rPr>
                <w:rFonts w:ascii="Montserrat" w:hAnsi="Montserrat"/>
              </w:rPr>
              <w:t>ecomposición del gasto programable</w:t>
            </w:r>
          </w:p>
        </w:tc>
        <w:tc>
          <w:tcPr>
            <w:tcW w:w="1560" w:type="dxa"/>
          </w:tcPr>
          <w:p w14:paraId="27ED4013" w14:textId="0C133D00" w:rsidR="00CD6D0D" w:rsidRPr="007C79A2" w:rsidRDefault="00CD6D0D" w:rsidP="007241F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Anual</w:t>
            </w:r>
          </w:p>
        </w:tc>
        <w:tc>
          <w:tcPr>
            <w:tcW w:w="1984" w:type="dxa"/>
          </w:tcPr>
          <w:p w14:paraId="53BFE494" w14:textId="7A386D99" w:rsidR="00CD6D0D" w:rsidRPr="007C79A2" w:rsidRDefault="001D06B6" w:rsidP="00475468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Sin reporte</w:t>
            </w:r>
          </w:p>
        </w:tc>
        <w:tc>
          <w:tcPr>
            <w:tcW w:w="2693" w:type="dxa"/>
          </w:tcPr>
          <w:p w14:paraId="75DCC8F7" w14:textId="246BAD55" w:rsidR="00CD6D0D" w:rsidRDefault="001D06B6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ECOSUR no tiene aprobada </w:t>
            </w:r>
            <w:r w:rsidR="00FD79CC">
              <w:rPr>
                <w:rFonts w:ascii="Montserrat" w:hAnsi="Montserrat"/>
              </w:rPr>
              <w:t xml:space="preserve">una </w:t>
            </w:r>
            <w:r>
              <w:rPr>
                <w:rFonts w:ascii="Montserrat" w:hAnsi="Montserrat"/>
              </w:rPr>
              <w:t>cartera de inversión</w:t>
            </w:r>
            <w:r w:rsidR="00FD79CC">
              <w:rPr>
                <w:rFonts w:ascii="Montserrat" w:hAnsi="Montserrat"/>
              </w:rPr>
              <w:t xml:space="preserve"> por lo que este indicador no es aplicable.</w:t>
            </w:r>
          </w:p>
          <w:p w14:paraId="03B0ED24" w14:textId="5A6F2B4B" w:rsidR="00FD79CC" w:rsidRPr="007C79A2" w:rsidRDefault="00FD79CC" w:rsidP="00B32373">
            <w:pPr>
              <w:jc w:val="both"/>
              <w:rPr>
                <w:rFonts w:ascii="Montserrat" w:hAnsi="Montserrat"/>
              </w:rPr>
            </w:pPr>
          </w:p>
        </w:tc>
      </w:tr>
      <w:tr w:rsidR="001D06B6" w:rsidRPr="007C79A2" w14:paraId="2DAD0418" w14:textId="77777777" w:rsidTr="00C42EDE">
        <w:tc>
          <w:tcPr>
            <w:tcW w:w="3402" w:type="dxa"/>
          </w:tcPr>
          <w:p w14:paraId="25AAE698" w14:textId="63269409" w:rsidR="001D06B6" w:rsidRDefault="001D06B6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IMGP3. Cociente de impacto de los servicios personales</w:t>
            </w:r>
          </w:p>
        </w:tc>
        <w:tc>
          <w:tcPr>
            <w:tcW w:w="1560" w:type="dxa"/>
          </w:tcPr>
          <w:p w14:paraId="285D1955" w14:textId="2EB80106" w:rsidR="001D06B6" w:rsidRDefault="001D06B6" w:rsidP="007241F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Anual</w:t>
            </w:r>
          </w:p>
        </w:tc>
        <w:tc>
          <w:tcPr>
            <w:tcW w:w="1984" w:type="dxa"/>
          </w:tcPr>
          <w:p w14:paraId="5B0F1A93" w14:textId="77777777" w:rsidR="001D06B6" w:rsidRDefault="001D06B6" w:rsidP="00475468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316489102/385098975</w:t>
            </w:r>
          </w:p>
          <w:p w14:paraId="16A189A1" w14:textId="0AD428BC" w:rsidR="001D06B6" w:rsidRDefault="001D06B6" w:rsidP="00475468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= 82.18</w:t>
            </w:r>
            <w:r w:rsidR="004C2BE1">
              <w:rPr>
                <w:rFonts w:ascii="Montserrat" w:hAnsi="Montserrat"/>
              </w:rPr>
              <w:t>%</w:t>
            </w:r>
          </w:p>
        </w:tc>
        <w:tc>
          <w:tcPr>
            <w:tcW w:w="2693" w:type="dxa"/>
          </w:tcPr>
          <w:p w14:paraId="70038EDF" w14:textId="77777777" w:rsidR="001D06B6" w:rsidRDefault="006D1E90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Este cociente observó una baja respecto a 2020 (84.64%), siguiendo la tendencia esperada.</w:t>
            </w:r>
          </w:p>
          <w:p w14:paraId="4E299E5C" w14:textId="7AFA5108" w:rsidR="006D1E90" w:rsidRDefault="006D1E90" w:rsidP="00B32373">
            <w:pPr>
              <w:jc w:val="both"/>
              <w:rPr>
                <w:rFonts w:ascii="Montserrat" w:hAnsi="Montserrat"/>
              </w:rPr>
            </w:pPr>
          </w:p>
        </w:tc>
      </w:tr>
      <w:tr w:rsidR="001D06B6" w:rsidRPr="007C79A2" w14:paraId="688F89DA" w14:textId="77777777" w:rsidTr="00C42EDE">
        <w:tc>
          <w:tcPr>
            <w:tcW w:w="3402" w:type="dxa"/>
          </w:tcPr>
          <w:p w14:paraId="52EEF70C" w14:textId="0BDE64E4" w:rsidR="001D06B6" w:rsidRDefault="001D06B6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IPRH1. Instituciones con estructuras orgánicas con criterios de eficiencia, transparencia y austeridad</w:t>
            </w:r>
          </w:p>
        </w:tc>
        <w:tc>
          <w:tcPr>
            <w:tcW w:w="1560" w:type="dxa"/>
          </w:tcPr>
          <w:p w14:paraId="34885B5B" w14:textId="4B21BB4B" w:rsidR="001D06B6" w:rsidRDefault="001D06B6" w:rsidP="007241F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Anual</w:t>
            </w:r>
          </w:p>
        </w:tc>
        <w:tc>
          <w:tcPr>
            <w:tcW w:w="1984" w:type="dxa"/>
          </w:tcPr>
          <w:p w14:paraId="6E257D49" w14:textId="39406996" w:rsidR="001D06B6" w:rsidRDefault="001D06B6" w:rsidP="00475468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Sin reporte</w:t>
            </w:r>
          </w:p>
        </w:tc>
        <w:tc>
          <w:tcPr>
            <w:tcW w:w="2693" w:type="dxa"/>
          </w:tcPr>
          <w:p w14:paraId="1A5BEB66" w14:textId="77777777" w:rsidR="001D06B6" w:rsidRPr="00493694" w:rsidRDefault="00493694" w:rsidP="00B32373">
            <w:pPr>
              <w:jc w:val="both"/>
              <w:rPr>
                <w:rFonts w:ascii="Montserrat" w:hAnsi="Montserrat"/>
                <w:color w:val="000000" w:themeColor="text1"/>
              </w:rPr>
            </w:pPr>
            <w:r w:rsidRPr="00493694">
              <w:rPr>
                <w:rFonts w:ascii="Montserrat" w:hAnsi="Montserrat"/>
                <w:color w:val="000000" w:themeColor="text1"/>
              </w:rPr>
              <w:t>Esta acción depende de la coordinación sectorial y aun no se ha concluido. Se tiene hasta diciembre de 2022 para cumplir.</w:t>
            </w:r>
          </w:p>
          <w:p w14:paraId="2F444172" w14:textId="53CA7E4B" w:rsidR="00493694" w:rsidRDefault="00493694" w:rsidP="00B32373">
            <w:pPr>
              <w:jc w:val="both"/>
              <w:rPr>
                <w:rFonts w:ascii="Montserrat" w:hAnsi="Montserrat"/>
              </w:rPr>
            </w:pPr>
          </w:p>
        </w:tc>
      </w:tr>
      <w:tr w:rsidR="007C79A2" w:rsidRPr="007C79A2" w14:paraId="711895BB" w14:textId="77777777" w:rsidTr="00C42EDE">
        <w:tc>
          <w:tcPr>
            <w:tcW w:w="3402" w:type="dxa"/>
          </w:tcPr>
          <w:p w14:paraId="7F93952C" w14:textId="77777777" w:rsidR="00DD22E7" w:rsidRDefault="00DD22E7" w:rsidP="00B32373">
            <w:pPr>
              <w:jc w:val="both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IPRH2. Indicador de fomento a la nueva ética pública</w:t>
            </w:r>
          </w:p>
          <w:p w14:paraId="73CCE4E1" w14:textId="1F82FF94" w:rsidR="00493694" w:rsidRPr="007C79A2" w:rsidRDefault="00493694" w:rsidP="00B32373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560" w:type="dxa"/>
          </w:tcPr>
          <w:p w14:paraId="167584C0" w14:textId="23B78910" w:rsidR="00DD22E7" w:rsidRPr="007C79A2" w:rsidRDefault="007241FD" w:rsidP="007241FD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Trimestral</w:t>
            </w:r>
          </w:p>
        </w:tc>
        <w:tc>
          <w:tcPr>
            <w:tcW w:w="1984" w:type="dxa"/>
          </w:tcPr>
          <w:p w14:paraId="35727AB7" w14:textId="3092CD21" w:rsidR="007241FD" w:rsidRPr="007C79A2" w:rsidRDefault="007C79A2" w:rsidP="00475468">
            <w:pPr>
              <w:jc w:val="center"/>
              <w:rPr>
                <w:rFonts w:ascii="Montserrat" w:hAnsi="Montserrat"/>
              </w:rPr>
            </w:pPr>
            <w:r w:rsidRPr="007C79A2">
              <w:rPr>
                <w:rFonts w:ascii="Montserrat" w:hAnsi="Montserrat"/>
              </w:rPr>
              <w:t>(</w:t>
            </w:r>
            <w:r w:rsidR="001D06B6">
              <w:rPr>
                <w:rFonts w:ascii="Montserrat" w:hAnsi="Montserrat"/>
              </w:rPr>
              <w:t>14</w:t>
            </w:r>
            <w:r w:rsidRPr="007C79A2">
              <w:rPr>
                <w:rFonts w:ascii="Montserrat" w:hAnsi="Montserrat"/>
              </w:rPr>
              <w:t>/</w:t>
            </w:r>
            <w:r w:rsidR="004C2BE1">
              <w:rPr>
                <w:rFonts w:ascii="Montserrat" w:hAnsi="Montserrat"/>
              </w:rPr>
              <w:t>14</w:t>
            </w:r>
            <w:r w:rsidRPr="007C79A2">
              <w:rPr>
                <w:rFonts w:ascii="Montserrat" w:hAnsi="Montserrat"/>
              </w:rPr>
              <w:t xml:space="preserve">) *100 = </w:t>
            </w:r>
            <w:r w:rsidR="004C2BE1">
              <w:rPr>
                <w:rFonts w:ascii="Montserrat" w:hAnsi="Montserrat"/>
              </w:rPr>
              <w:t>100%</w:t>
            </w:r>
          </w:p>
        </w:tc>
        <w:tc>
          <w:tcPr>
            <w:tcW w:w="2693" w:type="dxa"/>
          </w:tcPr>
          <w:p w14:paraId="4ECE4DF7" w14:textId="77777777" w:rsidR="00DD22E7" w:rsidRDefault="004C2BE1" w:rsidP="007D21B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Acción concluida</w:t>
            </w:r>
            <w:r w:rsidR="00493694">
              <w:rPr>
                <w:rFonts w:ascii="Montserrat" w:hAnsi="Montserrat"/>
              </w:rPr>
              <w:t>. El Comité de Ética cumplió con todas las actividades de su Plan Anual de Trabajo.</w:t>
            </w:r>
          </w:p>
          <w:p w14:paraId="03DA8478" w14:textId="75440DB2" w:rsidR="00493694" w:rsidRPr="007C79A2" w:rsidRDefault="00493694" w:rsidP="007D21BD">
            <w:pPr>
              <w:rPr>
                <w:rFonts w:ascii="Montserrat" w:hAnsi="Montserrat"/>
              </w:rPr>
            </w:pPr>
          </w:p>
        </w:tc>
      </w:tr>
      <w:tr w:rsidR="00571CF9" w:rsidRPr="00571CF9" w14:paraId="73061800" w14:textId="77777777" w:rsidTr="00C42EDE">
        <w:tc>
          <w:tcPr>
            <w:tcW w:w="3402" w:type="dxa"/>
          </w:tcPr>
          <w:p w14:paraId="5B5456CF" w14:textId="6DD9F156" w:rsidR="00DD22E7" w:rsidRPr="00571CF9" w:rsidRDefault="00DD22E7" w:rsidP="00B32373">
            <w:pPr>
              <w:jc w:val="both"/>
              <w:rPr>
                <w:rFonts w:ascii="Montserrat" w:hAnsi="Montserrat"/>
              </w:rPr>
            </w:pPr>
            <w:r w:rsidRPr="00571CF9">
              <w:rPr>
                <w:rFonts w:ascii="Montserrat" w:hAnsi="Montserrat"/>
              </w:rPr>
              <w:t>IPRH3. Índice de simplificación de procesos y normatividad interna</w:t>
            </w:r>
          </w:p>
        </w:tc>
        <w:tc>
          <w:tcPr>
            <w:tcW w:w="1560" w:type="dxa"/>
          </w:tcPr>
          <w:p w14:paraId="4D9332EB" w14:textId="44DF5ADF" w:rsidR="00DD22E7" w:rsidRPr="00571CF9" w:rsidRDefault="007241FD" w:rsidP="007241FD">
            <w:pPr>
              <w:jc w:val="center"/>
              <w:rPr>
                <w:rFonts w:ascii="Montserrat" w:hAnsi="Montserrat"/>
              </w:rPr>
            </w:pPr>
            <w:r w:rsidRPr="00571CF9">
              <w:rPr>
                <w:rFonts w:ascii="Montserrat" w:hAnsi="Montserrat"/>
              </w:rPr>
              <w:t>Trimestral</w:t>
            </w:r>
          </w:p>
        </w:tc>
        <w:tc>
          <w:tcPr>
            <w:tcW w:w="1984" w:type="dxa"/>
          </w:tcPr>
          <w:p w14:paraId="2315348B" w14:textId="1BCDE602" w:rsidR="00DD22E7" w:rsidRPr="00571CF9" w:rsidRDefault="00571CF9" w:rsidP="00571CF9">
            <w:pPr>
              <w:rPr>
                <w:rFonts w:ascii="Montserrat" w:hAnsi="Montserrat"/>
              </w:rPr>
            </w:pPr>
            <w:r w:rsidRPr="00571CF9">
              <w:rPr>
                <w:rFonts w:ascii="Montserrat" w:hAnsi="Montserrat"/>
              </w:rPr>
              <w:t>(0/4</w:t>
            </w:r>
            <w:r w:rsidR="004C2BE1">
              <w:rPr>
                <w:rFonts w:ascii="Montserrat" w:hAnsi="Montserrat"/>
              </w:rPr>
              <w:t>7</w:t>
            </w:r>
            <w:r w:rsidRPr="00571CF9">
              <w:rPr>
                <w:rFonts w:ascii="Montserrat" w:hAnsi="Montserrat"/>
              </w:rPr>
              <w:t>) + (5/</w:t>
            </w:r>
            <w:proofErr w:type="gramStart"/>
            <w:r w:rsidRPr="00571CF9">
              <w:rPr>
                <w:rFonts w:ascii="Montserrat" w:hAnsi="Montserrat"/>
              </w:rPr>
              <w:t>7)/</w:t>
            </w:r>
            <w:proofErr w:type="gramEnd"/>
            <w:r w:rsidRPr="00571CF9">
              <w:rPr>
                <w:rFonts w:ascii="Montserrat" w:hAnsi="Montserrat"/>
              </w:rPr>
              <w:t xml:space="preserve"> 2</w:t>
            </w:r>
            <w:r>
              <w:rPr>
                <w:rFonts w:ascii="Montserrat" w:hAnsi="Montserrat"/>
              </w:rPr>
              <w:t xml:space="preserve"> </w:t>
            </w:r>
            <w:r w:rsidRPr="00571CF9">
              <w:rPr>
                <w:rFonts w:ascii="Montserrat" w:hAnsi="Montserrat"/>
              </w:rPr>
              <w:t>=</w:t>
            </w:r>
            <w:r>
              <w:rPr>
                <w:rFonts w:ascii="Montserrat" w:hAnsi="Montserrat"/>
              </w:rPr>
              <w:t xml:space="preserve"> </w:t>
            </w:r>
            <w:r w:rsidRPr="00571CF9">
              <w:rPr>
                <w:rFonts w:ascii="Montserrat" w:hAnsi="Montserrat"/>
              </w:rPr>
              <w:t>0+.71/2=.3571</w:t>
            </w:r>
          </w:p>
        </w:tc>
        <w:tc>
          <w:tcPr>
            <w:tcW w:w="2693" w:type="dxa"/>
          </w:tcPr>
          <w:p w14:paraId="045FE0E9" w14:textId="0BD2389E" w:rsidR="00DD22E7" w:rsidRDefault="00E57B27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="00493694">
              <w:rPr>
                <w:rFonts w:ascii="Montserrat" w:hAnsi="Montserrat"/>
              </w:rPr>
              <w:t xml:space="preserve">e </w:t>
            </w:r>
            <w:r>
              <w:rPr>
                <w:rFonts w:ascii="Montserrat" w:hAnsi="Montserrat"/>
              </w:rPr>
              <w:t>inició el reporte de</w:t>
            </w:r>
            <w:r w:rsidR="00493694">
              <w:rPr>
                <w:rFonts w:ascii="Montserrat" w:hAnsi="Montserrat"/>
              </w:rPr>
              <w:t xml:space="preserve"> este indicador</w:t>
            </w:r>
            <w:r>
              <w:rPr>
                <w:rFonts w:ascii="Montserrat" w:hAnsi="Montserrat"/>
              </w:rPr>
              <w:t xml:space="preserve"> en el tercer trimestre 2021. Se </w:t>
            </w:r>
            <w:r w:rsidR="00493694">
              <w:rPr>
                <w:rFonts w:ascii="Montserrat" w:hAnsi="Montserrat"/>
              </w:rPr>
              <w:t>esperan avances significativos en 2022.</w:t>
            </w:r>
          </w:p>
          <w:p w14:paraId="7F8D83CC" w14:textId="36C02533" w:rsidR="00493694" w:rsidRPr="00571CF9" w:rsidRDefault="00493694" w:rsidP="00B32373">
            <w:pPr>
              <w:jc w:val="both"/>
              <w:rPr>
                <w:rFonts w:ascii="Montserrat" w:hAnsi="Montserrat"/>
              </w:rPr>
            </w:pPr>
          </w:p>
        </w:tc>
      </w:tr>
      <w:tr w:rsidR="004C2BE1" w:rsidRPr="00571CF9" w14:paraId="2715080F" w14:textId="77777777" w:rsidTr="00C42EDE">
        <w:tc>
          <w:tcPr>
            <w:tcW w:w="3402" w:type="dxa"/>
          </w:tcPr>
          <w:p w14:paraId="19FDAE1F" w14:textId="57793D1B" w:rsidR="004C2BE1" w:rsidRPr="00571CF9" w:rsidRDefault="004C2BE1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IUB1. </w:t>
            </w:r>
            <w:proofErr w:type="gramStart"/>
            <w:r>
              <w:rPr>
                <w:rFonts w:ascii="Montserrat" w:hAnsi="Montserrat"/>
              </w:rPr>
              <w:t>Participación activa</w:t>
            </w:r>
            <w:proofErr w:type="gramEnd"/>
            <w:r>
              <w:rPr>
                <w:rFonts w:ascii="Montserrat" w:hAnsi="Montserrat"/>
              </w:rPr>
              <w:t xml:space="preserve"> para conducir eficientemente la política inmobiliaria</w:t>
            </w:r>
          </w:p>
        </w:tc>
        <w:tc>
          <w:tcPr>
            <w:tcW w:w="1560" w:type="dxa"/>
          </w:tcPr>
          <w:p w14:paraId="340D98A1" w14:textId="386F7665" w:rsidR="004C2BE1" w:rsidRPr="00571CF9" w:rsidRDefault="004C2BE1" w:rsidP="007241F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Semestral</w:t>
            </w:r>
          </w:p>
        </w:tc>
        <w:tc>
          <w:tcPr>
            <w:tcW w:w="1984" w:type="dxa"/>
          </w:tcPr>
          <w:p w14:paraId="7715ED1E" w14:textId="77777777" w:rsidR="004C2BE1" w:rsidRDefault="004C2BE1" w:rsidP="004C2BE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(7/7)</w:t>
            </w:r>
          </w:p>
          <w:p w14:paraId="08A52944" w14:textId="010C23B6" w:rsidR="004C2BE1" w:rsidRPr="00571CF9" w:rsidRDefault="004C2BE1" w:rsidP="004C2BE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= 100%</w:t>
            </w:r>
          </w:p>
        </w:tc>
        <w:tc>
          <w:tcPr>
            <w:tcW w:w="2693" w:type="dxa"/>
          </w:tcPr>
          <w:p w14:paraId="432CC1D6" w14:textId="6A5EB3EF" w:rsidR="004C2BE1" w:rsidRDefault="004C2BE1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Acción concluida</w:t>
            </w:r>
          </w:p>
        </w:tc>
      </w:tr>
      <w:tr w:rsidR="004C2BE1" w:rsidRPr="00571CF9" w14:paraId="574B23C1" w14:textId="77777777" w:rsidTr="00C42EDE">
        <w:tc>
          <w:tcPr>
            <w:tcW w:w="3402" w:type="dxa"/>
          </w:tcPr>
          <w:p w14:paraId="0A295263" w14:textId="68DD30F9" w:rsidR="004C2BE1" w:rsidRPr="00571CF9" w:rsidRDefault="004C2BE1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IUB3. Inmuebles administrados con dictamen </w:t>
            </w:r>
            <w:proofErr w:type="spellStart"/>
            <w:r>
              <w:rPr>
                <w:rFonts w:ascii="Montserrat" w:hAnsi="Montserrat"/>
              </w:rPr>
              <w:t>valuatorio</w:t>
            </w:r>
            <w:proofErr w:type="spellEnd"/>
            <w:r>
              <w:rPr>
                <w:rFonts w:ascii="Montserrat" w:hAnsi="Montserrat"/>
              </w:rPr>
              <w:t xml:space="preserve"> actualizado</w:t>
            </w:r>
          </w:p>
        </w:tc>
        <w:tc>
          <w:tcPr>
            <w:tcW w:w="1560" w:type="dxa"/>
          </w:tcPr>
          <w:p w14:paraId="6E4A5BF1" w14:textId="668B2088" w:rsidR="004C2BE1" w:rsidRPr="00571CF9" w:rsidRDefault="004C2BE1" w:rsidP="007241FD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Anual</w:t>
            </w:r>
          </w:p>
        </w:tc>
        <w:tc>
          <w:tcPr>
            <w:tcW w:w="1984" w:type="dxa"/>
          </w:tcPr>
          <w:p w14:paraId="35B6290C" w14:textId="465BA6CC" w:rsidR="004C2BE1" w:rsidRPr="00571CF9" w:rsidRDefault="004C2BE1" w:rsidP="004C2BE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Sin reporte</w:t>
            </w:r>
          </w:p>
        </w:tc>
        <w:tc>
          <w:tcPr>
            <w:tcW w:w="2693" w:type="dxa"/>
          </w:tcPr>
          <w:p w14:paraId="62EC0EC7" w14:textId="5BFC5F8F" w:rsidR="004C2BE1" w:rsidRDefault="004C2BE1" w:rsidP="00B32373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El proceso de </w:t>
            </w:r>
            <w:r w:rsidR="00E40169">
              <w:rPr>
                <w:rFonts w:ascii="Montserrat" w:hAnsi="Montserrat"/>
              </w:rPr>
              <w:t xml:space="preserve">dictamen </w:t>
            </w:r>
            <w:proofErr w:type="spellStart"/>
            <w:r w:rsidR="00E40169">
              <w:rPr>
                <w:rFonts w:ascii="Montserrat" w:hAnsi="Montserrat"/>
              </w:rPr>
              <w:t>valuatorio</w:t>
            </w:r>
            <w:proofErr w:type="spellEnd"/>
            <w:r w:rsidR="00E40169">
              <w:rPr>
                <w:rFonts w:ascii="Montserrat" w:hAnsi="Montserrat"/>
              </w:rPr>
              <w:t xml:space="preserve"> ha </w:t>
            </w:r>
            <w:r w:rsidR="00493694">
              <w:rPr>
                <w:rFonts w:ascii="Montserrat" w:hAnsi="Montserrat"/>
              </w:rPr>
              <w:t>iniciado,</w:t>
            </w:r>
            <w:r w:rsidR="00E40169">
              <w:rPr>
                <w:rFonts w:ascii="Montserrat" w:hAnsi="Montserrat"/>
              </w:rPr>
              <w:t xml:space="preserve"> pero </w:t>
            </w:r>
            <w:r w:rsidR="00493694">
              <w:rPr>
                <w:rFonts w:ascii="Montserrat" w:hAnsi="Montserrat"/>
              </w:rPr>
              <w:t>aún</w:t>
            </w:r>
            <w:r w:rsidR="00E40169">
              <w:rPr>
                <w:rFonts w:ascii="Montserrat" w:hAnsi="Montserrat"/>
              </w:rPr>
              <w:t xml:space="preserve"> no concluye.</w:t>
            </w:r>
          </w:p>
          <w:p w14:paraId="2851703A" w14:textId="6D43F3C7" w:rsidR="00493694" w:rsidRDefault="00493694" w:rsidP="00B32373">
            <w:pPr>
              <w:jc w:val="both"/>
              <w:rPr>
                <w:rFonts w:ascii="Montserrat" w:hAnsi="Montserrat"/>
              </w:rPr>
            </w:pPr>
          </w:p>
        </w:tc>
      </w:tr>
    </w:tbl>
    <w:p w14:paraId="651323ED" w14:textId="590A6632" w:rsidR="00B15AB9" w:rsidRDefault="00B15AB9" w:rsidP="002D05F3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7EFF774F" w14:textId="3EF12D8A" w:rsidR="00343B80" w:rsidRDefault="00343B80" w:rsidP="002D05F3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456CE40B" w14:textId="7D755CD3" w:rsidR="002029AB" w:rsidRDefault="002029AB" w:rsidP="002D05F3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1A76FAE6" w14:textId="618400ED" w:rsidR="002029AB" w:rsidRDefault="002029AB" w:rsidP="002D05F3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202466DB" w14:textId="2F8AA279" w:rsidR="002029AB" w:rsidRDefault="002029AB" w:rsidP="002D05F3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7487B74C" w14:textId="5A031280" w:rsidR="002029AB" w:rsidRDefault="002029AB" w:rsidP="002D05F3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Tabla 4. Porcentaje de cumplimiento</w:t>
      </w:r>
    </w:p>
    <w:tbl>
      <w:tblPr>
        <w:tblStyle w:val="Tablaconcuadrcula"/>
        <w:tblW w:w="7371" w:type="dxa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268"/>
      </w:tblGrid>
      <w:tr w:rsidR="00154CDB" w:rsidRPr="00301373" w14:paraId="44F60C21" w14:textId="77777777" w:rsidTr="006840E5">
        <w:trPr>
          <w:trHeight w:val="1229"/>
          <w:jc w:val="center"/>
        </w:trPr>
        <w:tc>
          <w:tcPr>
            <w:tcW w:w="2977" w:type="dxa"/>
            <w:tcBorders>
              <w:right w:val="double" w:sz="4" w:space="0" w:color="auto"/>
            </w:tcBorders>
          </w:tcPr>
          <w:p w14:paraId="06DC0542" w14:textId="77777777" w:rsidR="00154CDB" w:rsidRPr="00301373" w:rsidRDefault="00154CDB" w:rsidP="00870381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301373">
              <w:rPr>
                <w:rFonts w:ascii="Montserrat" w:hAnsi="Montserrat"/>
                <w:b/>
                <w:bCs/>
                <w:sz w:val="22"/>
                <w:szCs w:val="22"/>
              </w:rPr>
              <w:t>Programa</w:t>
            </w:r>
            <w:r>
              <w:rPr>
                <w:rFonts w:ascii="Montserrat" w:hAnsi="Montserrat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</w:tcPr>
          <w:p w14:paraId="41C27A49" w14:textId="77777777" w:rsidR="00154CDB" w:rsidRPr="00AB26CC" w:rsidRDefault="00154CDB" w:rsidP="00870381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B26CC">
              <w:rPr>
                <w:rFonts w:ascii="Montserrat" w:hAnsi="Montserrat"/>
                <w:b/>
                <w:bCs/>
                <w:sz w:val="22"/>
                <w:szCs w:val="22"/>
              </w:rPr>
              <w:t>Compromisos con acciones realizadas</w:t>
            </w:r>
          </w:p>
        </w:tc>
        <w:tc>
          <w:tcPr>
            <w:tcW w:w="2268" w:type="dxa"/>
          </w:tcPr>
          <w:p w14:paraId="5CDA1D08" w14:textId="77777777" w:rsidR="00154CDB" w:rsidRDefault="00154CDB" w:rsidP="00870381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Porcentaje de cumplimiento anual</w:t>
            </w:r>
          </w:p>
          <w:p w14:paraId="3698A5EE" w14:textId="77777777" w:rsidR="00154CDB" w:rsidRPr="00301373" w:rsidRDefault="00154CDB" w:rsidP="00870381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(autoevaluación)</w:t>
            </w:r>
          </w:p>
        </w:tc>
      </w:tr>
      <w:tr w:rsidR="00154CDB" w:rsidRPr="00301373" w14:paraId="767261A0" w14:textId="77777777" w:rsidTr="006840E5">
        <w:trPr>
          <w:jc w:val="center"/>
        </w:trPr>
        <w:tc>
          <w:tcPr>
            <w:tcW w:w="2977" w:type="dxa"/>
            <w:tcBorders>
              <w:right w:val="double" w:sz="4" w:space="0" w:color="auto"/>
            </w:tcBorders>
          </w:tcPr>
          <w:p w14:paraId="2E3C2056" w14:textId="77777777" w:rsidR="00154CDB" w:rsidRPr="00301373" w:rsidRDefault="00154CDB" w:rsidP="00870381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301373">
              <w:rPr>
                <w:rFonts w:ascii="Montserrat" w:hAnsi="Montserrat"/>
                <w:sz w:val="22"/>
                <w:szCs w:val="22"/>
              </w:rPr>
              <w:t>Combate Corrupción (CC)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</w:tcPr>
          <w:p w14:paraId="53B14E9F" w14:textId="77777777" w:rsidR="00154CDB" w:rsidRPr="00AB26CC" w:rsidRDefault="00154CDB" w:rsidP="00870381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5421F942" w14:textId="77777777" w:rsidR="00154CDB" w:rsidRDefault="00154CDB" w:rsidP="00870381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96.7%</w:t>
            </w:r>
          </w:p>
        </w:tc>
      </w:tr>
      <w:tr w:rsidR="00154CDB" w:rsidRPr="00301373" w14:paraId="4C2024A2" w14:textId="77777777" w:rsidTr="006840E5">
        <w:trPr>
          <w:jc w:val="center"/>
        </w:trPr>
        <w:tc>
          <w:tcPr>
            <w:tcW w:w="2977" w:type="dxa"/>
            <w:tcBorders>
              <w:right w:val="double" w:sz="4" w:space="0" w:color="auto"/>
            </w:tcBorders>
          </w:tcPr>
          <w:p w14:paraId="1D181C81" w14:textId="77777777" w:rsidR="00154CDB" w:rsidRPr="00301373" w:rsidRDefault="00154CDB" w:rsidP="00870381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301373">
              <w:rPr>
                <w:rFonts w:ascii="Montserrat" w:hAnsi="Montserrat"/>
                <w:sz w:val="22"/>
                <w:szCs w:val="22"/>
              </w:rPr>
              <w:t>Combate Impunidad (CI)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</w:tcPr>
          <w:p w14:paraId="410A5190" w14:textId="77777777" w:rsidR="00154CDB" w:rsidRPr="00AB26CC" w:rsidRDefault="00154CDB" w:rsidP="00870381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43E7CCD7" w14:textId="77777777" w:rsidR="00154CDB" w:rsidRDefault="00154CDB" w:rsidP="00870381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98.6%</w:t>
            </w:r>
          </w:p>
        </w:tc>
      </w:tr>
      <w:tr w:rsidR="00154CDB" w:rsidRPr="00301373" w14:paraId="3662EFEB" w14:textId="77777777" w:rsidTr="006840E5">
        <w:trPr>
          <w:jc w:val="center"/>
        </w:trPr>
        <w:tc>
          <w:tcPr>
            <w:tcW w:w="2977" w:type="dxa"/>
            <w:tcBorders>
              <w:right w:val="double" w:sz="4" w:space="0" w:color="auto"/>
            </w:tcBorders>
          </w:tcPr>
          <w:p w14:paraId="082A3B10" w14:textId="77777777" w:rsidR="00154CDB" w:rsidRPr="00301373" w:rsidRDefault="00154CDB" w:rsidP="00870381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301373">
              <w:rPr>
                <w:rFonts w:ascii="Montserrat" w:hAnsi="Montserrat"/>
                <w:sz w:val="22"/>
                <w:szCs w:val="22"/>
              </w:rPr>
              <w:t>Mejora Gestión Pública (MGP)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</w:tcPr>
          <w:p w14:paraId="572890FB" w14:textId="77777777" w:rsidR="00154CDB" w:rsidRPr="00AB26CC" w:rsidRDefault="00154CDB" w:rsidP="00870381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14:paraId="4A4EC18D" w14:textId="77777777" w:rsidR="00154CDB" w:rsidRDefault="00154CDB" w:rsidP="00870381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93.3%</w:t>
            </w:r>
          </w:p>
        </w:tc>
      </w:tr>
      <w:tr w:rsidR="00154CDB" w:rsidRPr="00301373" w14:paraId="75116729" w14:textId="77777777" w:rsidTr="006840E5">
        <w:trPr>
          <w:jc w:val="center"/>
        </w:trPr>
        <w:tc>
          <w:tcPr>
            <w:tcW w:w="2977" w:type="dxa"/>
            <w:tcBorders>
              <w:right w:val="double" w:sz="4" w:space="0" w:color="auto"/>
            </w:tcBorders>
          </w:tcPr>
          <w:p w14:paraId="0C9ACAAA" w14:textId="77777777" w:rsidR="00154CDB" w:rsidRPr="00301373" w:rsidRDefault="00154CDB" w:rsidP="00870381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301373">
              <w:rPr>
                <w:rFonts w:ascii="Montserrat" w:hAnsi="Montserrat"/>
                <w:sz w:val="22"/>
                <w:szCs w:val="22"/>
              </w:rPr>
              <w:t>Recursos Humanos (PRH)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</w:tcPr>
          <w:p w14:paraId="295D9741" w14:textId="77777777" w:rsidR="00154CDB" w:rsidRPr="00AB26CC" w:rsidRDefault="00154CDB" w:rsidP="00870381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068054A2" w14:textId="77777777" w:rsidR="00154CDB" w:rsidRDefault="00154CDB" w:rsidP="00870381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92.5%</w:t>
            </w:r>
          </w:p>
        </w:tc>
      </w:tr>
      <w:tr w:rsidR="00154CDB" w:rsidRPr="00301373" w14:paraId="0C7C8F4A" w14:textId="77777777" w:rsidTr="006840E5">
        <w:trPr>
          <w:trHeight w:val="492"/>
          <w:jc w:val="center"/>
        </w:trPr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37AF96B1" w14:textId="77777777" w:rsidR="00154CDB" w:rsidRPr="00301373" w:rsidRDefault="00154CDB" w:rsidP="00870381">
            <w:pPr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  <w:r w:rsidRPr="00301373">
              <w:rPr>
                <w:rFonts w:ascii="Montserrat" w:hAnsi="Montserrat"/>
                <w:sz w:val="22"/>
                <w:szCs w:val="22"/>
              </w:rPr>
              <w:t>Uso de Bienes (UB)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634D572" w14:textId="77777777" w:rsidR="00154CDB" w:rsidRPr="00AB26CC" w:rsidRDefault="00154CDB" w:rsidP="00870381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3ED6BC1" w14:textId="77777777" w:rsidR="00154CDB" w:rsidRDefault="00154CDB" w:rsidP="00870381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87.1%</w:t>
            </w:r>
          </w:p>
        </w:tc>
      </w:tr>
      <w:tr w:rsidR="00154CDB" w:rsidRPr="00301373" w14:paraId="51011DA5" w14:textId="77777777" w:rsidTr="006840E5">
        <w:trPr>
          <w:trHeight w:val="536"/>
          <w:jc w:val="center"/>
        </w:trPr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14:paraId="6EC9C7B6" w14:textId="31DE9A75" w:rsidR="00154CDB" w:rsidRPr="00301373" w:rsidRDefault="00154CDB" w:rsidP="00154CD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301373">
              <w:rPr>
                <w:rFonts w:ascii="Montserrat" w:hAnsi="Montserrat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07108CB" w14:textId="43D84668" w:rsidR="00154CDB" w:rsidRPr="00AB26CC" w:rsidRDefault="00154CDB" w:rsidP="00154CDB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B6B3C58" w14:textId="77777777" w:rsidR="00154CDB" w:rsidRDefault="00154CDB" w:rsidP="00870381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93.5%</w:t>
            </w:r>
          </w:p>
        </w:tc>
      </w:tr>
    </w:tbl>
    <w:p w14:paraId="53A0396A" w14:textId="77777777" w:rsidR="00154CDB" w:rsidRDefault="00154CDB" w:rsidP="00C40874">
      <w:pPr>
        <w:spacing w:line="276" w:lineRule="auto"/>
        <w:jc w:val="both"/>
        <w:rPr>
          <w:rFonts w:ascii="Montserrat" w:eastAsia="Calibri" w:hAnsi="Montserrat" w:cs="Times New Roman"/>
          <w:color w:val="FF0000"/>
          <w:sz w:val="22"/>
          <w:szCs w:val="22"/>
        </w:rPr>
      </w:pPr>
    </w:p>
    <w:p w14:paraId="75CCCBB3" w14:textId="77777777" w:rsidR="006840E5" w:rsidRDefault="00726C88" w:rsidP="00E45E01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  <w:r w:rsidRPr="00C20851">
        <w:rPr>
          <w:rFonts w:ascii="Montserrat" w:eastAsia="Calibri" w:hAnsi="Montserrat" w:cs="Times New Roman"/>
          <w:sz w:val="22"/>
          <w:szCs w:val="22"/>
        </w:rPr>
        <w:t>De</w:t>
      </w:r>
      <w:r>
        <w:rPr>
          <w:rFonts w:ascii="Montserrat" w:eastAsia="Calibri" w:hAnsi="Montserrat" w:cs="Times New Roman"/>
          <w:sz w:val="22"/>
          <w:szCs w:val="22"/>
        </w:rPr>
        <w:t xml:space="preserve"> acuerdo con los resultados y la autoevaluación, la institución considera que </w:t>
      </w:r>
      <w:r w:rsidR="00343B80">
        <w:rPr>
          <w:rFonts w:ascii="Montserrat" w:eastAsia="Calibri" w:hAnsi="Montserrat" w:cs="Times New Roman"/>
          <w:sz w:val="22"/>
          <w:szCs w:val="22"/>
        </w:rPr>
        <w:t xml:space="preserve">ha progresado en llevar la política de austeridad y en fortalecer </w:t>
      </w:r>
      <w:r w:rsidR="00343B80" w:rsidRPr="00343B80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los mecanismos de participación ciudadana y capacitaciones del personal. </w:t>
      </w:r>
      <w:r w:rsidR="006B7BCE">
        <w:rPr>
          <w:rFonts w:ascii="Montserrat" w:eastAsia="Calibri" w:hAnsi="Montserrat" w:cs="Times New Roman"/>
          <w:color w:val="000000" w:themeColor="text1"/>
          <w:sz w:val="22"/>
          <w:szCs w:val="22"/>
        </w:rPr>
        <w:t>El uso eficiente del presupuesto ha permitido cumplir con las metas institucionales. Por otra parte, l</w:t>
      </w:r>
      <w:r w:rsidR="00343B80" w:rsidRPr="00343B80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as estrategias de comunicación </w:t>
      </w:r>
      <w:r w:rsidR="006B7BCE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favorecen conocimiento y </w:t>
      </w:r>
      <w:r w:rsidR="00343B80" w:rsidRPr="00343B80">
        <w:rPr>
          <w:rFonts w:ascii="Montserrat" w:eastAsia="Calibri" w:hAnsi="Montserrat" w:cs="Times New Roman"/>
          <w:color w:val="000000" w:themeColor="text1"/>
          <w:sz w:val="22"/>
          <w:szCs w:val="22"/>
        </w:rPr>
        <w:t>sensibilización</w:t>
      </w:r>
      <w:r w:rsidR="006B7BCE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de la comunidad</w:t>
      </w:r>
      <w:r w:rsidR="00343B80" w:rsidRPr="00343B80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hacia la nueva ética pública. </w:t>
      </w:r>
    </w:p>
    <w:p w14:paraId="02DDBD66" w14:textId="77777777" w:rsidR="006840E5" w:rsidRDefault="006840E5" w:rsidP="00E45E01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</w:p>
    <w:p w14:paraId="2BF10CBB" w14:textId="77777777" w:rsidR="006840E5" w:rsidRDefault="00343B80" w:rsidP="00E45E01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  <w:r w:rsidRPr="00343B80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En otro ámbito </w:t>
      </w:r>
      <w:r w:rsidR="006840E5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la institución </w:t>
      </w:r>
      <w:r w:rsidRPr="00343B80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ha centrado </w:t>
      </w:r>
      <w:r w:rsidR="006840E5">
        <w:rPr>
          <w:rFonts w:ascii="Montserrat" w:eastAsia="Calibri" w:hAnsi="Montserrat" w:cs="Times New Roman"/>
          <w:color w:val="000000" w:themeColor="text1"/>
          <w:sz w:val="22"/>
          <w:szCs w:val="22"/>
        </w:rPr>
        <w:t>su</w:t>
      </w:r>
      <w:r w:rsidRPr="00343B80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atención </w:t>
      </w:r>
      <w:r w:rsidR="006840E5">
        <w:rPr>
          <w:rFonts w:ascii="Montserrat" w:eastAsia="Calibri" w:hAnsi="Montserrat" w:cs="Times New Roman"/>
          <w:color w:val="000000" w:themeColor="text1"/>
          <w:sz w:val="22"/>
          <w:szCs w:val="22"/>
        </w:rPr>
        <w:t>en</w:t>
      </w:r>
      <w:r w:rsidRPr="00343B80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los compromisos relacionados con los procesos y la normatividad (PRH4, PRH5 y PRH6). Para ello se desarrollaron cinco fichas de procesos, de acuerdo con la metodología de las cinco normas del sistema de control interno para asegurar que contengan los elementos requeridos. A pesar de esfuerzos para actualizar la normativa -nueve </w:t>
      </w:r>
      <w:r w:rsidR="00E45E01">
        <w:rPr>
          <w:rFonts w:ascii="Montserrat" w:eastAsia="Calibri" w:hAnsi="Montserrat" w:cs="Times New Roman"/>
          <w:color w:val="000000" w:themeColor="text1"/>
          <w:sz w:val="22"/>
          <w:szCs w:val="22"/>
        </w:rPr>
        <w:t>normas</w:t>
      </w:r>
      <w:r w:rsidRPr="00343B80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fueron modificadas y/o actualizadas- solo el Estatuto Orgánico</w:t>
      </w:r>
      <w:r w:rsidR="000723F5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y el Reglamento de Educación Continua </w:t>
      </w:r>
      <w:r w:rsidRPr="00343B80">
        <w:rPr>
          <w:rFonts w:ascii="Montserrat" w:eastAsia="Calibri" w:hAnsi="Montserrat" w:cs="Times New Roman"/>
          <w:color w:val="000000" w:themeColor="text1"/>
          <w:sz w:val="22"/>
          <w:szCs w:val="22"/>
        </w:rPr>
        <w:t>logr</w:t>
      </w:r>
      <w:r w:rsidR="000723F5">
        <w:rPr>
          <w:rFonts w:ascii="Montserrat" w:eastAsia="Calibri" w:hAnsi="Montserrat" w:cs="Times New Roman"/>
          <w:color w:val="000000" w:themeColor="text1"/>
          <w:sz w:val="22"/>
          <w:szCs w:val="22"/>
        </w:rPr>
        <w:t>aron</w:t>
      </w:r>
      <w:r w:rsidRPr="00343B80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su aprobación por la Junta de Gobierno</w:t>
      </w:r>
      <w:r w:rsidR="006840E5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en 2021</w:t>
      </w:r>
      <w:r w:rsidRPr="00343B80">
        <w:rPr>
          <w:rFonts w:ascii="Montserrat" w:eastAsia="Calibri" w:hAnsi="Montserrat" w:cs="Times New Roman"/>
          <w:color w:val="000000" w:themeColor="text1"/>
          <w:sz w:val="22"/>
          <w:szCs w:val="22"/>
        </w:rPr>
        <w:t>.</w:t>
      </w:r>
      <w:r w:rsidR="006B7BCE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 </w:t>
      </w:r>
    </w:p>
    <w:p w14:paraId="735E968F" w14:textId="77777777" w:rsidR="006840E5" w:rsidRDefault="006840E5" w:rsidP="00E45E01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</w:p>
    <w:p w14:paraId="3D285E81" w14:textId="59823600" w:rsidR="00343B80" w:rsidRPr="006B7BCE" w:rsidRDefault="00343B80" w:rsidP="00E45E01">
      <w:pPr>
        <w:spacing w:line="276" w:lineRule="auto"/>
        <w:jc w:val="both"/>
        <w:rPr>
          <w:rFonts w:ascii="Montserrat" w:eastAsia="Calibri" w:hAnsi="Montserrat" w:cs="Times New Roman"/>
          <w:color w:val="000000" w:themeColor="text1"/>
          <w:sz w:val="22"/>
          <w:szCs w:val="22"/>
        </w:rPr>
      </w:pPr>
      <w:r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En otros ámbitos se ha planteado bases para favorecer </w:t>
      </w:r>
      <w:r w:rsidR="006B7BCE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el uso de tecnología y </w:t>
      </w:r>
      <w:r>
        <w:rPr>
          <w:rFonts w:ascii="Montserrat" w:eastAsia="Calibri" w:hAnsi="Montserrat" w:cs="Times New Roman"/>
          <w:color w:val="000000" w:themeColor="text1"/>
          <w:sz w:val="22"/>
          <w:szCs w:val="22"/>
        </w:rPr>
        <w:t>la digitalización</w:t>
      </w:r>
      <w:r w:rsidR="006B7BCE" w:rsidRPr="006B7BCE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. </w:t>
      </w:r>
      <w:r w:rsidRPr="006B7BCE">
        <w:rPr>
          <w:rFonts w:ascii="Montserrat" w:eastAsia="Calibri" w:hAnsi="Montserrat" w:cs="Times New Roman"/>
          <w:color w:val="000000" w:themeColor="text1"/>
          <w:sz w:val="22"/>
          <w:szCs w:val="22"/>
        </w:rPr>
        <w:t xml:space="preserve">Sobre el tema de la preservación del patrimonio inmobiliario, se </w:t>
      </w:r>
      <w:r w:rsidRPr="006B7BCE">
        <w:rPr>
          <w:rFonts w:ascii="Montserrat" w:eastAsia="Calibri" w:hAnsi="Montserrat" w:cs="Times New Roman"/>
          <w:color w:val="000000" w:themeColor="text1"/>
          <w:sz w:val="22"/>
          <w:szCs w:val="22"/>
        </w:rPr>
        <w:lastRenderedPageBreak/>
        <w:t>está dando seguimiento al programa de mantenimiento emitido por cada unidad.</w:t>
      </w:r>
    </w:p>
    <w:p w14:paraId="7686E942" w14:textId="50BE4172" w:rsidR="00343B80" w:rsidRDefault="00343B80" w:rsidP="00726C88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6C74C80B" w14:textId="4C9433DF" w:rsidR="00726C88" w:rsidRDefault="006C61AA" w:rsidP="00726C88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 xml:space="preserve">Este programa permite detectar las áreas </w:t>
      </w:r>
      <w:r w:rsidR="00726C88">
        <w:rPr>
          <w:rFonts w:ascii="Montserrat" w:eastAsia="Calibri" w:hAnsi="Montserrat" w:cs="Times New Roman"/>
          <w:sz w:val="22"/>
          <w:szCs w:val="22"/>
        </w:rPr>
        <w:t>de oportunidad siguientes:</w:t>
      </w:r>
    </w:p>
    <w:p w14:paraId="16270908" w14:textId="77777777" w:rsidR="00A3662D" w:rsidRDefault="00A3662D" w:rsidP="00726C88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572B4043" w14:textId="1C1F3C3C" w:rsidR="00726C88" w:rsidRDefault="00726C88" w:rsidP="00A3662D">
      <w:pPr>
        <w:spacing w:line="276" w:lineRule="auto"/>
        <w:ind w:left="142" w:hanging="142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-</w:t>
      </w:r>
      <w:r w:rsidR="00A3662D">
        <w:rPr>
          <w:rFonts w:ascii="Montserrat" w:eastAsia="Calibri" w:hAnsi="Montserrat" w:cs="Times New Roman"/>
          <w:sz w:val="22"/>
          <w:szCs w:val="22"/>
        </w:rPr>
        <w:t xml:space="preserve"> Fortalecer el uso intensivo de tecnologías a pesar de la imposibilidad de adquirir TIC para revertir la obsolescencia severa a la cual se enfrenta la institución.</w:t>
      </w:r>
    </w:p>
    <w:p w14:paraId="314D2454" w14:textId="40B5F083" w:rsidR="00726C88" w:rsidRDefault="00726C88" w:rsidP="00726C88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-</w:t>
      </w:r>
      <w:r w:rsidR="00A3662D">
        <w:rPr>
          <w:rFonts w:ascii="Montserrat" w:eastAsia="Calibri" w:hAnsi="Montserrat" w:cs="Times New Roman"/>
          <w:sz w:val="22"/>
          <w:szCs w:val="22"/>
        </w:rPr>
        <w:t xml:space="preserve"> Registrar las estructuras organizacionales </w:t>
      </w:r>
      <w:r w:rsidR="003150AB">
        <w:rPr>
          <w:rFonts w:ascii="Montserrat" w:eastAsia="Calibri" w:hAnsi="Montserrat" w:cs="Times New Roman"/>
          <w:sz w:val="22"/>
          <w:szCs w:val="22"/>
        </w:rPr>
        <w:t>con el apoyo de CONACYT.</w:t>
      </w:r>
    </w:p>
    <w:p w14:paraId="77778A1F" w14:textId="383CB811" w:rsidR="00726C88" w:rsidRDefault="00726C88" w:rsidP="00726C88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-</w:t>
      </w:r>
      <w:r w:rsidR="00A3662D">
        <w:rPr>
          <w:rFonts w:ascii="Montserrat" w:eastAsia="Calibri" w:hAnsi="Montserrat" w:cs="Times New Roman"/>
          <w:sz w:val="22"/>
          <w:szCs w:val="22"/>
        </w:rPr>
        <w:t xml:space="preserve"> </w:t>
      </w:r>
      <w:r w:rsidR="003150AB">
        <w:rPr>
          <w:rFonts w:ascii="Montserrat" w:eastAsia="Calibri" w:hAnsi="Montserrat" w:cs="Times New Roman"/>
          <w:sz w:val="22"/>
          <w:szCs w:val="22"/>
        </w:rPr>
        <w:t>Lograr la validación de las normas actualizadas y su registro en el NIAS.</w:t>
      </w:r>
    </w:p>
    <w:p w14:paraId="3FFABEC6" w14:textId="60726315" w:rsidR="00726C88" w:rsidRDefault="00726C88" w:rsidP="00726C88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-</w:t>
      </w:r>
      <w:r w:rsidR="003150AB">
        <w:rPr>
          <w:rFonts w:ascii="Montserrat" w:eastAsia="Calibri" w:hAnsi="Montserrat" w:cs="Times New Roman"/>
          <w:sz w:val="22"/>
          <w:szCs w:val="22"/>
        </w:rPr>
        <w:t xml:space="preserve"> Tramitar el dictamen </w:t>
      </w:r>
      <w:proofErr w:type="spellStart"/>
      <w:r w:rsidR="003150AB">
        <w:rPr>
          <w:rFonts w:ascii="Montserrat" w:eastAsia="Calibri" w:hAnsi="Montserrat" w:cs="Times New Roman"/>
          <w:sz w:val="22"/>
          <w:szCs w:val="22"/>
        </w:rPr>
        <w:t>valuatorio</w:t>
      </w:r>
      <w:proofErr w:type="spellEnd"/>
      <w:r w:rsidR="003150AB">
        <w:rPr>
          <w:rFonts w:ascii="Montserrat" w:eastAsia="Calibri" w:hAnsi="Montserrat" w:cs="Times New Roman"/>
          <w:sz w:val="22"/>
          <w:szCs w:val="22"/>
        </w:rPr>
        <w:t xml:space="preserve"> de los inmuebles de ECOSUR.</w:t>
      </w:r>
    </w:p>
    <w:p w14:paraId="30E1DD4F" w14:textId="77777777" w:rsidR="00256B36" w:rsidRDefault="00256B36" w:rsidP="00726C88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117580FB" w14:textId="4B3E5223" w:rsidR="00726C88" w:rsidRPr="00C20851" w:rsidRDefault="003150AB" w:rsidP="00726C88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En 2022 se espera avanzar en estas áreas para un desempeño conforme a las</w:t>
      </w:r>
      <w:r w:rsidR="00526474">
        <w:rPr>
          <w:rFonts w:ascii="Montserrat" w:eastAsia="Calibri" w:hAnsi="Montserrat" w:cs="Times New Roman"/>
          <w:sz w:val="22"/>
          <w:szCs w:val="22"/>
        </w:rPr>
        <w:t xml:space="preserve"> líneas directivas de este programa.</w:t>
      </w:r>
    </w:p>
    <w:p w14:paraId="63E1E8DC" w14:textId="77777777" w:rsidR="00726C88" w:rsidRDefault="00726C88" w:rsidP="00726C88">
      <w:pPr>
        <w:spacing w:line="276" w:lineRule="auto"/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</w:p>
    <w:p w14:paraId="635D67E4" w14:textId="60A75745" w:rsidR="00D701F5" w:rsidRDefault="00D701F5" w:rsidP="00BD509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C40874">
        <w:rPr>
          <w:rFonts w:ascii="Montserrat" w:eastAsia="Calibri" w:hAnsi="Montserrat" w:cs="Times New Roman"/>
          <w:sz w:val="22"/>
          <w:szCs w:val="22"/>
        </w:rPr>
        <w:t>Todas las evidencias correspondientes a las acciones realizadas se entregar</w:t>
      </w:r>
      <w:r w:rsidR="003E4784">
        <w:rPr>
          <w:rFonts w:ascii="Montserrat" w:eastAsia="Calibri" w:hAnsi="Montserrat" w:cs="Times New Roman"/>
          <w:sz w:val="22"/>
          <w:szCs w:val="22"/>
        </w:rPr>
        <w:t>o</w:t>
      </w:r>
      <w:r w:rsidRPr="00C40874">
        <w:rPr>
          <w:rFonts w:ascii="Montserrat" w:eastAsia="Calibri" w:hAnsi="Montserrat" w:cs="Times New Roman"/>
          <w:sz w:val="22"/>
          <w:szCs w:val="22"/>
        </w:rPr>
        <w:t xml:space="preserve">n al Órgano Interno de Control, para la </w:t>
      </w:r>
      <w:r w:rsidR="00BD5091">
        <w:rPr>
          <w:rFonts w:ascii="Montserrat" w:eastAsia="Calibri" w:hAnsi="Montserrat" w:cs="Times New Roman"/>
          <w:sz w:val="22"/>
          <w:szCs w:val="22"/>
        </w:rPr>
        <w:t xml:space="preserve">supervisión y </w:t>
      </w:r>
      <w:r w:rsidRPr="00C40874">
        <w:rPr>
          <w:rFonts w:ascii="Montserrat" w:eastAsia="Calibri" w:hAnsi="Montserrat" w:cs="Times New Roman"/>
          <w:sz w:val="22"/>
          <w:szCs w:val="22"/>
        </w:rPr>
        <w:t>evaluación correspondiente</w:t>
      </w:r>
      <w:r w:rsidR="00BD5091">
        <w:rPr>
          <w:rFonts w:ascii="Montserrat" w:eastAsia="Calibri" w:hAnsi="Montserrat" w:cs="Times New Roman"/>
          <w:sz w:val="22"/>
          <w:szCs w:val="22"/>
        </w:rPr>
        <w:t>s</w:t>
      </w:r>
      <w:r w:rsidR="005666E7">
        <w:rPr>
          <w:rFonts w:ascii="Montserrat" w:eastAsia="Calibri" w:hAnsi="Montserrat" w:cs="Times New Roman"/>
          <w:sz w:val="22"/>
          <w:szCs w:val="22"/>
        </w:rPr>
        <w:t>, así como las Líneas de acción solicitadas por la SFP para 2022</w:t>
      </w:r>
      <w:r w:rsidR="00BD5091">
        <w:rPr>
          <w:rFonts w:ascii="Montserrat" w:eastAsia="Calibri" w:hAnsi="Montserrat" w:cs="Times New Roman"/>
          <w:sz w:val="22"/>
          <w:szCs w:val="22"/>
        </w:rPr>
        <w:t>.</w:t>
      </w:r>
      <w:r w:rsidR="002B1E3A">
        <w:rPr>
          <w:rFonts w:ascii="Montserrat" w:eastAsia="Calibri" w:hAnsi="Montserrat" w:cs="Times New Roman"/>
          <w:sz w:val="22"/>
          <w:szCs w:val="22"/>
        </w:rPr>
        <w:t xml:space="preserve"> </w:t>
      </w:r>
    </w:p>
    <w:p w14:paraId="3CF1C922" w14:textId="22BDEDE7" w:rsidR="00BD5091" w:rsidRDefault="00BD5091" w:rsidP="00BD5091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14:paraId="40FAF4E8" w14:textId="651EA2EE" w:rsidR="00F16270" w:rsidRPr="00C40874" w:rsidRDefault="00631326" w:rsidP="00631326">
      <w:pPr>
        <w:spacing w:after="160" w:line="276" w:lineRule="auto"/>
        <w:contextualSpacing/>
        <w:jc w:val="both"/>
        <w:rPr>
          <w:rFonts w:ascii="Montserrat" w:eastAsia="Calibri" w:hAnsi="Montserrat" w:cs="Times New Roman"/>
          <w:b/>
          <w:bCs/>
          <w:sz w:val="22"/>
          <w:szCs w:val="22"/>
        </w:rPr>
      </w:pPr>
      <w:r w:rsidRPr="00C40874">
        <w:rPr>
          <w:rFonts w:ascii="Montserrat" w:eastAsia="Calibri" w:hAnsi="Montserrat" w:cs="Times New Roman"/>
          <w:b/>
          <w:bCs/>
          <w:sz w:val="22"/>
          <w:szCs w:val="22"/>
        </w:rPr>
        <w:t>P</w:t>
      </w:r>
      <w:r w:rsidR="00F16270" w:rsidRPr="00C40874">
        <w:rPr>
          <w:rFonts w:ascii="Montserrat" w:eastAsia="Calibri" w:hAnsi="Montserrat" w:cs="Times New Roman"/>
          <w:b/>
          <w:bCs/>
          <w:sz w:val="22"/>
          <w:szCs w:val="22"/>
        </w:rPr>
        <w:t>ersona funcionaria habilitada para dar seguimiento al programa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263"/>
        <w:gridCol w:w="2394"/>
        <w:gridCol w:w="1645"/>
        <w:gridCol w:w="2482"/>
      </w:tblGrid>
      <w:tr w:rsidR="00C40874" w:rsidRPr="00C40874" w14:paraId="58D12C9A" w14:textId="77777777" w:rsidTr="00750983">
        <w:tc>
          <w:tcPr>
            <w:tcW w:w="2263" w:type="dxa"/>
          </w:tcPr>
          <w:p w14:paraId="769237ED" w14:textId="77777777" w:rsidR="00F16270" w:rsidRPr="00C40874" w:rsidRDefault="00F16270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C40874">
              <w:rPr>
                <w:rFonts w:ascii="Montserrat" w:hAnsi="Montserrat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2394" w:type="dxa"/>
          </w:tcPr>
          <w:p w14:paraId="62788285" w14:textId="77777777" w:rsidR="00F16270" w:rsidRPr="00C40874" w:rsidRDefault="00F16270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C40874">
              <w:rPr>
                <w:rFonts w:ascii="Montserrat" w:hAnsi="Montserrat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1645" w:type="dxa"/>
          </w:tcPr>
          <w:p w14:paraId="4434193C" w14:textId="77777777" w:rsidR="00F16270" w:rsidRPr="00C40874" w:rsidRDefault="00F16270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C40874">
              <w:rPr>
                <w:rFonts w:ascii="Montserrat" w:hAnsi="Montserrat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2482" w:type="dxa"/>
          </w:tcPr>
          <w:p w14:paraId="1DB8E260" w14:textId="77777777" w:rsidR="00F16270" w:rsidRPr="00C40874" w:rsidRDefault="00F16270" w:rsidP="005255BE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C40874">
              <w:rPr>
                <w:rFonts w:ascii="Montserrat" w:hAnsi="Montserrat"/>
                <w:b/>
                <w:bCs/>
                <w:sz w:val="22"/>
                <w:szCs w:val="22"/>
              </w:rPr>
              <w:t>correo</w:t>
            </w:r>
          </w:p>
        </w:tc>
      </w:tr>
      <w:tr w:rsidR="00F16270" w:rsidRPr="00C40874" w14:paraId="1F906942" w14:textId="77777777" w:rsidTr="00750983">
        <w:tc>
          <w:tcPr>
            <w:tcW w:w="2263" w:type="dxa"/>
          </w:tcPr>
          <w:p w14:paraId="6BA904D5" w14:textId="77777777" w:rsidR="00F16270" w:rsidRPr="00C40874" w:rsidRDefault="00F16270" w:rsidP="005255BE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C40874">
              <w:rPr>
                <w:rFonts w:ascii="Montserrat" w:hAnsi="Montserrat"/>
                <w:sz w:val="22"/>
                <w:szCs w:val="22"/>
              </w:rPr>
              <w:t>M. A. Leticia Espinosa Cruz</w:t>
            </w:r>
          </w:p>
        </w:tc>
        <w:tc>
          <w:tcPr>
            <w:tcW w:w="2394" w:type="dxa"/>
          </w:tcPr>
          <w:p w14:paraId="4E2B4701" w14:textId="77777777" w:rsidR="00F16270" w:rsidRPr="00C40874" w:rsidRDefault="00F16270" w:rsidP="005255BE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C40874">
              <w:rPr>
                <w:rFonts w:ascii="Montserrat" w:hAnsi="Montserrat"/>
                <w:sz w:val="22"/>
                <w:szCs w:val="22"/>
              </w:rPr>
              <w:t>Directora de Administración</w:t>
            </w:r>
          </w:p>
        </w:tc>
        <w:tc>
          <w:tcPr>
            <w:tcW w:w="1645" w:type="dxa"/>
          </w:tcPr>
          <w:p w14:paraId="6D4FD34B" w14:textId="77777777" w:rsidR="00F16270" w:rsidRPr="00C40874" w:rsidRDefault="00F16270" w:rsidP="005255BE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C40874">
              <w:rPr>
                <w:rFonts w:ascii="Montserrat" w:hAnsi="Montserrat"/>
                <w:sz w:val="22"/>
                <w:szCs w:val="22"/>
              </w:rPr>
              <w:t>967 195 3149</w:t>
            </w:r>
          </w:p>
        </w:tc>
        <w:tc>
          <w:tcPr>
            <w:tcW w:w="2482" w:type="dxa"/>
          </w:tcPr>
          <w:p w14:paraId="2A69CD99" w14:textId="77777777" w:rsidR="00F16270" w:rsidRPr="00C40874" w:rsidRDefault="00FE53D3" w:rsidP="005255BE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hyperlink r:id="rId7" w:history="1">
              <w:r w:rsidR="00F16270" w:rsidRPr="00C40874">
                <w:rPr>
                  <w:rFonts w:ascii="Montserrat" w:hAnsi="Montserrat"/>
                  <w:sz w:val="22"/>
                  <w:szCs w:val="22"/>
                  <w:u w:val="single"/>
                </w:rPr>
                <w:t>lespinos@ecosur.mx</w:t>
              </w:r>
            </w:hyperlink>
          </w:p>
          <w:p w14:paraId="3801290B" w14:textId="77777777" w:rsidR="00F16270" w:rsidRPr="00C40874" w:rsidRDefault="00F16270" w:rsidP="005255BE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C40874">
              <w:rPr>
                <w:rFonts w:ascii="Montserrat" w:hAnsi="Montserrat"/>
                <w:sz w:val="22"/>
                <w:szCs w:val="22"/>
              </w:rPr>
              <w:t>da@ecosur.mx</w:t>
            </w:r>
          </w:p>
        </w:tc>
      </w:tr>
    </w:tbl>
    <w:p w14:paraId="6A468457" w14:textId="77777777" w:rsidR="00D04F57" w:rsidRPr="00C40874" w:rsidRDefault="00D04F57" w:rsidP="005255BE">
      <w:pPr>
        <w:spacing w:line="276" w:lineRule="auto"/>
        <w:jc w:val="both"/>
        <w:rPr>
          <w:rFonts w:ascii="Montserrat" w:hAnsi="Montserrat" w:cstheme="minorHAnsi"/>
          <w:b/>
          <w:bCs/>
          <w:sz w:val="22"/>
          <w:szCs w:val="22"/>
        </w:rPr>
      </w:pPr>
    </w:p>
    <w:p w14:paraId="506A4D02" w14:textId="4BA73FC7" w:rsidR="003B6E1A" w:rsidRPr="00C40874" w:rsidRDefault="00D04F57" w:rsidP="005255BE">
      <w:pPr>
        <w:spacing w:line="276" w:lineRule="auto"/>
        <w:jc w:val="both"/>
        <w:rPr>
          <w:rFonts w:ascii="Montserrat" w:hAnsi="Montserrat" w:cstheme="minorHAnsi"/>
          <w:b/>
          <w:bCs/>
          <w:sz w:val="22"/>
          <w:szCs w:val="22"/>
        </w:rPr>
      </w:pPr>
      <w:r w:rsidRPr="00C40874">
        <w:rPr>
          <w:rFonts w:ascii="Montserrat" w:hAnsi="Montserrat" w:cstheme="minorHAnsi"/>
          <w:b/>
          <w:bCs/>
          <w:sz w:val="22"/>
          <w:szCs w:val="22"/>
        </w:rPr>
        <w:t>Adjuntos</w:t>
      </w:r>
    </w:p>
    <w:p w14:paraId="2BC2C3B3" w14:textId="3B824C53" w:rsidR="00D04F57" w:rsidRPr="00C40874" w:rsidRDefault="00D04F57" w:rsidP="002127EF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theme="minorHAnsi"/>
          <w:sz w:val="22"/>
          <w:szCs w:val="22"/>
        </w:rPr>
      </w:pPr>
      <w:r w:rsidRPr="00C40874">
        <w:rPr>
          <w:rFonts w:ascii="Montserrat" w:hAnsi="Montserrat" w:cstheme="minorHAnsi"/>
          <w:sz w:val="22"/>
          <w:szCs w:val="22"/>
        </w:rPr>
        <w:t>Reporte de los compromisos registrados en el sistema habilitado</w:t>
      </w:r>
    </w:p>
    <w:p w14:paraId="2893E2A3" w14:textId="23094868" w:rsidR="00D04F57" w:rsidRPr="00C40874" w:rsidRDefault="00D04F57" w:rsidP="005255BE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theme="minorHAnsi"/>
          <w:sz w:val="22"/>
          <w:szCs w:val="22"/>
        </w:rPr>
      </w:pPr>
      <w:r w:rsidRPr="00C40874">
        <w:rPr>
          <w:rFonts w:ascii="Montserrat" w:hAnsi="Montserrat" w:cstheme="minorHAnsi"/>
          <w:sz w:val="22"/>
          <w:szCs w:val="22"/>
        </w:rPr>
        <w:t>Reporte de los indicadores registrados en el sistema habilitado</w:t>
      </w:r>
    </w:p>
    <w:sectPr w:rsidR="00D04F57" w:rsidRPr="00C40874" w:rsidSect="00E364CC">
      <w:headerReference w:type="default" r:id="rId8"/>
      <w:footerReference w:type="default" r:id="rId9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057B" w14:textId="77777777" w:rsidR="00FE53D3" w:rsidRDefault="00FE53D3" w:rsidP="00E57969">
      <w:r>
        <w:separator/>
      </w:r>
    </w:p>
  </w:endnote>
  <w:endnote w:type="continuationSeparator" w:id="0">
    <w:p w14:paraId="145D26FA" w14:textId="77777777" w:rsidR="00FE53D3" w:rsidRDefault="00FE53D3" w:rsidP="00E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9CB7" w14:textId="77777777" w:rsidR="00F21825" w:rsidRDefault="00F21825" w:rsidP="00F21825">
    <w:pPr>
      <w:tabs>
        <w:tab w:val="center" w:pos="4419"/>
        <w:tab w:val="right" w:pos="8838"/>
      </w:tabs>
      <w:jc w:val="center"/>
      <w:rPr>
        <w:rFonts w:ascii="Montserrat" w:eastAsia="Batang" w:hAnsi="Montserrat"/>
        <w:b/>
        <w:i/>
        <w:color w:val="A6A6A6"/>
        <w:sz w:val="18"/>
        <w:szCs w:val="18"/>
      </w:rPr>
    </w:pPr>
    <w:bookmarkStart w:id="2" w:name="_Hlk98413462"/>
  </w:p>
  <w:p w14:paraId="715C0472" w14:textId="619A4AC8" w:rsidR="00F21825" w:rsidRPr="00F21825" w:rsidRDefault="00F21825" w:rsidP="00F21825">
    <w:pPr>
      <w:tabs>
        <w:tab w:val="center" w:pos="4419"/>
        <w:tab w:val="right" w:pos="8838"/>
      </w:tabs>
      <w:jc w:val="center"/>
      <w:rPr>
        <w:rFonts w:ascii="Montserrat" w:eastAsia="Batang" w:hAnsi="Montserrat"/>
        <w:b/>
        <w:i/>
        <w:color w:val="A6A6A6"/>
        <w:sz w:val="18"/>
        <w:szCs w:val="18"/>
      </w:rPr>
    </w:pPr>
    <w:r>
      <w:rPr>
        <w:rFonts w:ascii="Montserrat" w:eastAsia="Batang" w:hAnsi="Montserrat"/>
        <w:b/>
        <w:i/>
        <w:color w:val="A6A6A6"/>
        <w:sz w:val="18"/>
        <w:szCs w:val="18"/>
      </w:rPr>
      <w:t>Primera</w:t>
    </w:r>
    <w:r w:rsidRPr="00F21825">
      <w:rPr>
        <w:rFonts w:ascii="Montserrat" w:eastAsia="Batang" w:hAnsi="Montserrat"/>
        <w:b/>
        <w:i/>
        <w:color w:val="A6A6A6"/>
        <w:sz w:val="18"/>
        <w:szCs w:val="18"/>
      </w:rPr>
      <w:t xml:space="preserve"> Sesión Ordinaria de la Junta de Gobierno 202</w:t>
    </w:r>
    <w:r>
      <w:rPr>
        <w:rFonts w:ascii="Montserrat" w:eastAsia="Batang" w:hAnsi="Montserrat"/>
        <w:b/>
        <w:i/>
        <w:color w:val="A6A6A6"/>
        <w:sz w:val="18"/>
        <w:szCs w:val="18"/>
      </w:rPr>
      <w:t>2</w:t>
    </w:r>
    <w:bookmarkEnd w:id="2"/>
  </w:p>
  <w:sdt>
    <w:sdtPr>
      <w:id w:val="863091520"/>
      <w:docPartObj>
        <w:docPartGallery w:val="Page Numbers (Bottom of Page)"/>
        <w:docPartUnique/>
      </w:docPartObj>
    </w:sdtPr>
    <w:sdtContent>
      <w:p w14:paraId="202AB6D8" w14:textId="40860AE0" w:rsidR="00F21825" w:rsidRDefault="00F2182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2AB4462" w14:textId="49E98F49" w:rsidR="00E57969" w:rsidRPr="0066263E" w:rsidRDefault="00E57969" w:rsidP="00F55D12">
    <w:pPr>
      <w:pStyle w:val="Piedepgina"/>
      <w:tabs>
        <w:tab w:val="left" w:pos="7668"/>
      </w:tabs>
      <w:rPr>
        <w:rFonts w:ascii="Montserrat" w:hAnsi="Montserrat"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16D8" w14:textId="77777777" w:rsidR="00FE53D3" w:rsidRDefault="00FE53D3" w:rsidP="00E57969">
      <w:r>
        <w:separator/>
      </w:r>
    </w:p>
  </w:footnote>
  <w:footnote w:type="continuationSeparator" w:id="0">
    <w:p w14:paraId="69CC57E7" w14:textId="77777777" w:rsidR="00FE53D3" w:rsidRDefault="00FE53D3" w:rsidP="00E5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870B" w14:textId="26F3C677" w:rsidR="00EE1715" w:rsidRDefault="006A1865" w:rsidP="00E364CC">
    <w:pPr>
      <w:pStyle w:val="Encabezado"/>
      <w:tabs>
        <w:tab w:val="left" w:pos="113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128D534" wp14:editId="4EFCDEFE">
          <wp:simplePos x="0" y="0"/>
          <wp:positionH relativeFrom="column">
            <wp:posOffset>40005</wp:posOffset>
          </wp:positionH>
          <wp:positionV relativeFrom="paragraph">
            <wp:posOffset>-236855</wp:posOffset>
          </wp:positionV>
          <wp:extent cx="5822315" cy="1042670"/>
          <wp:effectExtent l="0" t="0" r="6985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69FE9" w14:textId="2C3C78D1" w:rsidR="00EE1715" w:rsidRDefault="00EE1715" w:rsidP="00E364CC">
    <w:pPr>
      <w:pStyle w:val="Encabezado"/>
      <w:tabs>
        <w:tab w:val="left" w:pos="1134"/>
      </w:tabs>
    </w:pPr>
  </w:p>
  <w:p w14:paraId="4C55FC95" w14:textId="7FBCA1DA" w:rsidR="00EE1715" w:rsidRDefault="00EE1715" w:rsidP="00E364CC">
    <w:pPr>
      <w:pStyle w:val="Encabezado"/>
      <w:tabs>
        <w:tab w:val="left" w:pos="1134"/>
      </w:tabs>
    </w:pPr>
  </w:p>
  <w:p w14:paraId="0D0547FB" w14:textId="60ABF3FB" w:rsidR="00E57969" w:rsidRDefault="00E57969" w:rsidP="00E364CC">
    <w:pPr>
      <w:pStyle w:val="Encabezado"/>
      <w:tabs>
        <w:tab w:val="left" w:pos="1134"/>
      </w:tabs>
      <w:rPr>
        <w:sz w:val="36"/>
        <w:szCs w:val="36"/>
      </w:rPr>
    </w:pPr>
  </w:p>
  <w:p w14:paraId="3FBBBC26" w14:textId="77777777" w:rsidR="006A1865" w:rsidRPr="006A1865" w:rsidRDefault="006A1865" w:rsidP="00E364CC">
    <w:pPr>
      <w:pStyle w:val="Encabezado"/>
      <w:tabs>
        <w:tab w:val="left" w:pos="1134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A6"/>
    <w:rsid w:val="000321F8"/>
    <w:rsid w:val="000723F5"/>
    <w:rsid w:val="00100E2D"/>
    <w:rsid w:val="00146DD7"/>
    <w:rsid w:val="00154CDB"/>
    <w:rsid w:val="00154FF8"/>
    <w:rsid w:val="00191E6A"/>
    <w:rsid w:val="001C30AA"/>
    <w:rsid w:val="001D06B6"/>
    <w:rsid w:val="002029AB"/>
    <w:rsid w:val="00204FAF"/>
    <w:rsid w:val="0020676A"/>
    <w:rsid w:val="002127EF"/>
    <w:rsid w:val="0021496C"/>
    <w:rsid w:val="002478D4"/>
    <w:rsid w:val="00256B36"/>
    <w:rsid w:val="00260240"/>
    <w:rsid w:val="00282C82"/>
    <w:rsid w:val="002B1E3A"/>
    <w:rsid w:val="002D05F3"/>
    <w:rsid w:val="002E32F7"/>
    <w:rsid w:val="002F2039"/>
    <w:rsid w:val="00301373"/>
    <w:rsid w:val="00310585"/>
    <w:rsid w:val="0031208F"/>
    <w:rsid w:val="003150AB"/>
    <w:rsid w:val="003308E5"/>
    <w:rsid w:val="00343B80"/>
    <w:rsid w:val="00344DFC"/>
    <w:rsid w:val="00371747"/>
    <w:rsid w:val="003A1C6A"/>
    <w:rsid w:val="003A3486"/>
    <w:rsid w:val="003B6E1A"/>
    <w:rsid w:val="003E067A"/>
    <w:rsid w:val="003E4784"/>
    <w:rsid w:val="0045608F"/>
    <w:rsid w:val="00470BD7"/>
    <w:rsid w:val="00475468"/>
    <w:rsid w:val="00475EC1"/>
    <w:rsid w:val="00477852"/>
    <w:rsid w:val="00493694"/>
    <w:rsid w:val="004C2BE1"/>
    <w:rsid w:val="004E20F0"/>
    <w:rsid w:val="00507169"/>
    <w:rsid w:val="0051099F"/>
    <w:rsid w:val="005255BE"/>
    <w:rsid w:val="00526474"/>
    <w:rsid w:val="005318E5"/>
    <w:rsid w:val="005666E7"/>
    <w:rsid w:val="00571CF9"/>
    <w:rsid w:val="005C7207"/>
    <w:rsid w:val="005D56A6"/>
    <w:rsid w:val="005E5798"/>
    <w:rsid w:val="005F58F1"/>
    <w:rsid w:val="006252AE"/>
    <w:rsid w:val="00631326"/>
    <w:rsid w:val="00645FBE"/>
    <w:rsid w:val="006469CD"/>
    <w:rsid w:val="00657D31"/>
    <w:rsid w:val="0066263E"/>
    <w:rsid w:val="006740D5"/>
    <w:rsid w:val="006840E5"/>
    <w:rsid w:val="006A0D4B"/>
    <w:rsid w:val="006A1865"/>
    <w:rsid w:val="006B110F"/>
    <w:rsid w:val="006B3FB7"/>
    <w:rsid w:val="006B7BCE"/>
    <w:rsid w:val="006C44DE"/>
    <w:rsid w:val="006C61AA"/>
    <w:rsid w:val="006D1E90"/>
    <w:rsid w:val="006E0074"/>
    <w:rsid w:val="00720152"/>
    <w:rsid w:val="007241FD"/>
    <w:rsid w:val="00726C88"/>
    <w:rsid w:val="00766927"/>
    <w:rsid w:val="007754CD"/>
    <w:rsid w:val="0077789C"/>
    <w:rsid w:val="00795739"/>
    <w:rsid w:val="007B5ABE"/>
    <w:rsid w:val="007B5D21"/>
    <w:rsid w:val="007C79A2"/>
    <w:rsid w:val="007D21BD"/>
    <w:rsid w:val="00804442"/>
    <w:rsid w:val="00806C31"/>
    <w:rsid w:val="00810D23"/>
    <w:rsid w:val="00812968"/>
    <w:rsid w:val="00823210"/>
    <w:rsid w:val="0082784F"/>
    <w:rsid w:val="0083072D"/>
    <w:rsid w:val="008C50B1"/>
    <w:rsid w:val="00905B76"/>
    <w:rsid w:val="00973CDD"/>
    <w:rsid w:val="0098340D"/>
    <w:rsid w:val="009917DB"/>
    <w:rsid w:val="00991A62"/>
    <w:rsid w:val="009C46CE"/>
    <w:rsid w:val="009C79D5"/>
    <w:rsid w:val="009D2F7D"/>
    <w:rsid w:val="009E5A53"/>
    <w:rsid w:val="009E7EF9"/>
    <w:rsid w:val="00A10DB3"/>
    <w:rsid w:val="00A3662D"/>
    <w:rsid w:val="00A936C0"/>
    <w:rsid w:val="00AA24D2"/>
    <w:rsid w:val="00AB26CC"/>
    <w:rsid w:val="00AC7A14"/>
    <w:rsid w:val="00B15AB9"/>
    <w:rsid w:val="00B1616E"/>
    <w:rsid w:val="00B32373"/>
    <w:rsid w:val="00B375B8"/>
    <w:rsid w:val="00B56EE6"/>
    <w:rsid w:val="00B627B1"/>
    <w:rsid w:val="00B92673"/>
    <w:rsid w:val="00B92991"/>
    <w:rsid w:val="00BC1469"/>
    <w:rsid w:val="00BD1E68"/>
    <w:rsid w:val="00BD5091"/>
    <w:rsid w:val="00BF3C06"/>
    <w:rsid w:val="00C20851"/>
    <w:rsid w:val="00C3003B"/>
    <w:rsid w:val="00C40874"/>
    <w:rsid w:val="00C42941"/>
    <w:rsid w:val="00C42EDE"/>
    <w:rsid w:val="00C61AD7"/>
    <w:rsid w:val="00CA039F"/>
    <w:rsid w:val="00CD6D0D"/>
    <w:rsid w:val="00CF4592"/>
    <w:rsid w:val="00CF7D33"/>
    <w:rsid w:val="00D04F57"/>
    <w:rsid w:val="00D15605"/>
    <w:rsid w:val="00D32196"/>
    <w:rsid w:val="00D3488F"/>
    <w:rsid w:val="00D701F5"/>
    <w:rsid w:val="00D97EA9"/>
    <w:rsid w:val="00DA59E2"/>
    <w:rsid w:val="00DB481A"/>
    <w:rsid w:val="00DB7382"/>
    <w:rsid w:val="00DC2B55"/>
    <w:rsid w:val="00DD22E7"/>
    <w:rsid w:val="00DD3BB6"/>
    <w:rsid w:val="00DE264D"/>
    <w:rsid w:val="00DF3AED"/>
    <w:rsid w:val="00DF74B7"/>
    <w:rsid w:val="00E24D51"/>
    <w:rsid w:val="00E25F76"/>
    <w:rsid w:val="00E364CC"/>
    <w:rsid w:val="00E40169"/>
    <w:rsid w:val="00E45E01"/>
    <w:rsid w:val="00E57969"/>
    <w:rsid w:val="00E57B27"/>
    <w:rsid w:val="00E72E59"/>
    <w:rsid w:val="00E87C97"/>
    <w:rsid w:val="00E92FC0"/>
    <w:rsid w:val="00EA73ED"/>
    <w:rsid w:val="00ED17A4"/>
    <w:rsid w:val="00EE1715"/>
    <w:rsid w:val="00F05BCE"/>
    <w:rsid w:val="00F16270"/>
    <w:rsid w:val="00F21825"/>
    <w:rsid w:val="00F41A2C"/>
    <w:rsid w:val="00F55D12"/>
    <w:rsid w:val="00F71A3F"/>
    <w:rsid w:val="00F76D48"/>
    <w:rsid w:val="00F80566"/>
    <w:rsid w:val="00F83987"/>
    <w:rsid w:val="00F850FE"/>
    <w:rsid w:val="00F85E34"/>
    <w:rsid w:val="00F8769C"/>
    <w:rsid w:val="00F96931"/>
    <w:rsid w:val="00FA7510"/>
    <w:rsid w:val="00FD79CC"/>
    <w:rsid w:val="00FE53D3"/>
    <w:rsid w:val="268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17B5D"/>
  <w15:chartTrackingRefBased/>
  <w15:docId w15:val="{59381FE3-6472-8347-86C8-DB8B2893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969"/>
  </w:style>
  <w:style w:type="paragraph" w:styleId="Piedepgina">
    <w:name w:val="footer"/>
    <w:basedOn w:val="Normal"/>
    <w:link w:val="Piedepgina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69"/>
  </w:style>
  <w:style w:type="character" w:styleId="Refdecomentario">
    <w:name w:val="annotation reference"/>
    <w:basedOn w:val="Fuentedeprrafopredeter"/>
    <w:uiPriority w:val="99"/>
    <w:semiHidden/>
    <w:unhideWhenUsed/>
    <w:rsid w:val="0079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3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16270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spinos@ecosur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1554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</cp:lastModifiedBy>
  <cp:revision>3</cp:revision>
  <cp:lastPrinted>2021-04-06T16:08:00Z</cp:lastPrinted>
  <dcterms:created xsi:type="dcterms:W3CDTF">2022-03-17T18:35:00Z</dcterms:created>
  <dcterms:modified xsi:type="dcterms:W3CDTF">2022-03-17T18:46:00Z</dcterms:modified>
</cp:coreProperties>
</file>