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6266" w14:textId="671D40E2" w:rsidR="00CF7154" w:rsidRPr="007D1DAC" w:rsidRDefault="00CF7154" w:rsidP="00CF7154">
      <w:pPr>
        <w:spacing w:line="276" w:lineRule="auto"/>
        <w:jc w:val="center"/>
        <w:rPr>
          <w:rFonts w:ascii="Montserrat" w:hAnsi="Montserrat" w:cs="Arial"/>
          <w:i/>
          <w:lang w:val="es-ES"/>
        </w:rPr>
      </w:pPr>
      <w:r w:rsidRPr="007D1DAC">
        <w:rPr>
          <w:rFonts w:ascii="Montserrat" w:hAnsi="Montserrat" w:cs="Arial"/>
          <w:b/>
          <w:bCs/>
          <w:i/>
          <w:lang w:val="es-ES"/>
        </w:rPr>
        <w:t>1</w:t>
      </w:r>
      <w:r w:rsidR="00481FA5">
        <w:rPr>
          <w:rFonts w:ascii="Montserrat" w:hAnsi="Montserrat" w:cs="Arial"/>
          <w:b/>
          <w:bCs/>
          <w:i/>
          <w:lang w:val="es-ES"/>
        </w:rPr>
        <w:t>4</w:t>
      </w:r>
      <w:r w:rsidRPr="007D1DAC">
        <w:rPr>
          <w:rFonts w:ascii="Montserrat" w:hAnsi="Montserrat" w:cs="Arial"/>
          <w:b/>
          <w:bCs/>
          <w:i/>
          <w:lang w:val="es-ES"/>
        </w:rPr>
        <w:t>. Informe del estado que guarda el Control Interno y Desempeño Institucional (COCODI)</w:t>
      </w:r>
    </w:p>
    <w:p w14:paraId="137DCB48" w14:textId="77777777" w:rsidR="00CF7154" w:rsidRPr="00CF7154" w:rsidRDefault="00CF7154" w:rsidP="00CF7154">
      <w:pPr>
        <w:spacing w:line="276" w:lineRule="auto"/>
        <w:jc w:val="both"/>
        <w:rPr>
          <w:rFonts w:ascii="Monserrat" w:hAnsi="Monserrat"/>
          <w:sz w:val="22"/>
          <w:szCs w:val="22"/>
          <w:lang w:val="es-ES"/>
        </w:rPr>
      </w:pPr>
    </w:p>
    <w:p w14:paraId="5BECE80B" w14:textId="7A5D175C" w:rsidR="00CF7154" w:rsidRDefault="00CF7154" w:rsidP="00627643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CF7154">
        <w:rPr>
          <w:rFonts w:ascii="Montserrat" w:hAnsi="Montserrat"/>
          <w:sz w:val="22"/>
          <w:szCs w:val="22"/>
        </w:rPr>
        <w:t xml:space="preserve">Durante 2021 </w:t>
      </w:r>
      <w:r w:rsidR="00940119">
        <w:rPr>
          <w:rFonts w:ascii="Montserrat" w:hAnsi="Montserrat"/>
          <w:sz w:val="22"/>
          <w:szCs w:val="22"/>
        </w:rPr>
        <w:t>hasta</w:t>
      </w:r>
      <w:r w:rsidRPr="00CF7154">
        <w:rPr>
          <w:rFonts w:ascii="Montserrat" w:hAnsi="Montserrat"/>
          <w:sz w:val="22"/>
          <w:szCs w:val="22"/>
        </w:rPr>
        <w:t xml:space="preserve"> la fecha</w:t>
      </w:r>
      <w:r w:rsidR="00940119">
        <w:rPr>
          <w:rFonts w:ascii="Montserrat" w:hAnsi="Montserrat"/>
          <w:sz w:val="22"/>
          <w:szCs w:val="22"/>
        </w:rPr>
        <w:t>,</w:t>
      </w:r>
      <w:r w:rsidRPr="00CF7154">
        <w:rPr>
          <w:rFonts w:ascii="Montserrat" w:hAnsi="Montserrat"/>
          <w:sz w:val="22"/>
          <w:szCs w:val="22"/>
        </w:rPr>
        <w:t xml:space="preserve"> se </w:t>
      </w:r>
      <w:r w:rsidR="001F2A48">
        <w:rPr>
          <w:rFonts w:ascii="Montserrat" w:hAnsi="Montserrat"/>
          <w:sz w:val="22"/>
          <w:szCs w:val="22"/>
        </w:rPr>
        <w:t>llevaron</w:t>
      </w:r>
      <w:r w:rsidRPr="00CF7154">
        <w:rPr>
          <w:rFonts w:ascii="Montserrat" w:hAnsi="Montserrat"/>
          <w:sz w:val="22"/>
          <w:szCs w:val="22"/>
        </w:rPr>
        <w:t xml:space="preserve"> </w:t>
      </w:r>
      <w:r w:rsidR="00627643">
        <w:rPr>
          <w:rFonts w:ascii="Montserrat" w:hAnsi="Montserrat"/>
          <w:sz w:val="22"/>
          <w:szCs w:val="22"/>
        </w:rPr>
        <w:t>cinco</w:t>
      </w:r>
      <w:r w:rsidRPr="00CF7154">
        <w:rPr>
          <w:rFonts w:ascii="Montserrat" w:hAnsi="Montserrat"/>
          <w:sz w:val="22"/>
          <w:szCs w:val="22"/>
        </w:rPr>
        <w:t xml:space="preserve"> sesiones ordinarias del Comité de Control y Desempeño Institucional (COCODI)</w:t>
      </w:r>
    </w:p>
    <w:p w14:paraId="04CDD66A" w14:textId="77777777" w:rsidR="00627643" w:rsidRPr="00CF7154" w:rsidRDefault="00627643" w:rsidP="00627643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977"/>
      </w:tblGrid>
      <w:tr w:rsidR="00CF7154" w:rsidRPr="00CF7154" w14:paraId="2B1DA844" w14:textId="77777777" w:rsidTr="00627643">
        <w:tc>
          <w:tcPr>
            <w:tcW w:w="3539" w:type="dxa"/>
          </w:tcPr>
          <w:p w14:paraId="592FFB01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BD2F81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F7154">
              <w:rPr>
                <w:rFonts w:ascii="Montserrat" w:hAnsi="Montserrat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977" w:type="dxa"/>
          </w:tcPr>
          <w:p w14:paraId="14D42F0C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F7154">
              <w:rPr>
                <w:rFonts w:ascii="Montserrat" w:hAnsi="Montserrat"/>
                <w:b/>
                <w:bCs/>
                <w:sz w:val="22"/>
                <w:szCs w:val="22"/>
              </w:rPr>
              <w:t>Información correspondiente</w:t>
            </w:r>
          </w:p>
        </w:tc>
      </w:tr>
      <w:tr w:rsidR="00CF7154" w:rsidRPr="00CF7154" w14:paraId="76FDE517" w14:textId="77777777" w:rsidTr="00627643">
        <w:trPr>
          <w:trHeight w:val="384"/>
        </w:trPr>
        <w:tc>
          <w:tcPr>
            <w:tcW w:w="3539" w:type="dxa"/>
          </w:tcPr>
          <w:p w14:paraId="2BCD086E" w14:textId="77777777" w:rsidR="00CF7154" w:rsidRPr="00CF7154" w:rsidRDefault="00CF7154" w:rsidP="00CF7154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Primera sesión ordinaria 2021</w:t>
            </w:r>
          </w:p>
        </w:tc>
        <w:tc>
          <w:tcPr>
            <w:tcW w:w="2268" w:type="dxa"/>
          </w:tcPr>
          <w:p w14:paraId="73C921A0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1 de marzo</w:t>
            </w:r>
          </w:p>
        </w:tc>
        <w:tc>
          <w:tcPr>
            <w:tcW w:w="2977" w:type="dxa"/>
          </w:tcPr>
          <w:p w14:paraId="061BE3C6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Año 2020</w:t>
            </w:r>
          </w:p>
        </w:tc>
      </w:tr>
      <w:tr w:rsidR="00CF7154" w:rsidRPr="00CF7154" w14:paraId="1785E9B6" w14:textId="77777777" w:rsidTr="00627643">
        <w:trPr>
          <w:trHeight w:val="388"/>
        </w:trPr>
        <w:tc>
          <w:tcPr>
            <w:tcW w:w="3539" w:type="dxa"/>
          </w:tcPr>
          <w:p w14:paraId="054A8C1C" w14:textId="77777777" w:rsidR="00CF7154" w:rsidRPr="00CF7154" w:rsidRDefault="00CF7154" w:rsidP="00CF7154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Segunda sesión ordinaria 2021</w:t>
            </w:r>
          </w:p>
        </w:tc>
        <w:tc>
          <w:tcPr>
            <w:tcW w:w="2268" w:type="dxa"/>
          </w:tcPr>
          <w:p w14:paraId="17EDBF41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26 de abril</w:t>
            </w:r>
          </w:p>
        </w:tc>
        <w:tc>
          <w:tcPr>
            <w:tcW w:w="2977" w:type="dxa"/>
          </w:tcPr>
          <w:p w14:paraId="16CED31E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Primer trimestre 2021</w:t>
            </w:r>
          </w:p>
        </w:tc>
      </w:tr>
      <w:tr w:rsidR="00CF7154" w:rsidRPr="00CF7154" w14:paraId="3007CC84" w14:textId="77777777" w:rsidTr="00627643">
        <w:trPr>
          <w:trHeight w:val="396"/>
        </w:trPr>
        <w:tc>
          <w:tcPr>
            <w:tcW w:w="3539" w:type="dxa"/>
          </w:tcPr>
          <w:p w14:paraId="0763AD5C" w14:textId="77777777" w:rsidR="00CF7154" w:rsidRPr="00CF7154" w:rsidRDefault="00CF7154" w:rsidP="00CF7154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Tercera sesión ordinaria 2021</w:t>
            </w:r>
          </w:p>
        </w:tc>
        <w:tc>
          <w:tcPr>
            <w:tcW w:w="2268" w:type="dxa"/>
          </w:tcPr>
          <w:p w14:paraId="15FE456B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9 de agosto</w:t>
            </w:r>
          </w:p>
        </w:tc>
        <w:tc>
          <w:tcPr>
            <w:tcW w:w="2977" w:type="dxa"/>
          </w:tcPr>
          <w:p w14:paraId="56B9C6AD" w14:textId="77777777" w:rsidR="00CF7154" w:rsidRPr="00CF7154" w:rsidRDefault="00CF7154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CF7154">
              <w:rPr>
                <w:rFonts w:ascii="Montserrat" w:hAnsi="Montserrat"/>
                <w:sz w:val="22"/>
                <w:szCs w:val="22"/>
              </w:rPr>
              <w:t>Segundo trimestre 2021</w:t>
            </w:r>
          </w:p>
        </w:tc>
      </w:tr>
      <w:tr w:rsidR="00627643" w:rsidRPr="00CF7154" w14:paraId="2177020D" w14:textId="77777777" w:rsidTr="00627643">
        <w:trPr>
          <w:trHeight w:val="396"/>
        </w:trPr>
        <w:tc>
          <w:tcPr>
            <w:tcW w:w="3539" w:type="dxa"/>
          </w:tcPr>
          <w:p w14:paraId="1EFCFA47" w14:textId="1AC100D2" w:rsidR="00627643" w:rsidRPr="00CF7154" w:rsidRDefault="00627643" w:rsidP="00CF7154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Cuarta sesión ordinaria 2021</w:t>
            </w:r>
          </w:p>
        </w:tc>
        <w:tc>
          <w:tcPr>
            <w:tcW w:w="2268" w:type="dxa"/>
          </w:tcPr>
          <w:p w14:paraId="6A1A455D" w14:textId="467C3CD9" w:rsidR="00627643" w:rsidRPr="00CF7154" w:rsidRDefault="00627643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22 de noviembre</w:t>
            </w:r>
          </w:p>
        </w:tc>
        <w:tc>
          <w:tcPr>
            <w:tcW w:w="2977" w:type="dxa"/>
          </w:tcPr>
          <w:p w14:paraId="0CE3FD3F" w14:textId="71BC9922" w:rsidR="00627643" w:rsidRPr="00CF7154" w:rsidRDefault="00627643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Tercer trimestre 2021</w:t>
            </w:r>
          </w:p>
        </w:tc>
      </w:tr>
      <w:tr w:rsidR="00627643" w:rsidRPr="00CF7154" w14:paraId="3A8BDD9A" w14:textId="77777777" w:rsidTr="00627643">
        <w:trPr>
          <w:trHeight w:val="396"/>
        </w:trPr>
        <w:tc>
          <w:tcPr>
            <w:tcW w:w="3539" w:type="dxa"/>
          </w:tcPr>
          <w:p w14:paraId="34A999E9" w14:textId="0BDFFC58" w:rsidR="00627643" w:rsidRDefault="00627643" w:rsidP="00CF7154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Primera sesión ordinaria 2022</w:t>
            </w:r>
          </w:p>
        </w:tc>
        <w:tc>
          <w:tcPr>
            <w:tcW w:w="2268" w:type="dxa"/>
          </w:tcPr>
          <w:p w14:paraId="69824CE5" w14:textId="3B697FAF" w:rsidR="00627643" w:rsidRDefault="00627643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23 de febrero 2022</w:t>
            </w:r>
          </w:p>
        </w:tc>
        <w:tc>
          <w:tcPr>
            <w:tcW w:w="2977" w:type="dxa"/>
          </w:tcPr>
          <w:p w14:paraId="46CCD172" w14:textId="39DA3E4E" w:rsidR="00627643" w:rsidRDefault="00627643" w:rsidP="00CF7154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Año 2021</w:t>
            </w:r>
          </w:p>
        </w:tc>
      </w:tr>
    </w:tbl>
    <w:p w14:paraId="41EE75EA" w14:textId="77777777" w:rsidR="00CF7154" w:rsidRPr="00CF7154" w:rsidRDefault="00CF7154" w:rsidP="00CF7154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770EE44A" w14:textId="786F6CE7" w:rsidR="00CF7154" w:rsidRPr="00CF7154" w:rsidRDefault="00CF7154" w:rsidP="00CF7154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  <w:bookmarkStart w:id="0" w:name="_Hlk69368813"/>
      <w:r w:rsidRPr="00CF7154">
        <w:rPr>
          <w:rFonts w:ascii="Montserrat" w:hAnsi="Montserrat"/>
          <w:b/>
          <w:bCs/>
          <w:sz w:val="22"/>
          <w:szCs w:val="22"/>
        </w:rPr>
        <w:t>Primera sesión COCODI 202</w:t>
      </w:r>
      <w:r w:rsidR="00627643">
        <w:rPr>
          <w:rFonts w:ascii="Montserrat" w:hAnsi="Montserrat"/>
          <w:b/>
          <w:bCs/>
          <w:sz w:val="22"/>
          <w:szCs w:val="22"/>
        </w:rPr>
        <w:t>2</w:t>
      </w:r>
    </w:p>
    <w:p w14:paraId="7A97823D" w14:textId="60562F1D" w:rsidR="00C35BCB" w:rsidRDefault="00627643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El 23 de febrero se celebró la primera sesión ordinaria 2022 donde la institución presentó </w:t>
      </w:r>
      <w:r w:rsidR="001F2A48">
        <w:rPr>
          <w:rFonts w:ascii="Montserrat" w:hAnsi="Montserrat"/>
          <w:sz w:val="22"/>
          <w:szCs w:val="22"/>
        </w:rPr>
        <w:t xml:space="preserve">la </w:t>
      </w:r>
      <w:r>
        <w:rPr>
          <w:rFonts w:ascii="Montserrat" w:hAnsi="Montserrat"/>
          <w:sz w:val="22"/>
          <w:szCs w:val="22"/>
        </w:rPr>
        <w:t>información relativa al año 2021</w:t>
      </w:r>
      <w:r w:rsidR="00940119">
        <w:rPr>
          <w:rFonts w:ascii="Montserrat" w:hAnsi="Montserrat"/>
          <w:sz w:val="22"/>
          <w:szCs w:val="22"/>
        </w:rPr>
        <w:t>,</w:t>
      </w:r>
      <w:r w:rsidR="001F2A48">
        <w:rPr>
          <w:rFonts w:ascii="Montserrat" w:hAnsi="Montserrat"/>
          <w:sz w:val="22"/>
          <w:szCs w:val="22"/>
        </w:rPr>
        <w:t xml:space="preserve"> de acuerdo con el</w:t>
      </w:r>
      <w:r w:rsidR="004236D9">
        <w:rPr>
          <w:rFonts w:ascii="Montserrat" w:hAnsi="Montserrat"/>
          <w:sz w:val="22"/>
          <w:szCs w:val="22"/>
        </w:rPr>
        <w:t xml:space="preserve"> orden del día establecido en el numeral 47 del</w:t>
      </w:r>
      <w:r w:rsidR="001F2A48">
        <w:rPr>
          <w:rFonts w:ascii="Montserrat" w:hAnsi="Montserrat"/>
          <w:sz w:val="22"/>
          <w:szCs w:val="22"/>
        </w:rPr>
        <w:t xml:space="preserve"> </w:t>
      </w:r>
      <w:r w:rsidR="001F2A48" w:rsidRPr="00940119">
        <w:rPr>
          <w:rFonts w:ascii="Montserrat" w:hAnsi="Montserrat"/>
          <w:i/>
          <w:iCs/>
          <w:sz w:val="22"/>
          <w:szCs w:val="22"/>
        </w:rPr>
        <w:t>Manual Administrativo de Aplicación General en materia de Control Interno</w:t>
      </w:r>
      <w:r w:rsidR="00C35BCB">
        <w:rPr>
          <w:rFonts w:ascii="Montserrat" w:hAnsi="Montserrat"/>
          <w:sz w:val="22"/>
          <w:szCs w:val="22"/>
        </w:rPr>
        <w:t xml:space="preserve"> reformado el 5 de septiembre de 2018</w:t>
      </w:r>
      <w:r>
        <w:rPr>
          <w:rFonts w:ascii="Montserrat" w:hAnsi="Montserrat"/>
          <w:sz w:val="22"/>
          <w:szCs w:val="22"/>
        </w:rPr>
        <w:t>.</w:t>
      </w:r>
      <w:r w:rsidR="004236D9">
        <w:rPr>
          <w:rFonts w:ascii="Montserrat" w:hAnsi="Montserrat"/>
          <w:sz w:val="22"/>
          <w:szCs w:val="22"/>
        </w:rPr>
        <w:t xml:space="preserve"> </w:t>
      </w:r>
    </w:p>
    <w:p w14:paraId="521FCD8E" w14:textId="77777777" w:rsidR="00C35BCB" w:rsidRDefault="00C35BCB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04658F18" w14:textId="3F7156AD" w:rsidR="004236D9" w:rsidRDefault="004236D9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Por consenso de la presidencia, vocal ejecutivo y coordinación de control interno, se presentaron además los siguientes temas:</w:t>
      </w:r>
    </w:p>
    <w:p w14:paraId="1158E385" w14:textId="5BD39EA1" w:rsidR="00CF7154" w:rsidRDefault="004236D9" w:rsidP="004236D9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Seguimiento a la Ley Federal de austeridad</w:t>
      </w:r>
    </w:p>
    <w:p w14:paraId="60797010" w14:textId="29440A4D" w:rsidR="004236D9" w:rsidRDefault="004236D9" w:rsidP="004236D9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Seguimiento al Programa Nacional para la Igualdad entre Mujeres y Hombres 2020-2024 (PROIGUALDAD)</w:t>
      </w:r>
    </w:p>
    <w:p w14:paraId="324BFBEC" w14:textId="747ABFCA" w:rsidR="004236D9" w:rsidRDefault="004236D9" w:rsidP="004236D9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Avances de Mejora regulatoria</w:t>
      </w:r>
    </w:p>
    <w:p w14:paraId="241CA9F0" w14:textId="10731F55" w:rsidR="004236D9" w:rsidRDefault="004236D9" w:rsidP="004236D9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Programa Nacional para la Igualdad y No Discriminación 2021-2024 (PRONAIND)</w:t>
      </w:r>
    </w:p>
    <w:p w14:paraId="2B85B3BB" w14:textId="0DFB7C3E" w:rsidR="004236D9" w:rsidRDefault="004236D9" w:rsidP="004236D9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Informe de Opinión del Órgano Interno de Control al PNCCIMGP</w:t>
      </w:r>
      <w:r w:rsidR="00D83F3C">
        <w:rPr>
          <w:rFonts w:ascii="Montserrat" w:hAnsi="Montserrat"/>
          <w:sz w:val="22"/>
          <w:szCs w:val="22"/>
        </w:rPr>
        <w:t xml:space="preserve"> y al Programa Sectorial de la SFP.</w:t>
      </w:r>
    </w:p>
    <w:p w14:paraId="03DA02F6" w14:textId="5B5D1863" w:rsidR="00D83F3C" w:rsidRPr="004236D9" w:rsidRDefault="00D83F3C" w:rsidP="004236D9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Estructura del Órgano Interno de Control</w:t>
      </w:r>
    </w:p>
    <w:p w14:paraId="1A1D29E1" w14:textId="77777777" w:rsidR="00CF7154" w:rsidRPr="00CF7154" w:rsidRDefault="00CF7154" w:rsidP="00CF7154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bookmarkEnd w:id="0"/>
    <w:p w14:paraId="4AE2EE9F" w14:textId="4C32E37C" w:rsidR="00CF7154" w:rsidRDefault="00D83F3C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Cabe mencionar que el Acuerdo 01-IV-2020 que solicitaba un “</w:t>
      </w:r>
      <w:r w:rsidRPr="00D83F3C">
        <w:rPr>
          <w:rFonts w:ascii="Montserrat" w:hAnsi="Montserrat"/>
          <w:sz w:val="22"/>
          <w:szCs w:val="22"/>
        </w:rPr>
        <w:t xml:space="preserve">Seguimiento al proceso de extinción del Fondo de Investigación Científica y Desarrollo Tecnológico de El Colegio de la Frontera Sur” (FID 784) y atender a cabalidad el </w:t>
      </w:r>
      <w:r w:rsidRPr="00D83F3C">
        <w:rPr>
          <w:rFonts w:ascii="Montserrat" w:hAnsi="Montserrat"/>
          <w:sz w:val="22"/>
          <w:szCs w:val="22"/>
        </w:rPr>
        <w:lastRenderedPageBreak/>
        <w:t>decreto de extinción emitido el 06 de noviembre de 2020</w:t>
      </w:r>
      <w:r>
        <w:rPr>
          <w:rFonts w:ascii="Montserrat" w:hAnsi="Montserrat"/>
          <w:sz w:val="22"/>
          <w:szCs w:val="22"/>
        </w:rPr>
        <w:t xml:space="preserve">” fue considerado como concluido, por lo que </w:t>
      </w:r>
      <w:r w:rsidR="00BF3CB9">
        <w:rPr>
          <w:rFonts w:ascii="Montserrat" w:hAnsi="Montserrat"/>
          <w:sz w:val="22"/>
          <w:szCs w:val="22"/>
        </w:rPr>
        <w:t>no existen</w:t>
      </w:r>
      <w:r>
        <w:rPr>
          <w:rFonts w:ascii="Montserrat" w:hAnsi="Montserrat"/>
          <w:sz w:val="22"/>
          <w:szCs w:val="22"/>
        </w:rPr>
        <w:t xml:space="preserve"> acuerdos de seguimiento pendientes a la fecha.</w:t>
      </w:r>
    </w:p>
    <w:p w14:paraId="574DDD7E" w14:textId="6137159F" w:rsidR="00BF3CB9" w:rsidRDefault="00BF3CB9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19454F5A" w14:textId="3DC08ED3" w:rsidR="00BF3CB9" w:rsidRPr="00CF7154" w:rsidRDefault="00BF3CB9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De manera general el Comité reconoció los esfuerzos de ECOSUR para cumplir con los Programas de Control Interno, Administración de Riesgos y de </w:t>
      </w:r>
      <w:r w:rsidR="00A72C9F">
        <w:rPr>
          <w:rFonts w:ascii="Montserrat" w:hAnsi="Montserrat"/>
          <w:sz w:val="22"/>
          <w:szCs w:val="22"/>
        </w:rPr>
        <w:t xml:space="preserve">Combate a </w:t>
      </w:r>
      <w:r>
        <w:rPr>
          <w:rFonts w:ascii="Montserrat" w:hAnsi="Montserrat"/>
          <w:sz w:val="22"/>
          <w:szCs w:val="22"/>
        </w:rPr>
        <w:t>la Corrupción</w:t>
      </w:r>
      <w:r w:rsidR="00A72C9F">
        <w:rPr>
          <w:rFonts w:ascii="Montserrat" w:hAnsi="Montserrat"/>
          <w:sz w:val="22"/>
          <w:szCs w:val="22"/>
        </w:rPr>
        <w:t xml:space="preserve"> y la Impunidad, y de Mejora de la Gestión Pública.</w:t>
      </w:r>
    </w:p>
    <w:p w14:paraId="0E742AFC" w14:textId="77777777" w:rsidR="00CF7154" w:rsidRPr="00CF7154" w:rsidRDefault="00CF7154" w:rsidP="00CF7154">
      <w:pPr>
        <w:spacing w:line="276" w:lineRule="auto"/>
        <w:rPr>
          <w:rFonts w:ascii="Montserrat" w:hAnsi="Montserrat"/>
          <w:b/>
          <w:bCs/>
        </w:rPr>
      </w:pPr>
    </w:p>
    <w:p w14:paraId="19A1B641" w14:textId="77777777" w:rsidR="00CF7154" w:rsidRPr="00CF7154" w:rsidRDefault="00CF7154" w:rsidP="00CF7154">
      <w:pPr>
        <w:spacing w:line="276" w:lineRule="auto"/>
        <w:rPr>
          <w:rFonts w:ascii="Montserrat" w:hAnsi="Montserrat"/>
          <w:b/>
          <w:bCs/>
        </w:rPr>
      </w:pPr>
      <w:r w:rsidRPr="00CF7154">
        <w:rPr>
          <w:rFonts w:ascii="Montserrat" w:hAnsi="Montserrat"/>
          <w:b/>
          <w:bCs/>
        </w:rPr>
        <w:t>Programa de Trabajo de Control Interno</w:t>
      </w:r>
    </w:p>
    <w:p w14:paraId="6BD991A2" w14:textId="77777777" w:rsidR="00CF7154" w:rsidRPr="00CF7154" w:rsidRDefault="00CF7154" w:rsidP="00CF7154">
      <w:pPr>
        <w:spacing w:line="276" w:lineRule="auto"/>
        <w:rPr>
          <w:rFonts w:ascii="Montserrat" w:hAnsi="Montserrat"/>
          <w:b/>
          <w:bCs/>
        </w:rPr>
      </w:pPr>
    </w:p>
    <w:p w14:paraId="14B4F2A2" w14:textId="269DA547" w:rsidR="00CF7154" w:rsidRPr="00CF7154" w:rsidRDefault="00CF7154" w:rsidP="00CF7154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CF7154">
        <w:rPr>
          <w:rFonts w:ascii="Montserrat" w:hAnsi="Montserrat"/>
          <w:sz w:val="22"/>
          <w:szCs w:val="22"/>
        </w:rPr>
        <w:t xml:space="preserve">Para 2021, se eligieron cinco procesos, </w:t>
      </w:r>
      <w:r w:rsidRPr="00CF7154">
        <w:rPr>
          <w:rFonts w:ascii="Montserrat" w:hAnsi="Montserrat" w:cs="Arial"/>
          <w:sz w:val="22"/>
          <w:szCs w:val="22"/>
        </w:rPr>
        <w:t xml:space="preserve">cuatro sustantivos que son: Registro y/o actualización de las Colecciones Biológicas Institucionales de ECOSUR ante SEMARNAT; Oferta de servicios especializados de laboratorio; Revisión de propuestas de nuevos programas de posgrado; Fomento de vocaciones científicas: ECOSUR a Puertas Abiertas; y uno administrativo: Inventario físico de bienes muebles. Los cinco procesos suman un total de 50 acciones de mejora comprometidas. Al finalizar el </w:t>
      </w:r>
      <w:r w:rsidR="00AB6C79">
        <w:rPr>
          <w:rFonts w:ascii="Montserrat" w:hAnsi="Montserrat" w:cs="Arial"/>
          <w:sz w:val="22"/>
          <w:szCs w:val="22"/>
        </w:rPr>
        <w:t>tercer</w:t>
      </w:r>
      <w:r w:rsidRPr="00CF7154">
        <w:rPr>
          <w:rFonts w:ascii="Montserrat" w:hAnsi="Montserrat" w:cs="Arial"/>
          <w:sz w:val="22"/>
          <w:szCs w:val="22"/>
        </w:rPr>
        <w:t xml:space="preserve"> </w:t>
      </w:r>
      <w:r w:rsidR="00AB6C79">
        <w:rPr>
          <w:rFonts w:ascii="Montserrat" w:hAnsi="Montserrat" w:cs="Arial"/>
          <w:sz w:val="22"/>
          <w:szCs w:val="22"/>
        </w:rPr>
        <w:t>trimestre</w:t>
      </w:r>
      <w:r w:rsidRPr="00CF7154">
        <w:rPr>
          <w:rFonts w:ascii="Montserrat" w:hAnsi="Montserrat" w:cs="Arial"/>
          <w:sz w:val="22"/>
          <w:szCs w:val="22"/>
        </w:rPr>
        <w:t xml:space="preserve"> todas las acciones </w:t>
      </w:r>
      <w:r w:rsidR="00940119">
        <w:rPr>
          <w:rFonts w:ascii="Montserrat" w:hAnsi="Montserrat" w:cs="Arial"/>
          <w:sz w:val="22"/>
          <w:szCs w:val="22"/>
        </w:rPr>
        <w:t xml:space="preserve">se </w:t>
      </w:r>
      <w:r w:rsidR="00AB6C79">
        <w:rPr>
          <w:rFonts w:ascii="Montserrat" w:hAnsi="Montserrat" w:cs="Arial"/>
          <w:sz w:val="22"/>
          <w:szCs w:val="22"/>
        </w:rPr>
        <w:t xml:space="preserve">habían </w:t>
      </w:r>
      <w:r w:rsidR="00940119">
        <w:rPr>
          <w:rFonts w:ascii="Montserrat" w:hAnsi="Montserrat" w:cs="Arial"/>
          <w:sz w:val="22"/>
          <w:szCs w:val="22"/>
        </w:rPr>
        <w:t>concluido</w:t>
      </w:r>
      <w:r w:rsidRPr="00CF7154">
        <w:rPr>
          <w:rFonts w:ascii="Montserrat" w:hAnsi="Montserrat" w:cs="Arial"/>
          <w:sz w:val="22"/>
          <w:szCs w:val="22"/>
        </w:rPr>
        <w:t>.</w:t>
      </w:r>
    </w:p>
    <w:p w14:paraId="7CCCF136" w14:textId="06CE5316" w:rsidR="00CF7154" w:rsidRDefault="00CF7154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701"/>
        <w:gridCol w:w="1985"/>
        <w:gridCol w:w="1559"/>
        <w:gridCol w:w="1843"/>
      </w:tblGrid>
      <w:tr w:rsidR="00AB6C79" w:rsidRPr="00AB6C79" w14:paraId="677C6C3C" w14:textId="77777777" w:rsidTr="00BE1F9A">
        <w:trPr>
          <w:trHeight w:val="388"/>
        </w:trPr>
        <w:tc>
          <w:tcPr>
            <w:tcW w:w="8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5686C0" w14:textId="62334463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Situación de las Acciones de Mejora</w:t>
            </w:r>
            <w:r w:rsidRPr="00BE1F9A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 xml:space="preserve"> a fines de 2021</w:t>
            </w:r>
          </w:p>
        </w:tc>
      </w:tr>
      <w:tr w:rsidR="00BE1F9A" w:rsidRPr="00AB6C79" w14:paraId="0D9B4B2B" w14:textId="77777777" w:rsidTr="00BE1F9A">
        <w:trPr>
          <w:trHeight w:val="6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5116A2" w14:textId="77777777" w:rsidR="00AB6C79" w:rsidRPr="00AB6C79" w:rsidRDefault="00AB6C79" w:rsidP="00BE1F9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Trimestre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E20B6" w14:textId="77777777" w:rsidR="00AB6C79" w:rsidRPr="00AB6C79" w:rsidRDefault="00AB6C79" w:rsidP="00BE1F9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Concluidas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7BD4A" w14:textId="585C2D54" w:rsidR="00AB6C79" w:rsidRDefault="00BE1F9A" w:rsidP="00BE1F9A">
            <w:pPr>
              <w:jc w:val="center"/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C</w:t>
            </w:r>
            <w:r w:rsidR="00AB6C79"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umplimiento</w:t>
            </w:r>
          </w:p>
          <w:p w14:paraId="4499DA7B" w14:textId="2628BF5C" w:rsidR="00BE1F9A" w:rsidRPr="00AB6C79" w:rsidRDefault="00BE1F9A" w:rsidP="00BE1F9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F7DE5" w14:textId="77777777" w:rsidR="00AB6C79" w:rsidRPr="00AB6C79" w:rsidRDefault="00AB6C79" w:rsidP="00BE1F9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En proceso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D9288" w14:textId="77777777" w:rsidR="00AB6C79" w:rsidRPr="00AB6C79" w:rsidRDefault="00AB6C79" w:rsidP="00BE1F9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Pendientes (sin avances)</w:t>
            </w:r>
          </w:p>
        </w:tc>
      </w:tr>
      <w:tr w:rsidR="00AB6C79" w:rsidRPr="00AB6C79" w14:paraId="5168076A" w14:textId="77777777" w:rsidTr="00BE1F9A">
        <w:trPr>
          <w:trHeight w:val="38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9F6958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Primero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91BB4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C88DD9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F6A648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55FA16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30</w:t>
            </w:r>
          </w:p>
        </w:tc>
      </w:tr>
      <w:tr w:rsidR="00AB6C79" w:rsidRPr="00AB6C79" w14:paraId="16DC6C2D" w14:textId="77777777" w:rsidTr="00BE1F9A">
        <w:trPr>
          <w:trHeight w:val="38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F15D27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Segundo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8F6D5F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3A4F0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BB5358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92DBC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  <w:tr w:rsidR="00AB6C79" w:rsidRPr="00AB6C79" w14:paraId="3654A072" w14:textId="77777777" w:rsidTr="00BE1F9A">
        <w:trPr>
          <w:trHeight w:val="38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EBCF6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Tercero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3EF34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CC5C75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03C1AE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2A0D80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  <w:tr w:rsidR="00AB6C79" w:rsidRPr="00AB6C79" w14:paraId="0CCE15F0" w14:textId="77777777" w:rsidTr="00BE1F9A">
        <w:trPr>
          <w:trHeight w:val="38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C110D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Cuarto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6FF2E" w14:textId="6BA489CB" w:rsidR="00AB6C79" w:rsidRPr="00AB6C79" w:rsidRDefault="00036BA8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87148" w14:textId="1BFD7C57" w:rsidR="00AB6C79" w:rsidRPr="00AB6C79" w:rsidRDefault="00036BA8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ED4BD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941A9F" w14:textId="77777777" w:rsidR="00AB6C79" w:rsidRPr="00AB6C79" w:rsidRDefault="00AB6C79" w:rsidP="00AB6C79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6C79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</w:tbl>
    <w:p w14:paraId="1D4724BC" w14:textId="77777777" w:rsidR="00AB6C79" w:rsidRPr="00CF7154" w:rsidRDefault="00AB6C79" w:rsidP="00CF7154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450874E7" w14:textId="4A36AC8C" w:rsidR="00CF7154" w:rsidRPr="00CF7154" w:rsidRDefault="00BE1F9A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En 2021 se fortaleció la</w:t>
      </w:r>
      <w:r w:rsidR="00CF7154" w:rsidRPr="00CF7154">
        <w:rPr>
          <w:rFonts w:ascii="Montserrat" w:hAnsi="Montserrat" w:cs="Arial"/>
          <w:sz w:val="22"/>
          <w:szCs w:val="22"/>
        </w:rPr>
        <w:t xml:space="preserve"> nueva forma de atender los compromisos del PTCI</w:t>
      </w:r>
      <w:r>
        <w:rPr>
          <w:rFonts w:ascii="Montserrat" w:hAnsi="Montserrat" w:cs="Arial"/>
          <w:sz w:val="22"/>
          <w:szCs w:val="22"/>
        </w:rPr>
        <w:t>, iniciada el año anterior, que consiste en</w:t>
      </w:r>
      <w:r w:rsidR="00CF7154" w:rsidRPr="00CF7154">
        <w:rPr>
          <w:rFonts w:ascii="Montserrat" w:hAnsi="Montserrat" w:cs="Arial"/>
          <w:sz w:val="22"/>
          <w:szCs w:val="22"/>
        </w:rPr>
        <w:t xml:space="preserve"> impuls</w:t>
      </w:r>
      <w:r>
        <w:rPr>
          <w:rFonts w:ascii="Montserrat" w:hAnsi="Montserrat" w:cs="Arial"/>
          <w:sz w:val="22"/>
          <w:szCs w:val="22"/>
        </w:rPr>
        <w:t>ar</w:t>
      </w:r>
      <w:r w:rsidR="00CF7154" w:rsidRPr="00CF7154">
        <w:rPr>
          <w:rFonts w:ascii="Montserrat" w:hAnsi="Montserrat" w:cs="Arial"/>
          <w:sz w:val="22"/>
          <w:szCs w:val="22"/>
        </w:rPr>
        <w:t xml:space="preserve"> la colaboración y el trabajo en equipo, el desarrollo de capacidades, el intercambio de experiencias, la estandarización de criterios y la generación de estructuras y formatos universales. </w:t>
      </w:r>
    </w:p>
    <w:p w14:paraId="7079A1AC" w14:textId="77777777" w:rsidR="00CF7154" w:rsidRPr="00CF7154" w:rsidRDefault="00CF7154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053C48F0" w14:textId="6679E5C2" w:rsidR="00CF7154" w:rsidRPr="00CF7154" w:rsidRDefault="00CF7154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CF7154">
        <w:rPr>
          <w:rFonts w:ascii="Montserrat" w:hAnsi="Montserrat" w:cs="Arial"/>
          <w:sz w:val="22"/>
          <w:szCs w:val="22"/>
        </w:rPr>
        <w:t>Por otr</w:t>
      </w:r>
      <w:r w:rsidR="00BE1F9A">
        <w:rPr>
          <w:rFonts w:ascii="Montserrat" w:hAnsi="Montserrat" w:cs="Arial"/>
          <w:sz w:val="22"/>
          <w:szCs w:val="22"/>
        </w:rPr>
        <w:t>a parte</w:t>
      </w:r>
      <w:r w:rsidRPr="00CF7154">
        <w:rPr>
          <w:rFonts w:ascii="Montserrat" w:hAnsi="Montserrat" w:cs="Arial"/>
          <w:sz w:val="22"/>
          <w:szCs w:val="22"/>
        </w:rPr>
        <w:t xml:space="preserve">, se introdujo un mecanismo innovador para hacer que los procesos participantes incorporaran en su operación cotidiana las normas de control </w:t>
      </w:r>
      <w:r w:rsidRPr="00CF7154">
        <w:rPr>
          <w:rFonts w:ascii="Montserrat" w:hAnsi="Montserrat" w:cs="Arial"/>
          <w:sz w:val="22"/>
          <w:szCs w:val="22"/>
        </w:rPr>
        <w:lastRenderedPageBreak/>
        <w:t xml:space="preserve">interno. El mecanismo consiste en una ficha técnica cuya estructura y contenido guían la ejecución de cada proceso, en apego a los elementos de control más relevantes, y un conjunto de formatos que apoyan en la evaluación, seguimiento y mejora continua. </w:t>
      </w:r>
    </w:p>
    <w:p w14:paraId="74C6BFA1" w14:textId="77777777" w:rsidR="00CF7154" w:rsidRPr="00CF7154" w:rsidRDefault="00CF7154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470A956B" w14:textId="60AA6A29" w:rsidR="00CF7154" w:rsidRPr="00CF7154" w:rsidRDefault="00CF7154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CF7154">
        <w:rPr>
          <w:rFonts w:ascii="Montserrat" w:hAnsi="Montserrat" w:cs="Arial"/>
          <w:sz w:val="22"/>
          <w:szCs w:val="22"/>
        </w:rPr>
        <w:t xml:space="preserve">A continuación, se presentan los resultados más relevantes alcanzados en </w:t>
      </w:r>
      <w:r w:rsidR="001459D9">
        <w:rPr>
          <w:rFonts w:ascii="Montserrat" w:hAnsi="Montserrat" w:cs="Arial"/>
          <w:sz w:val="22"/>
          <w:szCs w:val="22"/>
        </w:rPr>
        <w:t>2021</w:t>
      </w:r>
      <w:r w:rsidRPr="00CF7154">
        <w:rPr>
          <w:rFonts w:ascii="Montserrat" w:hAnsi="Montserrat" w:cs="Arial"/>
          <w:sz w:val="22"/>
          <w:szCs w:val="22"/>
        </w:rPr>
        <w:t xml:space="preserve"> tras la implementación de las acciones de mejora.</w:t>
      </w:r>
    </w:p>
    <w:p w14:paraId="7C1301C2" w14:textId="77777777" w:rsidR="00CF7154" w:rsidRPr="00CF7154" w:rsidRDefault="00CF7154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16B75C65" w14:textId="13925505" w:rsidR="001459D9" w:rsidRDefault="001459D9" w:rsidP="001459D9">
      <w:pPr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  <w:t>Norma “Ambiente de control”</w:t>
      </w:r>
    </w:p>
    <w:p w14:paraId="6FD451D1" w14:textId="77777777" w:rsidR="001459D9" w:rsidRPr="001459D9" w:rsidRDefault="001459D9" w:rsidP="001459D9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13603EB9" w14:textId="77777777" w:rsidR="001459D9" w:rsidRPr="001459D9" w:rsidRDefault="001459D9" w:rsidP="001459D9">
      <w:pPr>
        <w:spacing w:line="276" w:lineRule="auto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1) Se identificó y documentó la normatividad interna y externa a la que deben sujetarse las actividades de los procesos. </w:t>
      </w:r>
    </w:p>
    <w:p w14:paraId="6E53033D" w14:textId="77777777" w:rsidR="001459D9" w:rsidRPr="001459D9" w:rsidRDefault="001459D9" w:rsidP="001459D9">
      <w:pPr>
        <w:spacing w:line="276" w:lineRule="auto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2) Se desarrollaron formatos de evaluación periódica para detectar áreas de oportunidad. </w:t>
      </w:r>
    </w:p>
    <w:p w14:paraId="01B038AB" w14:textId="77777777" w:rsidR="001459D9" w:rsidRPr="001459D9" w:rsidRDefault="001459D9" w:rsidP="001459D9">
      <w:pPr>
        <w:spacing w:line="276" w:lineRule="auto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3) Se formularon políticas de operación para garantizar la ejecución eficaz y eficiente de las actividades, en apego a las normas y requerimientos establecidos. </w:t>
      </w:r>
    </w:p>
    <w:p w14:paraId="09A77472" w14:textId="77777777" w:rsidR="001459D9" w:rsidRDefault="001459D9" w:rsidP="001459D9">
      <w:pPr>
        <w:spacing w:line="276" w:lineRule="auto"/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</w:pPr>
    </w:p>
    <w:p w14:paraId="607AB530" w14:textId="1E5323B7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  <w:t>Norma “Administración de riesgos</w:t>
      </w: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>”</w:t>
      </w:r>
    </w:p>
    <w:p w14:paraId="5E85CDB3" w14:textId="77777777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Se ejecutaron en su totalidad las acciones de control del Programa de Trabajo de Administración de Riesgos (PTAR) 2021. </w:t>
      </w:r>
    </w:p>
    <w:p w14:paraId="2501F3A5" w14:textId="77777777" w:rsidR="001459D9" w:rsidRDefault="001459D9" w:rsidP="001459D9">
      <w:pPr>
        <w:spacing w:line="276" w:lineRule="auto"/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</w:pPr>
    </w:p>
    <w:p w14:paraId="4E314603" w14:textId="3B2E7EA8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  <w:t>Norma “Actividades de control”</w:t>
      </w:r>
    </w:p>
    <w:p w14:paraId="5357AFD7" w14:textId="77777777" w:rsidR="001459D9" w:rsidRPr="001459D9" w:rsidRDefault="001459D9" w:rsidP="001459D9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Con base en la normatividad y políticas definidas, se describieron detalladamente y en secuencia, las actividades necesarias para desarrollar cada proceso. </w:t>
      </w:r>
    </w:p>
    <w:p w14:paraId="6601A145" w14:textId="77777777" w:rsidR="001459D9" w:rsidRPr="001459D9" w:rsidRDefault="001459D9" w:rsidP="001459D9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Se crearon los diagramas de flujo de cada proceso para favorecer la comprensión visual en cada una de sus etapas. </w:t>
      </w:r>
    </w:p>
    <w:p w14:paraId="6794CFEC" w14:textId="77777777" w:rsidR="001459D9" w:rsidRPr="001459D9" w:rsidRDefault="001459D9" w:rsidP="001459D9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>Se implementó un formato para la atención de observaciones, recomendaciones y acuerdos, con lo cual se facilitará el seguimiento oportuno.</w:t>
      </w:r>
    </w:p>
    <w:p w14:paraId="52F9743D" w14:textId="77777777" w:rsidR="001459D9" w:rsidRPr="001459D9" w:rsidRDefault="001459D9" w:rsidP="001459D9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Se diseñaron indicadores para medir el avance en el cumplimiento de los objetivos y metas de cada proceso. </w:t>
      </w:r>
    </w:p>
    <w:p w14:paraId="53FA25B6" w14:textId="77777777" w:rsidR="001459D9" w:rsidRDefault="001459D9" w:rsidP="001459D9">
      <w:pPr>
        <w:spacing w:line="276" w:lineRule="auto"/>
        <w:ind w:left="284" w:hanging="284"/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</w:pPr>
    </w:p>
    <w:p w14:paraId="46ED2A64" w14:textId="56ECC2CD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  <w:t xml:space="preserve">Norma “Información y comunicación”. </w:t>
      </w:r>
    </w:p>
    <w:p w14:paraId="13801D31" w14:textId="77777777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Se implementó un mecanismo para organizar y documentar la información relevante inherente a la operación y los resultados de cada proceso, para </w:t>
      </w: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lastRenderedPageBreak/>
        <w:t xml:space="preserve">garantizar su seguridad, visibilidad, acceso y generación con base en los requerimientos establecidos. </w:t>
      </w:r>
    </w:p>
    <w:p w14:paraId="272D809F" w14:textId="77777777" w:rsidR="001459D9" w:rsidRDefault="001459D9" w:rsidP="001459D9">
      <w:pPr>
        <w:spacing w:line="276" w:lineRule="auto"/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</w:pPr>
    </w:p>
    <w:p w14:paraId="34EC92A1" w14:textId="6B4C42F4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b/>
          <w:bCs/>
          <w:kern w:val="24"/>
          <w:sz w:val="22"/>
          <w:szCs w:val="22"/>
          <w:lang w:eastAsia="es-MX"/>
        </w:rPr>
        <w:t>Norma “Supervisión y mejora continua”</w:t>
      </w:r>
    </w:p>
    <w:p w14:paraId="72C1FC4F" w14:textId="77777777" w:rsidR="001459D9" w:rsidRPr="001459D9" w:rsidRDefault="001459D9" w:rsidP="001459D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459D9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Se implementaron mecanismos para explicitar e impulsar la supervisión de las actividades que se desarrollan en los procesos, a la vez que promueven la retroalimentación y la mejora continua. </w:t>
      </w:r>
    </w:p>
    <w:p w14:paraId="574DB970" w14:textId="77777777" w:rsidR="00CF7154" w:rsidRPr="001459D9" w:rsidRDefault="00CF7154" w:rsidP="001459D9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1579B087" w14:textId="4F11F2D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b/>
          <w:bCs/>
          <w:color w:val="000000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b/>
          <w:bCs/>
          <w:color w:val="000000"/>
          <w:bdr w:val="none" w:sz="0" w:space="0" w:color="auto" w:frame="1"/>
          <w:lang w:eastAsia="es-MX"/>
        </w:rPr>
        <w:t>Programa de Trabajo de Administración de Riesgos</w:t>
      </w:r>
      <w:r w:rsidR="00A02BBA">
        <w:rPr>
          <w:rFonts w:ascii="Montserrat" w:eastAsia="Times New Roman" w:hAnsi="Montserrat" w:cs="Calibri"/>
          <w:b/>
          <w:bCs/>
          <w:color w:val="000000"/>
          <w:bdr w:val="none" w:sz="0" w:space="0" w:color="auto" w:frame="1"/>
          <w:lang w:eastAsia="es-MX"/>
        </w:rPr>
        <w:t xml:space="preserve"> (PTAR)</w:t>
      </w:r>
    </w:p>
    <w:p w14:paraId="7875E76F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5E3C7699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>Para 2021, cinco riesgos fueron identificados, entre ellos los tres últimos fueron detectados con vulnerabilidades susceptibles de actos de corrupción. Son:</w:t>
      </w:r>
    </w:p>
    <w:p w14:paraId="509EAD5D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726DA432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bookmarkStart w:id="1" w:name="_Hlk81300377"/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>RIESGO 2021_1: El registro y/o actualización de las Colecciones Biológicas de ECOSUR ante SEMARNAT es realizada parcialmente.</w:t>
      </w:r>
    </w:p>
    <w:p w14:paraId="73410314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20200C48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>RIESGO 2021_2: Los servicios especializados de laboratorio que se promueven son utilizados con poco o nula frecuencia.</w:t>
      </w:r>
    </w:p>
    <w:p w14:paraId="0883DCEF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45BF67D5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RIESGO 2021_3: Las propuestas de nuevos programas de posgrado son presentadas con incumplimiento de los requisitos. </w:t>
      </w:r>
    </w:p>
    <w:p w14:paraId="5AFF3A42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0C6AD4B0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RIESGO 2021_4: Las vocaciones científicas, acercamiento y formación a las humanidades, la ciencia y la tecnología son fomentadas de manera ineficaz. </w:t>
      </w:r>
    </w:p>
    <w:p w14:paraId="796E2E30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12EEE7DE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RIESGO 2021_5: La validación de los bienes muebles resguardados es realizada de modo incompleto. </w:t>
      </w:r>
    </w:p>
    <w:bookmarkEnd w:id="1"/>
    <w:p w14:paraId="7241F002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66A17E0D" w14:textId="3D71546B" w:rsid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Al terminar </w:t>
      </w:r>
      <w:r w:rsidR="00E31959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>el tercer trimestre</w:t>
      </w: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 2021, </w:t>
      </w:r>
      <w:r w:rsidR="00E31959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se habían concluido </w:t>
      </w:r>
      <w:r w:rsidRPr="00CF7154"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  <w:t xml:space="preserve">las 11 acciones de control contempladas por el Programa de Administración de Riesgos. </w:t>
      </w:r>
    </w:p>
    <w:p w14:paraId="3FC053D4" w14:textId="505CC661" w:rsidR="00AB27E1" w:rsidRDefault="00AB27E1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12335354" w14:textId="56107A0F" w:rsidR="00AB27E1" w:rsidRDefault="00AB27E1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5127624C" w14:textId="6EF2D712" w:rsidR="00AB27E1" w:rsidRDefault="00AB27E1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7531C918" w14:textId="11FC8BCB" w:rsidR="00AB27E1" w:rsidRDefault="00AB27E1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208B97C8" w14:textId="264A8D81" w:rsidR="00AB27E1" w:rsidRDefault="00AB27E1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15234A09" w14:textId="77777777" w:rsidR="00AB27E1" w:rsidRPr="00CF7154" w:rsidRDefault="00AB27E1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p w14:paraId="5C6DA657" w14:textId="77777777" w:rsidR="00CF7154" w:rsidRPr="00CF7154" w:rsidRDefault="00CF7154" w:rsidP="00CF7154">
      <w:pPr>
        <w:spacing w:line="276" w:lineRule="auto"/>
        <w:jc w:val="both"/>
        <w:rPr>
          <w:rFonts w:ascii="Montserrat" w:eastAsia="Times New Roman" w:hAnsi="Montserrat" w:cs="Calibri"/>
          <w:sz w:val="22"/>
          <w:szCs w:val="22"/>
          <w:bdr w:val="none" w:sz="0" w:space="0" w:color="auto" w:frame="1"/>
          <w:lang w:eastAsia="es-MX"/>
        </w:rPr>
      </w:pP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492"/>
        <w:gridCol w:w="2131"/>
        <w:gridCol w:w="1842"/>
        <w:gridCol w:w="1985"/>
      </w:tblGrid>
      <w:tr w:rsidR="00AB27E1" w:rsidRPr="00AB27E1" w14:paraId="26CABD84" w14:textId="7C35A8DA" w:rsidTr="00481FA5">
        <w:trPr>
          <w:trHeight w:val="309"/>
        </w:trPr>
        <w:tc>
          <w:tcPr>
            <w:tcW w:w="8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BB605" w14:textId="6AEEA317" w:rsidR="00AB27E1" w:rsidRPr="00AB27E1" w:rsidRDefault="00AB27E1" w:rsidP="00AB27E1">
            <w:pPr>
              <w:spacing w:after="160" w:line="256" w:lineRule="auto"/>
              <w:jc w:val="center"/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lastRenderedPageBreak/>
              <w:t>Situación de las Acciones de Control</w:t>
            </w:r>
          </w:p>
        </w:tc>
      </w:tr>
      <w:tr w:rsidR="00AB27E1" w:rsidRPr="00AB27E1" w14:paraId="50B1B14B" w14:textId="77777777" w:rsidTr="00481FA5">
        <w:trPr>
          <w:trHeight w:val="492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D53D9B" w14:textId="77777777" w:rsidR="00AB27E1" w:rsidRPr="00AB27E1" w:rsidRDefault="00AB27E1" w:rsidP="00AB27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Trimestre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9362D" w14:textId="77777777" w:rsidR="00AB27E1" w:rsidRPr="00AB27E1" w:rsidRDefault="00AB27E1" w:rsidP="00AB27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Concluidas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3C545" w14:textId="44C0F133" w:rsidR="00AB27E1" w:rsidRDefault="00AB27E1" w:rsidP="00AB27E1">
            <w:pPr>
              <w:jc w:val="center"/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Cumplimiento</w:t>
            </w:r>
          </w:p>
          <w:p w14:paraId="03905882" w14:textId="38F2097E" w:rsidR="00AB27E1" w:rsidRPr="00AB27E1" w:rsidRDefault="00AB27E1" w:rsidP="00AB27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A025F4" w14:textId="77777777" w:rsidR="00AB27E1" w:rsidRPr="00AB27E1" w:rsidRDefault="00AB27E1" w:rsidP="00AB27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En proceso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7C50D" w14:textId="77777777" w:rsidR="00AB27E1" w:rsidRDefault="00AB27E1" w:rsidP="00AB27E1">
            <w:pPr>
              <w:jc w:val="center"/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 xml:space="preserve">Pendientes </w:t>
            </w:r>
          </w:p>
          <w:p w14:paraId="41DCDA5B" w14:textId="1E338CA8" w:rsidR="00AB27E1" w:rsidRPr="00AB27E1" w:rsidRDefault="00AB27E1" w:rsidP="00AB27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(Sin avances)</w:t>
            </w:r>
          </w:p>
        </w:tc>
      </w:tr>
      <w:tr w:rsidR="00AB27E1" w:rsidRPr="00AB27E1" w14:paraId="735E01A5" w14:textId="77777777" w:rsidTr="00AB27E1"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B7B16" w14:textId="77777777" w:rsidR="00AB27E1" w:rsidRPr="00AB27E1" w:rsidRDefault="00AB27E1" w:rsidP="00AB27E1">
            <w:pPr>
              <w:spacing w:after="160" w:line="256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Primero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DE9F7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655C95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9.1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D8E48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6824F0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  <w:tr w:rsidR="00AB27E1" w:rsidRPr="00AB27E1" w14:paraId="76FFE0DF" w14:textId="77777777" w:rsidTr="00AB27E1"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721DCF" w14:textId="77777777" w:rsidR="00AB27E1" w:rsidRPr="00AB27E1" w:rsidRDefault="00AB27E1" w:rsidP="00AB27E1">
            <w:pPr>
              <w:spacing w:after="160" w:line="256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Segundo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EE8C9A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4DA44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18.2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86593D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1A60CA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  <w:tr w:rsidR="00AB27E1" w:rsidRPr="00AB27E1" w14:paraId="1D9DFD80" w14:textId="77777777" w:rsidTr="00AB27E1"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2D3C1" w14:textId="77777777" w:rsidR="00AB27E1" w:rsidRPr="00AB27E1" w:rsidRDefault="00AB27E1" w:rsidP="00AB27E1">
            <w:pPr>
              <w:spacing w:after="160" w:line="256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Tercero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627FFC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D4BD76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72.7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754CAF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B8FF1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  <w:tr w:rsidR="00AB27E1" w:rsidRPr="00AB27E1" w14:paraId="7F1C1935" w14:textId="77777777" w:rsidTr="00AB27E1"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2CF2C" w14:textId="77777777" w:rsidR="00AB27E1" w:rsidRPr="00AB27E1" w:rsidRDefault="00AB27E1" w:rsidP="00AB27E1">
            <w:pPr>
              <w:spacing w:after="160" w:line="256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Cuarto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2A340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DA70A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DE0DD6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C5B777" w14:textId="77777777" w:rsidR="00AB27E1" w:rsidRPr="00AB27E1" w:rsidRDefault="00AB27E1" w:rsidP="00AB27E1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AB27E1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0</w:t>
            </w:r>
          </w:p>
        </w:tc>
      </w:tr>
    </w:tbl>
    <w:p w14:paraId="490373B8" w14:textId="09A22A2A" w:rsidR="00CF7154" w:rsidRDefault="00CF7154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039FFA95" w14:textId="1DB2CFCF" w:rsidR="00A02BBA" w:rsidRDefault="00A02BBA" w:rsidP="00A02BBA">
      <w:pPr>
        <w:rPr>
          <w:rFonts w:ascii="Montserrat" w:eastAsia="+mn-ea" w:hAnsi="Montserrat" w:cs="+mn-cs"/>
          <w:kern w:val="24"/>
          <w:sz w:val="22"/>
          <w:szCs w:val="22"/>
          <w:lang w:eastAsia="es-MX"/>
        </w:rPr>
      </w:pPr>
      <w:r>
        <w:rPr>
          <w:rFonts w:ascii="Montserrat" w:eastAsia="+mn-ea" w:hAnsi="Montserrat" w:cs="+mn-cs"/>
          <w:kern w:val="24"/>
          <w:sz w:val="22"/>
          <w:szCs w:val="22"/>
          <w:lang w:eastAsia="es-MX"/>
        </w:rPr>
        <w:t>L</w:t>
      </w: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>os resultados alcanzados en el PTAR para el ejercicio 2021 fueron satisfactorios y de gran utilidad por las siguientes razones:</w:t>
      </w:r>
    </w:p>
    <w:p w14:paraId="65417297" w14:textId="77777777" w:rsidR="00A02BBA" w:rsidRPr="00A02BBA" w:rsidRDefault="00A02BBA" w:rsidP="00A02BBA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2B5CDD94" w14:textId="69A2EC9A" w:rsidR="00A02BBA" w:rsidRPr="00A02BBA" w:rsidRDefault="00A02BBA" w:rsidP="00A02BBA">
      <w:pPr>
        <w:numPr>
          <w:ilvl w:val="0"/>
          <w:numId w:val="7"/>
        </w:num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Todas las acciones del programa fueron concluidas de acuerdo </w:t>
      </w:r>
      <w:r w:rsidR="00036BA8">
        <w:rPr>
          <w:rFonts w:ascii="Montserrat" w:eastAsia="+mn-ea" w:hAnsi="Montserrat" w:cs="+mn-cs"/>
          <w:kern w:val="24"/>
          <w:sz w:val="22"/>
          <w:szCs w:val="22"/>
          <w:lang w:eastAsia="es-MX"/>
        </w:rPr>
        <w:t>con</w:t>
      </w: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 lo planeado con un 100% de avance.</w:t>
      </w:r>
    </w:p>
    <w:p w14:paraId="3375CBEA" w14:textId="77777777" w:rsidR="00A02BBA" w:rsidRPr="00A02BBA" w:rsidRDefault="00A02BBA" w:rsidP="00A02BBA">
      <w:p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24AD3A21" w14:textId="491CA25B" w:rsidR="00A02BBA" w:rsidRPr="00A02BBA" w:rsidRDefault="00A02BBA" w:rsidP="00A02BBA">
      <w:pPr>
        <w:numPr>
          <w:ilvl w:val="0"/>
          <w:numId w:val="7"/>
        </w:num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>Se establecieron controles en procesos que presentaron vulnerabilidades susceptibles de actos de corrupción.</w:t>
      </w:r>
    </w:p>
    <w:p w14:paraId="6A8D486F" w14:textId="77777777" w:rsidR="00A02BBA" w:rsidRPr="00A02BBA" w:rsidRDefault="00A02BBA" w:rsidP="00A02BBA">
      <w:p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249BC2C8" w14:textId="4920C030" w:rsidR="00A02BBA" w:rsidRPr="00A02BBA" w:rsidRDefault="00A02BBA" w:rsidP="00A02BBA">
      <w:pPr>
        <w:numPr>
          <w:ilvl w:val="0"/>
          <w:numId w:val="7"/>
        </w:num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>Todas las acciones de control abonaron a la reducción de la probabilidad de materialización de los riesgos, a la vez que coadyuvaron a la eficacia y eficiencia en la operación de los procesos.</w:t>
      </w:r>
    </w:p>
    <w:p w14:paraId="0879C091" w14:textId="77777777" w:rsidR="00A02BBA" w:rsidRPr="00A02BBA" w:rsidRDefault="00A02BBA" w:rsidP="00A02BBA">
      <w:p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068C2E61" w14:textId="1EB79A34" w:rsidR="00A02BBA" w:rsidRPr="00A02BBA" w:rsidRDefault="00A02BBA" w:rsidP="00A02BBA">
      <w:pPr>
        <w:numPr>
          <w:ilvl w:val="0"/>
          <w:numId w:val="7"/>
        </w:numPr>
        <w:ind w:left="426"/>
        <w:contextualSpacing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>Se logró que más áreas de la institución adoptar</w:t>
      </w:r>
      <w:r w:rsidR="00036BA8">
        <w:rPr>
          <w:rFonts w:ascii="Montserrat" w:eastAsia="+mn-ea" w:hAnsi="Montserrat" w:cs="+mn-cs"/>
          <w:kern w:val="24"/>
          <w:sz w:val="22"/>
          <w:szCs w:val="22"/>
          <w:lang w:eastAsia="es-MX"/>
        </w:rPr>
        <w:t>a</w:t>
      </w:r>
      <w:r w:rsidRPr="00A02BBA">
        <w:rPr>
          <w:rFonts w:ascii="Montserrat" w:eastAsia="+mn-ea" w:hAnsi="Montserrat" w:cs="+mn-cs"/>
          <w:kern w:val="24"/>
          <w:sz w:val="22"/>
          <w:szCs w:val="22"/>
          <w:lang w:eastAsia="es-MX"/>
        </w:rPr>
        <w:t xml:space="preserve">n la cultura de identificación y atención de riesgos. </w:t>
      </w:r>
    </w:p>
    <w:p w14:paraId="2D38508B" w14:textId="41DD26F5" w:rsidR="00A02BBA" w:rsidRDefault="00A02BBA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5C2C6C41" w14:textId="1049507A" w:rsidR="00A02BBA" w:rsidRPr="00A02BBA" w:rsidRDefault="00A02BBA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bCs/>
        </w:rPr>
      </w:pPr>
      <w:r w:rsidRPr="00A02BBA">
        <w:rPr>
          <w:rFonts w:ascii="Montserrat" w:hAnsi="Montserrat" w:cs="Arial"/>
          <w:b/>
          <w:bCs/>
        </w:rPr>
        <w:t>Programa de Trabajo de Administración de Riesgos 2022</w:t>
      </w:r>
    </w:p>
    <w:p w14:paraId="67A11084" w14:textId="17A5A74C" w:rsidR="00A02BBA" w:rsidRDefault="00A02BBA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490FDCFC" w14:textId="75909343" w:rsidR="00A02BBA" w:rsidRDefault="00A02BBA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Para 2022, se registraron los </w:t>
      </w:r>
      <w:r w:rsidR="00F55543">
        <w:rPr>
          <w:rFonts w:ascii="Montserrat" w:hAnsi="Montserrat" w:cs="Arial"/>
          <w:sz w:val="22"/>
          <w:szCs w:val="22"/>
        </w:rPr>
        <w:t xml:space="preserve">siguientes </w:t>
      </w:r>
      <w:r>
        <w:rPr>
          <w:rFonts w:ascii="Montserrat" w:hAnsi="Montserrat" w:cs="Arial"/>
          <w:sz w:val="22"/>
          <w:szCs w:val="22"/>
        </w:rPr>
        <w:t>cinco riesgos</w:t>
      </w:r>
      <w:r w:rsidR="00F55543">
        <w:rPr>
          <w:rFonts w:ascii="Montserrat" w:hAnsi="Montserrat" w:cs="Arial"/>
          <w:sz w:val="22"/>
          <w:szCs w:val="22"/>
        </w:rPr>
        <w:t>:</w:t>
      </w:r>
    </w:p>
    <w:p w14:paraId="466E6361" w14:textId="13E76BC3" w:rsidR="00F55543" w:rsidRDefault="00F55543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172"/>
        <w:gridCol w:w="1729"/>
        <w:gridCol w:w="1178"/>
        <w:gridCol w:w="1518"/>
        <w:gridCol w:w="1357"/>
      </w:tblGrid>
      <w:tr w:rsidR="00656770" w:rsidRPr="00B31A1D" w14:paraId="00C6A317" w14:textId="77777777" w:rsidTr="00656770">
        <w:trPr>
          <w:trHeight w:val="639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1F3343FA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proofErr w:type="spellStart"/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N°</w:t>
            </w:r>
            <w:proofErr w:type="spellEnd"/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 xml:space="preserve"> Riesgo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0CC39B26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Descripción Riesgo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723C5AA" w14:textId="6AB3379A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Clasificación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262E1D3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Grado impacto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667E3809" w14:textId="4D156CD5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Probabilidad ocurrencia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8B00D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Cuadrante</w:t>
            </w:r>
          </w:p>
        </w:tc>
      </w:tr>
      <w:tr w:rsidR="00656770" w:rsidRPr="00B31A1D" w14:paraId="5BBD22D2" w14:textId="77777777" w:rsidTr="00656770">
        <w:trPr>
          <w:trHeight w:val="1353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5F6B5DF4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2022_1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3500471D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Colaboración interinstitucional gestionada inadecuadamente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66B4F0EF" w14:textId="77777777" w:rsidR="00B31A1D" w:rsidRPr="00B31A1D" w:rsidRDefault="00B31A1D" w:rsidP="00656770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Sustantivo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68BF304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01F6B367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D2CD0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I</w:t>
            </w:r>
          </w:p>
        </w:tc>
      </w:tr>
      <w:tr w:rsidR="00656770" w:rsidRPr="00B31A1D" w14:paraId="3A15F53A" w14:textId="77777777" w:rsidTr="00656770">
        <w:trPr>
          <w:trHeight w:val="1796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01EDBB6B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lastRenderedPageBreak/>
              <w:t>2022_2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183BA548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Programas orientados a fortalecer la apropiación social de la ciencia operados con insuficiencias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340717B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Sustantivo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1A4E609D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BDD3436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8D8E8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I</w:t>
            </w:r>
          </w:p>
        </w:tc>
      </w:tr>
      <w:tr w:rsidR="00656770" w:rsidRPr="00B31A1D" w14:paraId="1725EE06" w14:textId="77777777" w:rsidTr="00656770">
        <w:trPr>
          <w:trHeight w:val="203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776D8DB5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2022_3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0E24699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Investigación científica sobre problemáticas en el entorno socioambiental realizada con deficiencias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3BB4083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Sustantivo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01A6AEC5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728B727C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404B8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I</w:t>
            </w:r>
          </w:p>
        </w:tc>
      </w:tr>
      <w:tr w:rsidR="00656770" w:rsidRPr="00B31A1D" w14:paraId="7FC7D912" w14:textId="77777777" w:rsidTr="00656770">
        <w:trPr>
          <w:trHeight w:val="1353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2529143A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2022_4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33F9C9D1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Formación de estudiantes de posgrado ejecutada con deficiencias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10C01B1D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Sustantivo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34DCE640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197A005E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CC4D3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I</w:t>
            </w:r>
          </w:p>
        </w:tc>
      </w:tr>
      <w:tr w:rsidR="00656770" w:rsidRPr="00B31A1D" w14:paraId="02D14C19" w14:textId="77777777" w:rsidTr="00656770">
        <w:trPr>
          <w:trHeight w:val="1353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30DF82A6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2022_5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09A3DE91" w14:textId="77777777" w:rsidR="00B31A1D" w:rsidRPr="00B31A1D" w:rsidRDefault="00B31A1D" w:rsidP="00B31A1D">
            <w:pPr>
              <w:spacing w:after="160" w:line="254" w:lineRule="auto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Servicios administrativos otorgados con ineficiencia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6E9E265B" w14:textId="4420B9B4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Administrativo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44326E6A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0" w:type="dxa"/>
              <w:bottom w:w="0" w:type="dxa"/>
              <w:right w:w="50" w:type="dxa"/>
            </w:tcMar>
            <w:hideMark/>
          </w:tcPr>
          <w:p w14:paraId="5DC2AE00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color w:val="000000"/>
                <w:kern w:val="24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A1982" w14:textId="77777777" w:rsidR="00B31A1D" w:rsidRPr="00B31A1D" w:rsidRDefault="00B31A1D" w:rsidP="00B31A1D">
            <w:pPr>
              <w:spacing w:after="160" w:line="254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B31A1D">
              <w:rPr>
                <w:rFonts w:ascii="Montserrat" w:eastAsia="Calibri" w:hAnsi="Montserrat" w:cs="Times New Roman"/>
                <w:b/>
                <w:bCs/>
                <w:color w:val="000000"/>
                <w:kern w:val="24"/>
                <w:sz w:val="22"/>
                <w:szCs w:val="22"/>
                <w:lang w:eastAsia="es-MX"/>
              </w:rPr>
              <w:t>II</w:t>
            </w:r>
          </w:p>
        </w:tc>
      </w:tr>
    </w:tbl>
    <w:p w14:paraId="301DE46B" w14:textId="05B58165" w:rsidR="00F55543" w:rsidRDefault="00F55543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1F31A23C" w14:textId="16E16D99" w:rsidR="00B31A1D" w:rsidRPr="00605200" w:rsidRDefault="00605200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bCs/>
        </w:rPr>
      </w:pPr>
      <w:r w:rsidRPr="00605200">
        <w:rPr>
          <w:rFonts w:ascii="Montserrat" w:hAnsi="Montserrat" w:cs="Arial"/>
          <w:b/>
          <w:bCs/>
        </w:rPr>
        <w:t>Estado que guarda el Control Interno y Desempeño Institucional (</w:t>
      </w:r>
      <w:r>
        <w:rPr>
          <w:rFonts w:ascii="Montserrat" w:hAnsi="Montserrat" w:cs="Arial"/>
          <w:b/>
          <w:bCs/>
        </w:rPr>
        <w:t>síntesis</w:t>
      </w:r>
      <w:r w:rsidRPr="00605200">
        <w:rPr>
          <w:rFonts w:ascii="Montserrat" w:hAnsi="Montserrat" w:cs="Arial"/>
          <w:b/>
          <w:bCs/>
        </w:rPr>
        <w:t>)</w:t>
      </w:r>
    </w:p>
    <w:p w14:paraId="43F2A4F6" w14:textId="4EAF541F" w:rsidR="00605200" w:rsidRDefault="00605200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373B1289" w14:textId="338E6CF8" w:rsidR="00605200" w:rsidRDefault="003C30F0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  <w:r w:rsidRPr="003C30F0">
        <w:rPr>
          <w:rFonts w:ascii="Montserrat" w:hAnsi="Montserrat" w:cs="Arial"/>
          <w:b/>
          <w:bCs/>
          <w:sz w:val="22"/>
          <w:szCs w:val="22"/>
        </w:rPr>
        <w:t>Fortalezas</w:t>
      </w:r>
    </w:p>
    <w:p w14:paraId="79F72794" w14:textId="77777777" w:rsidR="004E4003" w:rsidRPr="003C30F0" w:rsidRDefault="004E4003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1C2DB1BF" w14:textId="4DB770F9" w:rsidR="003C30F0" w:rsidRDefault="00781EB7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 w:rsidRPr="00781EB7">
        <w:rPr>
          <w:rFonts w:ascii="Montserrat" w:hAnsi="Montserrat" w:cs="Arial"/>
          <w:sz w:val="22"/>
          <w:szCs w:val="22"/>
        </w:rPr>
        <w:t>Presentación de las carpetas en tiempo y forma conforme a la normatividad aplicable y consensuo del Comité</w:t>
      </w:r>
      <w:r w:rsidR="004E4003">
        <w:rPr>
          <w:rFonts w:ascii="Montserrat" w:hAnsi="Montserrat" w:cs="Arial"/>
          <w:sz w:val="22"/>
          <w:szCs w:val="22"/>
        </w:rPr>
        <w:t>.</w:t>
      </w:r>
    </w:p>
    <w:p w14:paraId="1175E277" w14:textId="3E9F175B" w:rsidR="004E4003" w:rsidRDefault="004E4003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Ningún Acuerdo pendiente, ni situaciones críticas.</w:t>
      </w:r>
    </w:p>
    <w:p w14:paraId="671DF348" w14:textId="2302D481" w:rsidR="00781EB7" w:rsidRDefault="00781EB7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Alto grado de cumplimiento en los programas de Gobierno (PNCCIMGP, CI ARI, PROIGUALDAD, PTIC, LFA</w:t>
      </w:r>
      <w:r w:rsidR="004E4003">
        <w:rPr>
          <w:rFonts w:ascii="Montserrat" w:hAnsi="Montserrat" w:cs="Arial"/>
          <w:sz w:val="22"/>
          <w:szCs w:val="22"/>
        </w:rPr>
        <w:t>, Comité de Ética</w:t>
      </w:r>
      <w:r>
        <w:rPr>
          <w:rFonts w:ascii="Montserrat" w:hAnsi="Montserrat" w:cs="Arial"/>
          <w:sz w:val="22"/>
          <w:szCs w:val="22"/>
        </w:rPr>
        <w:t>)</w:t>
      </w:r>
      <w:r w:rsidR="004E4003">
        <w:rPr>
          <w:rFonts w:ascii="Montserrat" w:hAnsi="Montserrat" w:cs="Arial"/>
          <w:sz w:val="22"/>
          <w:szCs w:val="22"/>
        </w:rPr>
        <w:t>.</w:t>
      </w:r>
      <w:r>
        <w:rPr>
          <w:rFonts w:ascii="Montserrat" w:hAnsi="Montserrat" w:cs="Arial"/>
          <w:sz w:val="22"/>
          <w:szCs w:val="22"/>
        </w:rPr>
        <w:t xml:space="preserve"> </w:t>
      </w:r>
    </w:p>
    <w:p w14:paraId="7CF3EB03" w14:textId="7342CF8E" w:rsidR="00781EB7" w:rsidRDefault="004E4003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Alto grado de cumplimiento en los indicadores CAR.</w:t>
      </w:r>
    </w:p>
    <w:p w14:paraId="65217371" w14:textId="275F1364" w:rsidR="00237F1E" w:rsidRDefault="00237F1E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Esfuerzos institucionales por integrar en su programa estratégico los temas trasversales de igualdad e inclusión.</w:t>
      </w:r>
    </w:p>
    <w:p w14:paraId="05779A2E" w14:textId="2764BFA9" w:rsidR="00036BA8" w:rsidRDefault="00036BA8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lastRenderedPageBreak/>
        <w:t>Mejora de los procesos</w:t>
      </w:r>
      <w:r w:rsidR="00964CE7">
        <w:rPr>
          <w:rFonts w:ascii="Montserrat" w:hAnsi="Montserrat" w:cs="Arial"/>
          <w:sz w:val="22"/>
          <w:szCs w:val="22"/>
        </w:rPr>
        <w:t xml:space="preserve"> seleccionados para el</w:t>
      </w:r>
      <w:r>
        <w:rPr>
          <w:rFonts w:ascii="Montserrat" w:hAnsi="Montserrat" w:cs="Arial"/>
          <w:sz w:val="22"/>
          <w:szCs w:val="22"/>
        </w:rPr>
        <w:t xml:space="preserve"> Control Interno</w:t>
      </w:r>
      <w:r w:rsidR="00877728">
        <w:rPr>
          <w:rFonts w:ascii="Montserrat" w:hAnsi="Montserrat" w:cs="Arial"/>
          <w:sz w:val="22"/>
          <w:szCs w:val="22"/>
        </w:rPr>
        <w:t>.</w:t>
      </w:r>
    </w:p>
    <w:p w14:paraId="5EB9E024" w14:textId="3F4156E7" w:rsidR="00237F1E" w:rsidRPr="00781EB7" w:rsidRDefault="00237F1E" w:rsidP="00781E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Avances en </w:t>
      </w:r>
      <w:r w:rsidR="00964CE7">
        <w:rPr>
          <w:rFonts w:ascii="Montserrat" w:hAnsi="Montserrat" w:cs="Arial"/>
          <w:sz w:val="22"/>
          <w:szCs w:val="22"/>
        </w:rPr>
        <w:t>el conocimiento y aplicación de la normativa</w:t>
      </w:r>
      <w:r>
        <w:rPr>
          <w:rFonts w:ascii="Montserrat" w:hAnsi="Montserrat" w:cs="Arial"/>
          <w:sz w:val="22"/>
          <w:szCs w:val="22"/>
        </w:rPr>
        <w:t>.</w:t>
      </w:r>
    </w:p>
    <w:p w14:paraId="345EBFC4" w14:textId="31EF95F9" w:rsidR="003C30F0" w:rsidRDefault="003C30F0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14:paraId="4F594E25" w14:textId="19B64F88" w:rsidR="003C30F0" w:rsidRDefault="003C30F0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  <w:r w:rsidRPr="003C30F0">
        <w:rPr>
          <w:rFonts w:ascii="Montserrat" w:hAnsi="Montserrat" w:cs="Arial"/>
          <w:b/>
          <w:bCs/>
          <w:sz w:val="22"/>
          <w:szCs w:val="22"/>
        </w:rPr>
        <w:t>Áreas de oportunidad</w:t>
      </w:r>
    </w:p>
    <w:p w14:paraId="0215C424" w14:textId="77777777" w:rsidR="004E4003" w:rsidRDefault="004E4003" w:rsidP="00CF715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261ECC1A" w14:textId="043841FE" w:rsidR="004E4003" w:rsidRDefault="004E4003" w:rsidP="004E400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 w:rsidRPr="004E4003">
        <w:rPr>
          <w:rFonts w:ascii="Montserrat" w:hAnsi="Montserrat" w:cs="Arial"/>
          <w:sz w:val="22"/>
          <w:szCs w:val="22"/>
        </w:rPr>
        <w:t>Falta de captación de recursos externos</w:t>
      </w:r>
      <w:r w:rsidR="00237F1E">
        <w:rPr>
          <w:rFonts w:ascii="Montserrat" w:hAnsi="Montserrat" w:cs="Arial"/>
          <w:sz w:val="22"/>
          <w:szCs w:val="22"/>
        </w:rPr>
        <w:t>.</w:t>
      </w:r>
    </w:p>
    <w:p w14:paraId="1067B1CD" w14:textId="1DE312D5" w:rsidR="00036BA8" w:rsidRDefault="00ED58FC" w:rsidP="005903B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 w:rsidRPr="00ED58FC">
        <w:rPr>
          <w:rFonts w:ascii="Montserrat" w:eastAsia="Calibri" w:hAnsi="Montserrat" w:cs="Times New Roman"/>
          <w:sz w:val="22"/>
          <w:szCs w:val="22"/>
        </w:rPr>
        <w:t>Fortalecimiento del uso intensivo de tecnologías a pesar de la imposibilidad de adquirir TIC para revertir la obsolescencia severa a la cual se enfrenta la institución</w:t>
      </w:r>
      <w:r w:rsidR="00877728">
        <w:rPr>
          <w:rFonts w:ascii="Montserrat" w:hAnsi="Montserrat" w:cs="Arial"/>
          <w:sz w:val="22"/>
          <w:szCs w:val="22"/>
        </w:rPr>
        <w:t>.</w:t>
      </w:r>
    </w:p>
    <w:p w14:paraId="4C0115DF" w14:textId="2B56440E" w:rsidR="00ED58FC" w:rsidRDefault="00ED58FC" w:rsidP="005903B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Avances más firmes hacia la mejora regulatoria</w:t>
      </w:r>
      <w:r w:rsidR="00877728">
        <w:rPr>
          <w:rFonts w:ascii="Montserrat" w:hAnsi="Montserrat" w:cs="Arial"/>
          <w:sz w:val="22"/>
          <w:szCs w:val="22"/>
        </w:rPr>
        <w:t>.</w:t>
      </w:r>
    </w:p>
    <w:p w14:paraId="2FD150C6" w14:textId="5D483957" w:rsidR="003477FB" w:rsidRDefault="00877728" w:rsidP="005903B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I</w:t>
      </w:r>
      <w:r w:rsidR="00964CE7">
        <w:rPr>
          <w:rFonts w:ascii="Montserrat" w:hAnsi="Montserrat" w:cs="Arial"/>
          <w:sz w:val="22"/>
          <w:szCs w:val="22"/>
        </w:rPr>
        <w:t>dentificar e i</w:t>
      </w:r>
      <w:r>
        <w:rPr>
          <w:rFonts w:ascii="Montserrat" w:hAnsi="Montserrat" w:cs="Arial"/>
          <w:sz w:val="22"/>
          <w:szCs w:val="22"/>
        </w:rPr>
        <w:t>ntegrar</w:t>
      </w:r>
      <w:r w:rsidR="003477FB">
        <w:rPr>
          <w:rFonts w:ascii="Montserrat" w:hAnsi="Montserrat" w:cs="Arial"/>
          <w:sz w:val="22"/>
          <w:szCs w:val="22"/>
        </w:rPr>
        <w:t xml:space="preserve"> riesgos éticos </w:t>
      </w:r>
      <w:r>
        <w:rPr>
          <w:rFonts w:ascii="Montserrat" w:hAnsi="Montserrat" w:cs="Arial"/>
          <w:sz w:val="22"/>
          <w:szCs w:val="22"/>
        </w:rPr>
        <w:t>en el PTAR.</w:t>
      </w:r>
    </w:p>
    <w:p w14:paraId="38CA7E3C" w14:textId="35B3F839" w:rsidR="00ED58FC" w:rsidRPr="004E4003" w:rsidRDefault="00ED58FC" w:rsidP="003477F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Montserrat" w:hAnsi="Montserrat" w:cs="Arial"/>
          <w:sz w:val="22"/>
          <w:szCs w:val="22"/>
        </w:rPr>
      </w:pPr>
    </w:p>
    <w:sectPr w:rsidR="00ED58FC" w:rsidRPr="004E4003" w:rsidSect="00422F43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9321" w14:textId="77777777" w:rsidR="0047312A" w:rsidRDefault="0047312A">
      <w:r>
        <w:separator/>
      </w:r>
    </w:p>
  </w:endnote>
  <w:endnote w:type="continuationSeparator" w:id="0">
    <w:p w14:paraId="68F488C3" w14:textId="77777777" w:rsidR="0047312A" w:rsidRDefault="0047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47312A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03B940F4" w:rsidR="003A63EB" w:rsidRPr="004C16DA" w:rsidRDefault="005B251E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bookmarkStart w:id="2" w:name="_Hlk98413462"/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bookmarkEnd w:id="2"/>
  <w:p w14:paraId="43426146" w14:textId="77777777" w:rsidR="003A63EB" w:rsidRDefault="0047312A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47312A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CF8B" w14:textId="77777777" w:rsidR="0047312A" w:rsidRDefault="0047312A">
      <w:r>
        <w:separator/>
      </w:r>
    </w:p>
  </w:footnote>
  <w:footnote w:type="continuationSeparator" w:id="0">
    <w:p w14:paraId="02531CF8" w14:textId="77777777" w:rsidR="0047312A" w:rsidRDefault="0047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70A73935" w:rsidR="00EE1715" w:rsidRDefault="005B251E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89369" wp14:editId="362CAAC3">
          <wp:simplePos x="0" y="0"/>
          <wp:positionH relativeFrom="column">
            <wp:posOffset>-3810</wp:posOffset>
          </wp:positionH>
          <wp:positionV relativeFrom="paragraph">
            <wp:posOffset>-231140</wp:posOffset>
          </wp:positionV>
          <wp:extent cx="5822315" cy="1042670"/>
          <wp:effectExtent l="0" t="0" r="6985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CC572" w14:textId="77777777" w:rsidR="00EE1715" w:rsidRDefault="0047312A" w:rsidP="00E364CC">
    <w:pPr>
      <w:pStyle w:val="Encabezado"/>
      <w:tabs>
        <w:tab w:val="left" w:pos="1134"/>
      </w:tabs>
    </w:pPr>
  </w:p>
  <w:p w14:paraId="4C2F6282" w14:textId="77777777" w:rsidR="00EE1715" w:rsidRDefault="0047312A" w:rsidP="00E364CC">
    <w:pPr>
      <w:pStyle w:val="Encabezado"/>
      <w:tabs>
        <w:tab w:val="left" w:pos="1134"/>
      </w:tabs>
    </w:pPr>
  </w:p>
  <w:p w14:paraId="50E2E2A0" w14:textId="77777777" w:rsidR="00EE1715" w:rsidRDefault="0047312A" w:rsidP="00E364CC">
    <w:pPr>
      <w:pStyle w:val="Encabezado"/>
      <w:tabs>
        <w:tab w:val="left" w:pos="1134"/>
      </w:tabs>
    </w:pPr>
  </w:p>
  <w:p w14:paraId="5E74838F" w14:textId="77777777" w:rsidR="00996F29" w:rsidRDefault="00996F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95D"/>
    <w:multiLevelType w:val="hybridMultilevel"/>
    <w:tmpl w:val="E4145D60"/>
    <w:lvl w:ilvl="0" w:tplc="86E4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E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8A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EA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04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06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4F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2E6"/>
    <w:multiLevelType w:val="hybridMultilevel"/>
    <w:tmpl w:val="A880B29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41462"/>
    <w:multiLevelType w:val="hybridMultilevel"/>
    <w:tmpl w:val="3A808DCC"/>
    <w:lvl w:ilvl="0" w:tplc="3E501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E0A0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B2C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824C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E8A5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B07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20C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A873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3E7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96C9E"/>
    <w:multiLevelType w:val="hybridMultilevel"/>
    <w:tmpl w:val="C4D6C9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488E"/>
    <w:multiLevelType w:val="hybridMultilevel"/>
    <w:tmpl w:val="7E864A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45AEC"/>
    <w:multiLevelType w:val="hybridMultilevel"/>
    <w:tmpl w:val="8F6A55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209DB"/>
    <w:rsid w:val="00036BA8"/>
    <w:rsid w:val="000934AA"/>
    <w:rsid w:val="00122054"/>
    <w:rsid w:val="001459D9"/>
    <w:rsid w:val="001B7CC2"/>
    <w:rsid w:val="001F2A48"/>
    <w:rsid w:val="00214EC4"/>
    <w:rsid w:val="00237F1E"/>
    <w:rsid w:val="0024762E"/>
    <w:rsid w:val="003477FB"/>
    <w:rsid w:val="003C30F0"/>
    <w:rsid w:val="004236D9"/>
    <w:rsid w:val="00452284"/>
    <w:rsid w:val="004531C7"/>
    <w:rsid w:val="0047312A"/>
    <w:rsid w:val="00481FA5"/>
    <w:rsid w:val="004C16DA"/>
    <w:rsid w:val="004E4003"/>
    <w:rsid w:val="005B251E"/>
    <w:rsid w:val="005E3C8A"/>
    <w:rsid w:val="00605200"/>
    <w:rsid w:val="00627643"/>
    <w:rsid w:val="00656770"/>
    <w:rsid w:val="00781EB7"/>
    <w:rsid w:val="007D1DAC"/>
    <w:rsid w:val="00822148"/>
    <w:rsid w:val="00842569"/>
    <w:rsid w:val="00865C37"/>
    <w:rsid w:val="00877728"/>
    <w:rsid w:val="00884C76"/>
    <w:rsid w:val="00940119"/>
    <w:rsid w:val="00964CE7"/>
    <w:rsid w:val="00996F29"/>
    <w:rsid w:val="009B48AB"/>
    <w:rsid w:val="00A02BBA"/>
    <w:rsid w:val="00A26E56"/>
    <w:rsid w:val="00A72C9F"/>
    <w:rsid w:val="00AB27E1"/>
    <w:rsid w:val="00AB6C79"/>
    <w:rsid w:val="00B31A1D"/>
    <w:rsid w:val="00BE1F9A"/>
    <w:rsid w:val="00BF3CB9"/>
    <w:rsid w:val="00C35BCB"/>
    <w:rsid w:val="00C96130"/>
    <w:rsid w:val="00CF7154"/>
    <w:rsid w:val="00D83F3C"/>
    <w:rsid w:val="00DB21DB"/>
    <w:rsid w:val="00DE0521"/>
    <w:rsid w:val="00E31959"/>
    <w:rsid w:val="00ED58FC"/>
    <w:rsid w:val="00F00D3B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F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1351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Claudia</cp:lastModifiedBy>
  <cp:revision>20</cp:revision>
  <dcterms:created xsi:type="dcterms:W3CDTF">2022-03-17T18:52:00Z</dcterms:created>
  <dcterms:modified xsi:type="dcterms:W3CDTF">2022-03-22T17:21:00Z</dcterms:modified>
</cp:coreProperties>
</file>