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807C" w14:textId="77777777" w:rsidR="00A52AEA" w:rsidRDefault="00A52AEA" w:rsidP="004B4CC6">
      <w:pPr>
        <w:ind w:right="-235"/>
        <w:rPr>
          <w:rFonts w:ascii="Montserrat" w:hAnsi="Montserrat"/>
          <w:b/>
          <w:bCs/>
          <w:iCs/>
          <w:sz w:val="22"/>
          <w:szCs w:val="22"/>
        </w:rPr>
      </w:pPr>
    </w:p>
    <w:p w14:paraId="28F0A6CD" w14:textId="742C906C" w:rsidR="00CC5A4D" w:rsidRPr="00A52AEA" w:rsidRDefault="00CC5A4D" w:rsidP="004B4CC6">
      <w:pPr>
        <w:ind w:right="-235"/>
        <w:rPr>
          <w:rFonts w:ascii="Montserrat" w:hAnsi="Montserrat"/>
          <w:b/>
          <w:bCs/>
          <w:iCs/>
          <w:sz w:val="22"/>
          <w:szCs w:val="22"/>
        </w:rPr>
      </w:pPr>
      <w:r w:rsidRPr="00A52AEA">
        <w:rPr>
          <w:rFonts w:ascii="Montserrat" w:hAnsi="Montserrat"/>
          <w:b/>
          <w:bCs/>
          <w:iCs/>
          <w:sz w:val="22"/>
          <w:szCs w:val="22"/>
        </w:rPr>
        <w:t>5.9 Indicadores del Anexo II</w:t>
      </w:r>
      <w:r w:rsidR="004B4CC6" w:rsidRPr="00A52AEA">
        <w:rPr>
          <w:rFonts w:ascii="Montserrat" w:hAnsi="Montserrat"/>
          <w:b/>
          <w:bCs/>
          <w:iCs/>
          <w:sz w:val="22"/>
          <w:szCs w:val="22"/>
        </w:rPr>
        <w:t xml:space="preserve">I </w:t>
      </w:r>
      <w:r w:rsidRPr="00A52AEA">
        <w:rPr>
          <w:rFonts w:ascii="Montserrat" w:hAnsi="Montserrat"/>
          <w:b/>
          <w:bCs/>
          <w:iCs/>
          <w:sz w:val="22"/>
          <w:szCs w:val="22"/>
        </w:rPr>
        <w:t>del</w:t>
      </w:r>
      <w:r w:rsidR="00521431" w:rsidRPr="00A52AEA">
        <w:rPr>
          <w:rFonts w:ascii="Montserrat" w:hAnsi="Montserrat"/>
          <w:b/>
          <w:bCs/>
          <w:iCs/>
          <w:sz w:val="22"/>
          <w:szCs w:val="22"/>
        </w:rPr>
        <w:t xml:space="preserve"> </w:t>
      </w:r>
      <w:r w:rsidRPr="00A52AEA">
        <w:rPr>
          <w:rFonts w:ascii="Montserrat" w:hAnsi="Montserrat"/>
          <w:b/>
          <w:bCs/>
          <w:iCs/>
          <w:sz w:val="22"/>
          <w:szCs w:val="22"/>
        </w:rPr>
        <w:t>Convenio de Administración</w:t>
      </w:r>
      <w:r w:rsidR="009B581E" w:rsidRPr="00A52AEA">
        <w:rPr>
          <w:rFonts w:ascii="Montserrat" w:hAnsi="Montserrat"/>
          <w:b/>
          <w:bCs/>
          <w:iCs/>
          <w:sz w:val="22"/>
          <w:szCs w:val="22"/>
        </w:rPr>
        <w:t xml:space="preserve"> </w:t>
      </w:r>
      <w:r w:rsidRPr="00A52AEA">
        <w:rPr>
          <w:rFonts w:ascii="Montserrat" w:hAnsi="Montserrat"/>
          <w:b/>
          <w:bCs/>
          <w:iCs/>
          <w:sz w:val="22"/>
          <w:szCs w:val="22"/>
        </w:rPr>
        <w:t>por Resultados</w:t>
      </w:r>
      <w:r w:rsidR="009B581E" w:rsidRPr="00A52AEA">
        <w:rPr>
          <w:rFonts w:ascii="Montserrat" w:hAnsi="Montserrat"/>
          <w:b/>
          <w:bCs/>
          <w:iCs/>
          <w:sz w:val="22"/>
          <w:szCs w:val="22"/>
        </w:rPr>
        <w:t xml:space="preserve"> </w:t>
      </w:r>
      <w:r w:rsidRPr="00A52AEA">
        <w:rPr>
          <w:rFonts w:ascii="Montserrat" w:hAnsi="Montserrat"/>
          <w:b/>
          <w:bCs/>
          <w:iCs/>
          <w:sz w:val="22"/>
          <w:szCs w:val="22"/>
        </w:rPr>
        <w:t>(CAR)</w:t>
      </w:r>
      <w:r w:rsidR="004B4CC6" w:rsidRPr="00A52AEA">
        <w:rPr>
          <w:rFonts w:ascii="Montserrat" w:hAnsi="Montserrat"/>
          <w:b/>
          <w:bCs/>
          <w:iCs/>
          <w:sz w:val="22"/>
          <w:szCs w:val="22"/>
        </w:rPr>
        <w:t xml:space="preserve"> </w:t>
      </w:r>
      <w:r w:rsidRPr="00A52AEA">
        <w:rPr>
          <w:rFonts w:ascii="Montserrat" w:hAnsi="Montserrat"/>
          <w:b/>
          <w:bCs/>
          <w:iCs/>
          <w:sz w:val="22"/>
          <w:szCs w:val="22"/>
        </w:rPr>
        <w:t>correspondientes a enero - junio del año 202</w:t>
      </w:r>
      <w:r w:rsidR="0052000A" w:rsidRPr="00A52AEA">
        <w:rPr>
          <w:rFonts w:ascii="Montserrat" w:hAnsi="Montserrat"/>
          <w:b/>
          <w:bCs/>
          <w:iCs/>
          <w:sz w:val="22"/>
          <w:szCs w:val="22"/>
        </w:rPr>
        <w:t>2</w:t>
      </w:r>
    </w:p>
    <w:p w14:paraId="333BCE08" w14:textId="77777777" w:rsidR="00CC5A4D" w:rsidRPr="006740AC" w:rsidRDefault="00CC5A4D" w:rsidP="00CC5A4D">
      <w:pPr>
        <w:jc w:val="center"/>
        <w:rPr>
          <w:rFonts w:ascii="Montserrat" w:hAnsi="Montserrat"/>
          <w:b/>
          <w:bCs/>
          <w:iCs/>
          <w:sz w:val="22"/>
          <w:szCs w:val="22"/>
        </w:rPr>
      </w:pPr>
    </w:p>
    <w:p w14:paraId="1505CE5E" w14:textId="3875B4F9" w:rsidR="00CC5A4D" w:rsidRPr="006740AC" w:rsidRDefault="00CC5A4D" w:rsidP="00AF28AB">
      <w:pPr>
        <w:jc w:val="both"/>
        <w:rPr>
          <w:rFonts w:ascii="Montserrat" w:hAnsi="Montserrat"/>
          <w:bCs/>
          <w:sz w:val="22"/>
          <w:szCs w:val="22"/>
        </w:rPr>
      </w:pPr>
      <w:r w:rsidRPr="006740AC">
        <w:rPr>
          <w:rFonts w:ascii="Montserrat" w:hAnsi="Montserrat"/>
          <w:sz w:val="22"/>
          <w:szCs w:val="22"/>
        </w:rPr>
        <w:t>A continuación, se describe el desempeño en términos de los indicadores CAR del Centro (Figura 1) y se da una explicación detallada de las variaciones importantes.</w:t>
      </w:r>
    </w:p>
    <w:p w14:paraId="081548C0" w14:textId="77777777" w:rsidR="0089025B" w:rsidRDefault="0089025B" w:rsidP="00CC5A4D">
      <w:pPr>
        <w:jc w:val="center"/>
        <w:rPr>
          <w:rFonts w:ascii="Montserrat" w:hAnsi="Montserrat"/>
          <w:bCs/>
          <w:sz w:val="22"/>
          <w:szCs w:val="22"/>
        </w:rPr>
      </w:pPr>
    </w:p>
    <w:p w14:paraId="33949503" w14:textId="525AE847" w:rsidR="0089025B" w:rsidRDefault="0089025B" w:rsidP="00CC5A4D">
      <w:pPr>
        <w:jc w:val="center"/>
        <w:rPr>
          <w:rFonts w:ascii="Montserrat" w:hAnsi="Montserrat"/>
          <w:bCs/>
          <w:sz w:val="22"/>
          <w:szCs w:val="22"/>
        </w:rPr>
      </w:pPr>
      <w:r w:rsidRPr="0089025B">
        <w:rPr>
          <w:noProof/>
          <w:lang w:eastAsia="es-MX"/>
        </w:rPr>
        <w:drawing>
          <wp:inline distT="0" distB="0" distL="0" distR="0" wp14:anchorId="05D960E4" wp14:editId="390FE893">
            <wp:extent cx="5971540" cy="222281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1540" cy="2222819"/>
                    </a:xfrm>
                    <a:prstGeom prst="rect">
                      <a:avLst/>
                    </a:prstGeom>
                    <a:noFill/>
                    <a:ln>
                      <a:noFill/>
                    </a:ln>
                  </pic:spPr>
                </pic:pic>
              </a:graphicData>
            </a:graphic>
          </wp:inline>
        </w:drawing>
      </w:r>
    </w:p>
    <w:p w14:paraId="662574D2" w14:textId="77777777" w:rsidR="0089025B" w:rsidRDefault="0089025B" w:rsidP="00CC5A4D">
      <w:pPr>
        <w:jc w:val="center"/>
        <w:rPr>
          <w:rFonts w:ascii="Montserrat" w:hAnsi="Montserrat"/>
          <w:bCs/>
          <w:sz w:val="22"/>
          <w:szCs w:val="22"/>
        </w:rPr>
      </w:pPr>
    </w:p>
    <w:p w14:paraId="1ACAABB1" w14:textId="3431C8EB" w:rsidR="00CC5A4D" w:rsidRPr="00DD73FC" w:rsidRDefault="00CC5A4D" w:rsidP="00CC5A4D">
      <w:pPr>
        <w:jc w:val="center"/>
        <w:rPr>
          <w:rFonts w:ascii="Montserrat" w:hAnsi="Montserrat"/>
          <w:bCs/>
          <w:sz w:val="20"/>
          <w:szCs w:val="20"/>
        </w:rPr>
      </w:pPr>
      <w:r w:rsidRPr="00DD73FC">
        <w:rPr>
          <w:rFonts w:ascii="Montserrat" w:hAnsi="Montserrat"/>
          <w:bCs/>
          <w:sz w:val="20"/>
          <w:szCs w:val="20"/>
        </w:rPr>
        <w:t xml:space="preserve">Figura 1. Desempeño de los indicadores de ECOSUR en el ejercicio </w:t>
      </w:r>
      <w:r w:rsidR="00DD73FC" w:rsidRPr="00DD73FC">
        <w:rPr>
          <w:rFonts w:ascii="Montserrat" w:hAnsi="Montserrat"/>
          <w:bCs/>
          <w:sz w:val="20"/>
          <w:szCs w:val="20"/>
        </w:rPr>
        <w:t xml:space="preserve">enero – junio </w:t>
      </w:r>
      <w:r w:rsidRPr="00DD73FC">
        <w:rPr>
          <w:rFonts w:ascii="Montserrat" w:hAnsi="Montserrat"/>
          <w:bCs/>
          <w:sz w:val="20"/>
          <w:szCs w:val="20"/>
        </w:rPr>
        <w:t>202</w:t>
      </w:r>
      <w:r w:rsidR="0052000A" w:rsidRPr="00DD73FC">
        <w:rPr>
          <w:rFonts w:ascii="Montserrat" w:hAnsi="Montserrat"/>
          <w:bCs/>
          <w:sz w:val="20"/>
          <w:szCs w:val="20"/>
        </w:rPr>
        <w:t>2.</w:t>
      </w:r>
    </w:p>
    <w:p w14:paraId="18350830" w14:textId="77777777" w:rsidR="006740AC" w:rsidRPr="006740AC" w:rsidRDefault="006740AC" w:rsidP="00CC5A4D">
      <w:pPr>
        <w:jc w:val="center"/>
        <w:rPr>
          <w:rFonts w:ascii="Montserrat" w:hAnsi="Montserrat"/>
          <w:bCs/>
          <w:sz w:val="22"/>
          <w:szCs w:val="22"/>
        </w:rPr>
      </w:pPr>
    </w:p>
    <w:p w14:paraId="4B5FDEFA" w14:textId="238E4229" w:rsidR="0086050D" w:rsidRDefault="00CC5A4D" w:rsidP="00CC5A4D">
      <w:pPr>
        <w:spacing w:line="276" w:lineRule="auto"/>
        <w:jc w:val="both"/>
        <w:rPr>
          <w:rFonts w:ascii="Montserrat" w:hAnsi="Montserrat"/>
          <w:sz w:val="22"/>
          <w:szCs w:val="22"/>
        </w:rPr>
      </w:pPr>
      <w:r w:rsidRPr="006740AC">
        <w:rPr>
          <w:rFonts w:ascii="Montserrat" w:hAnsi="Montserrat"/>
          <w:sz w:val="22"/>
          <w:szCs w:val="22"/>
        </w:rPr>
        <w:t>Durante el primer semestre del 202</w:t>
      </w:r>
      <w:r w:rsidR="0052000A">
        <w:rPr>
          <w:rFonts w:ascii="Montserrat" w:hAnsi="Montserrat"/>
          <w:sz w:val="22"/>
          <w:szCs w:val="22"/>
        </w:rPr>
        <w:t>2</w:t>
      </w:r>
      <w:r w:rsidRPr="006740AC">
        <w:rPr>
          <w:rFonts w:ascii="Montserrat" w:hAnsi="Montserrat"/>
          <w:sz w:val="22"/>
          <w:szCs w:val="22"/>
        </w:rPr>
        <w:t xml:space="preserve">, el nivel de avance promedio global en los indicadores fue del </w:t>
      </w:r>
      <w:r w:rsidR="009B581E">
        <w:rPr>
          <w:rFonts w:ascii="Montserrat" w:hAnsi="Montserrat"/>
          <w:sz w:val="22"/>
          <w:szCs w:val="22"/>
        </w:rPr>
        <w:t>67</w:t>
      </w:r>
      <w:r w:rsidRPr="006740AC">
        <w:rPr>
          <w:rFonts w:ascii="Montserrat" w:hAnsi="Montserrat"/>
          <w:sz w:val="22"/>
          <w:szCs w:val="22"/>
        </w:rPr>
        <w:t>% en relación a la meta anual, observándose avances variados</w:t>
      </w:r>
      <w:r w:rsidR="004B4CC6">
        <w:rPr>
          <w:rFonts w:ascii="Montserrat" w:hAnsi="Montserrat"/>
          <w:sz w:val="22"/>
          <w:szCs w:val="22"/>
        </w:rPr>
        <w:t xml:space="preserve"> entre los indicadores</w:t>
      </w:r>
      <w:r w:rsidRPr="006740AC">
        <w:rPr>
          <w:rFonts w:ascii="Montserrat" w:hAnsi="Montserrat"/>
          <w:sz w:val="22"/>
          <w:szCs w:val="22"/>
        </w:rPr>
        <w:t xml:space="preserve"> que van desde el </w:t>
      </w:r>
      <w:r w:rsidR="009B581E">
        <w:rPr>
          <w:rFonts w:ascii="Montserrat" w:hAnsi="Montserrat"/>
          <w:sz w:val="22"/>
          <w:szCs w:val="22"/>
        </w:rPr>
        <w:t>3</w:t>
      </w:r>
      <w:r w:rsidR="0052000A">
        <w:rPr>
          <w:rFonts w:ascii="Montserrat" w:hAnsi="Montserrat"/>
          <w:sz w:val="22"/>
          <w:szCs w:val="22"/>
        </w:rPr>
        <w:t>4</w:t>
      </w:r>
      <w:r w:rsidRPr="006740AC">
        <w:rPr>
          <w:rFonts w:ascii="Montserrat" w:hAnsi="Montserrat"/>
          <w:sz w:val="22"/>
          <w:szCs w:val="22"/>
        </w:rPr>
        <w:t xml:space="preserve">% hasta el 100%. </w:t>
      </w:r>
      <w:r w:rsidR="004B4CC6">
        <w:rPr>
          <w:rFonts w:ascii="Montserrat" w:hAnsi="Montserrat"/>
          <w:sz w:val="22"/>
          <w:szCs w:val="22"/>
        </w:rPr>
        <w:t>D</w:t>
      </w:r>
      <w:r w:rsidR="0052000A">
        <w:rPr>
          <w:rFonts w:ascii="Montserrat" w:hAnsi="Montserrat"/>
          <w:sz w:val="22"/>
          <w:szCs w:val="22"/>
        </w:rPr>
        <w:t>os</w:t>
      </w:r>
      <w:r w:rsidR="009B581E">
        <w:rPr>
          <w:rFonts w:ascii="Montserrat" w:hAnsi="Montserrat"/>
          <w:sz w:val="22"/>
          <w:szCs w:val="22"/>
        </w:rPr>
        <w:t xml:space="preserve"> indicadores </w:t>
      </w:r>
      <w:r w:rsidR="004B4CC6">
        <w:rPr>
          <w:rFonts w:ascii="Montserrat" w:hAnsi="Montserrat"/>
          <w:sz w:val="22"/>
          <w:szCs w:val="22"/>
        </w:rPr>
        <w:t xml:space="preserve">están </w:t>
      </w:r>
      <w:r w:rsidR="009B581E">
        <w:rPr>
          <w:rFonts w:ascii="Montserrat" w:hAnsi="Montserrat"/>
          <w:sz w:val="22"/>
          <w:szCs w:val="22"/>
        </w:rPr>
        <w:t>por debajo del avance esperado</w:t>
      </w:r>
      <w:r w:rsidR="0052000A">
        <w:rPr>
          <w:rFonts w:ascii="Montserrat" w:hAnsi="Montserrat"/>
          <w:sz w:val="22"/>
          <w:szCs w:val="22"/>
        </w:rPr>
        <w:t xml:space="preserve"> (sostenibilidad económica y proyectos interinstitucionales)</w:t>
      </w:r>
      <w:r w:rsidR="00045A42">
        <w:rPr>
          <w:rFonts w:ascii="Montserrat" w:hAnsi="Montserrat"/>
          <w:sz w:val="22"/>
          <w:szCs w:val="22"/>
        </w:rPr>
        <w:t xml:space="preserve">, y </w:t>
      </w:r>
      <w:r w:rsidR="0052000A">
        <w:rPr>
          <w:rFonts w:ascii="Montserrat" w:hAnsi="Montserrat"/>
          <w:sz w:val="22"/>
          <w:szCs w:val="22"/>
        </w:rPr>
        <w:t xml:space="preserve">ocho </w:t>
      </w:r>
      <w:r w:rsidR="009B581E">
        <w:rPr>
          <w:rFonts w:ascii="Montserrat" w:hAnsi="Montserrat"/>
          <w:sz w:val="22"/>
          <w:szCs w:val="22"/>
        </w:rPr>
        <w:t xml:space="preserve">indicadores con un avance </w:t>
      </w:r>
      <w:r w:rsidR="0052000A">
        <w:rPr>
          <w:rFonts w:ascii="Montserrat" w:hAnsi="Montserrat"/>
          <w:sz w:val="22"/>
          <w:szCs w:val="22"/>
        </w:rPr>
        <w:t xml:space="preserve">igual o </w:t>
      </w:r>
      <w:r w:rsidR="009B581E">
        <w:rPr>
          <w:rFonts w:ascii="Montserrat" w:hAnsi="Montserrat"/>
          <w:sz w:val="22"/>
          <w:szCs w:val="22"/>
        </w:rPr>
        <w:t xml:space="preserve">superior a lo que corresponde, </w:t>
      </w:r>
      <w:r w:rsidR="0052000A">
        <w:rPr>
          <w:rFonts w:ascii="Montserrat" w:hAnsi="Montserrat"/>
          <w:sz w:val="22"/>
          <w:szCs w:val="22"/>
        </w:rPr>
        <w:t xml:space="preserve">algunos </w:t>
      </w:r>
      <w:r w:rsidR="009B581E">
        <w:rPr>
          <w:rFonts w:ascii="Montserrat" w:hAnsi="Montserrat"/>
          <w:sz w:val="22"/>
          <w:szCs w:val="22"/>
        </w:rPr>
        <w:t>de ellos incluso ya reportan un cumplimiento total</w:t>
      </w:r>
      <w:r w:rsidRPr="006740AC">
        <w:rPr>
          <w:rFonts w:ascii="Montserrat" w:hAnsi="Montserrat"/>
          <w:sz w:val="22"/>
          <w:szCs w:val="22"/>
        </w:rPr>
        <w:t>.</w:t>
      </w:r>
    </w:p>
    <w:p w14:paraId="04B90B19" w14:textId="4FD672A2" w:rsidR="006740AC" w:rsidRDefault="006740AC">
      <w:pPr>
        <w:rPr>
          <w:rFonts w:ascii="Montserrat" w:hAnsi="Montserrat"/>
          <w:b/>
          <w:sz w:val="22"/>
          <w:szCs w:val="22"/>
        </w:rPr>
      </w:pPr>
    </w:p>
    <w:p w14:paraId="6B055A1F" w14:textId="77777777" w:rsidR="00687764" w:rsidRDefault="00687764">
      <w:pPr>
        <w:rPr>
          <w:rFonts w:ascii="Montserrat" w:hAnsi="Montserrat"/>
          <w:b/>
          <w:sz w:val="22"/>
          <w:szCs w:val="22"/>
        </w:rPr>
      </w:pPr>
    </w:p>
    <w:p w14:paraId="096D99E6" w14:textId="4587C5B8" w:rsidR="00CC5A4D" w:rsidRPr="00D423DA" w:rsidRDefault="00CC5A4D" w:rsidP="00CC5A4D">
      <w:pPr>
        <w:rPr>
          <w:rFonts w:ascii="Montserrat" w:hAnsi="Montserrat"/>
          <w:b/>
          <w:sz w:val="22"/>
          <w:szCs w:val="22"/>
        </w:rPr>
      </w:pPr>
      <w:r w:rsidRPr="00D423DA">
        <w:rPr>
          <w:rFonts w:ascii="Montserrat" w:hAnsi="Montserrat"/>
          <w:b/>
          <w:sz w:val="22"/>
          <w:szCs w:val="22"/>
        </w:rPr>
        <w:t>Explicación de las variaciones importantes</w:t>
      </w:r>
    </w:p>
    <w:p w14:paraId="26356F8E" w14:textId="77777777" w:rsidR="00687764" w:rsidRDefault="00687764" w:rsidP="00045A42">
      <w:pPr>
        <w:jc w:val="both"/>
        <w:rPr>
          <w:rFonts w:ascii="Montserrat" w:hAnsi="Montserrat"/>
          <w:b/>
          <w:sz w:val="22"/>
          <w:szCs w:val="22"/>
        </w:rPr>
      </w:pPr>
    </w:p>
    <w:p w14:paraId="01320AA0" w14:textId="006FDC78" w:rsidR="00045A42" w:rsidRPr="00AF28AB" w:rsidRDefault="00045A42" w:rsidP="00045A42">
      <w:pPr>
        <w:jc w:val="both"/>
        <w:rPr>
          <w:rFonts w:ascii="Montserrat" w:hAnsi="Montserrat"/>
          <w:b/>
          <w:sz w:val="22"/>
          <w:szCs w:val="22"/>
        </w:rPr>
      </w:pPr>
      <w:r w:rsidRPr="00AF28AB">
        <w:rPr>
          <w:rFonts w:ascii="Montserrat" w:hAnsi="Montserrat"/>
          <w:b/>
          <w:sz w:val="22"/>
          <w:szCs w:val="22"/>
        </w:rPr>
        <w:t xml:space="preserve">Indicador: </w:t>
      </w:r>
      <w:r w:rsidR="0052000A">
        <w:rPr>
          <w:rFonts w:ascii="Montserrat" w:hAnsi="Montserrat"/>
          <w:b/>
          <w:sz w:val="22"/>
          <w:szCs w:val="22"/>
        </w:rPr>
        <w:t>Í</w:t>
      </w:r>
      <w:r w:rsidR="0052000A" w:rsidRPr="0052000A">
        <w:rPr>
          <w:rFonts w:ascii="Montserrat" w:hAnsi="Montserrat"/>
          <w:b/>
          <w:sz w:val="22"/>
          <w:szCs w:val="22"/>
        </w:rPr>
        <w:t>ndice de sostenibilidad económica</w:t>
      </w:r>
    </w:p>
    <w:p w14:paraId="4869B3FA" w14:textId="77777777" w:rsidR="0052000A" w:rsidRDefault="0052000A" w:rsidP="00045A42">
      <w:pPr>
        <w:jc w:val="both"/>
        <w:rPr>
          <w:rFonts w:ascii="Montserrat" w:hAnsi="Montserrat"/>
          <w:b/>
          <w:sz w:val="22"/>
          <w:szCs w:val="22"/>
        </w:rPr>
      </w:pPr>
      <w:r w:rsidRPr="00AF28AB">
        <w:rPr>
          <w:rFonts w:ascii="Montserrat" w:hAnsi="Montserrat"/>
          <w:b/>
          <w:sz w:val="22"/>
          <w:szCs w:val="22"/>
        </w:rPr>
        <w:t xml:space="preserve">Valor alcanzado: </w:t>
      </w:r>
      <w:r>
        <w:rPr>
          <w:rFonts w:ascii="Montserrat" w:hAnsi="Montserrat"/>
          <w:b/>
          <w:sz w:val="22"/>
          <w:szCs w:val="22"/>
        </w:rPr>
        <w:t>0</w:t>
      </w:r>
      <w:r w:rsidRPr="00AF28AB">
        <w:rPr>
          <w:rFonts w:ascii="Montserrat" w:hAnsi="Montserrat"/>
          <w:b/>
          <w:sz w:val="22"/>
          <w:szCs w:val="22"/>
        </w:rPr>
        <w:t>.</w:t>
      </w:r>
      <w:r>
        <w:rPr>
          <w:rFonts w:ascii="Montserrat" w:hAnsi="Montserrat"/>
          <w:b/>
          <w:sz w:val="22"/>
          <w:szCs w:val="22"/>
        </w:rPr>
        <w:t>04</w:t>
      </w:r>
    </w:p>
    <w:p w14:paraId="77CE4914" w14:textId="69D9F5E3" w:rsidR="00045A42" w:rsidRDefault="00045A42" w:rsidP="00045A42">
      <w:pPr>
        <w:jc w:val="both"/>
        <w:rPr>
          <w:rFonts w:ascii="Montserrat" w:hAnsi="Montserrat"/>
          <w:b/>
          <w:sz w:val="22"/>
          <w:szCs w:val="22"/>
        </w:rPr>
      </w:pPr>
      <w:r w:rsidRPr="00AF28AB">
        <w:rPr>
          <w:rFonts w:ascii="Montserrat" w:hAnsi="Montserrat"/>
          <w:b/>
          <w:sz w:val="22"/>
          <w:szCs w:val="22"/>
        </w:rPr>
        <w:t xml:space="preserve">Meta anual: </w:t>
      </w:r>
      <w:r w:rsidR="0052000A">
        <w:rPr>
          <w:rFonts w:ascii="Montserrat" w:hAnsi="Montserrat"/>
          <w:b/>
          <w:sz w:val="22"/>
          <w:szCs w:val="22"/>
        </w:rPr>
        <w:t>0</w:t>
      </w:r>
      <w:r w:rsidRPr="00AF28AB">
        <w:rPr>
          <w:rFonts w:ascii="Montserrat" w:hAnsi="Montserrat"/>
          <w:b/>
          <w:sz w:val="22"/>
          <w:szCs w:val="22"/>
        </w:rPr>
        <w:t>.</w:t>
      </w:r>
      <w:r w:rsidR="0052000A">
        <w:rPr>
          <w:rFonts w:ascii="Montserrat" w:hAnsi="Montserrat"/>
          <w:b/>
          <w:sz w:val="22"/>
          <w:szCs w:val="22"/>
        </w:rPr>
        <w:t>10</w:t>
      </w:r>
      <w:r>
        <w:rPr>
          <w:rFonts w:ascii="Montserrat" w:hAnsi="Montserrat"/>
          <w:b/>
          <w:sz w:val="22"/>
          <w:szCs w:val="22"/>
        </w:rPr>
        <w:tab/>
      </w:r>
    </w:p>
    <w:p w14:paraId="6447813A" w14:textId="77777777" w:rsidR="00687764" w:rsidRPr="00AF28AB" w:rsidRDefault="00687764" w:rsidP="00045A42">
      <w:pPr>
        <w:jc w:val="both"/>
        <w:rPr>
          <w:rFonts w:ascii="Montserrat" w:hAnsi="Montserrat"/>
          <w:b/>
          <w:sz w:val="22"/>
          <w:szCs w:val="22"/>
        </w:rPr>
      </w:pPr>
    </w:p>
    <w:p w14:paraId="3FD683DF" w14:textId="379288C3" w:rsidR="00045A42" w:rsidRPr="00687764" w:rsidRDefault="00F73FCA" w:rsidP="00045A42">
      <w:pPr>
        <w:jc w:val="both"/>
        <w:rPr>
          <w:rFonts w:ascii="Montserrat" w:hAnsi="Montserrat"/>
          <w:sz w:val="22"/>
          <w:szCs w:val="22"/>
        </w:rPr>
      </w:pPr>
      <w:r w:rsidRPr="00687764">
        <w:rPr>
          <w:rFonts w:ascii="Montserrat" w:hAnsi="Montserrat"/>
          <w:sz w:val="22"/>
          <w:szCs w:val="22"/>
        </w:rPr>
        <w:t xml:space="preserve">Durante el primer semestre de 2022, la institución captó 7.3 millones de pesos por concepto de ingresos propios. Se ha trabajado en la identificación colegiada al interior del Consejo Técnico Consultivo Interno (CTCI) de acciones institucionales para mejorar y fortalecer el desempeño en este índice, así como sus mecanismos de seguimiento. En la segunda sesión ordinaria de CTCI se presentó y analizó la propuesta de creación y operación de la “Unidad de Servicios Institucionales” –UNSEI– cuyo objetivo es </w:t>
      </w:r>
      <w:r w:rsidRPr="00687764">
        <w:rPr>
          <w:rFonts w:ascii="Montserrat" w:hAnsi="Montserrat"/>
          <w:sz w:val="22"/>
          <w:szCs w:val="22"/>
        </w:rPr>
        <w:lastRenderedPageBreak/>
        <w:t xml:space="preserve">coordinar las actividades institucionales para la oferta de servicios a usuarios internos y externos a través de procesos que garanticen el cumplimiento legal, el control, la eficacia y eficiencia de la oferta de servicios especializados. </w:t>
      </w:r>
      <w:r w:rsidR="004B4CC6">
        <w:rPr>
          <w:rFonts w:ascii="Montserrat" w:hAnsi="Montserrat"/>
          <w:sz w:val="22"/>
          <w:szCs w:val="22"/>
        </w:rPr>
        <w:t>Los avances de e</w:t>
      </w:r>
      <w:r w:rsidRPr="00687764">
        <w:rPr>
          <w:rFonts w:ascii="Montserrat" w:hAnsi="Montserrat"/>
          <w:sz w:val="22"/>
          <w:szCs w:val="22"/>
        </w:rPr>
        <w:t xml:space="preserve">sta propuesta </w:t>
      </w:r>
      <w:r w:rsidR="004B4CC6">
        <w:rPr>
          <w:rFonts w:ascii="Montserrat" w:hAnsi="Montserrat"/>
          <w:sz w:val="22"/>
          <w:szCs w:val="22"/>
        </w:rPr>
        <w:t>de discutirán en el CTIC de noviembre para dar seguimiento a los avances</w:t>
      </w:r>
      <w:r w:rsidRPr="00687764">
        <w:rPr>
          <w:rFonts w:ascii="Montserrat" w:hAnsi="Montserrat"/>
          <w:sz w:val="22"/>
          <w:szCs w:val="22"/>
        </w:rPr>
        <w:t>.</w:t>
      </w:r>
    </w:p>
    <w:p w14:paraId="122163ED" w14:textId="77777777" w:rsidR="00045A42" w:rsidRDefault="00045A42" w:rsidP="00AF28AB">
      <w:pPr>
        <w:jc w:val="both"/>
        <w:rPr>
          <w:rFonts w:ascii="Montserrat" w:hAnsi="Montserrat"/>
          <w:b/>
          <w:sz w:val="22"/>
          <w:szCs w:val="22"/>
        </w:rPr>
      </w:pPr>
    </w:p>
    <w:p w14:paraId="2FD93FE9" w14:textId="77777777" w:rsidR="00687764" w:rsidRDefault="00687764" w:rsidP="00AF28AB">
      <w:pPr>
        <w:jc w:val="both"/>
        <w:rPr>
          <w:rFonts w:ascii="Montserrat" w:hAnsi="Montserrat"/>
          <w:b/>
          <w:sz w:val="22"/>
          <w:szCs w:val="22"/>
        </w:rPr>
      </w:pPr>
    </w:p>
    <w:p w14:paraId="2303F93B" w14:textId="77777777" w:rsidR="00045A42" w:rsidRPr="00AF28AB" w:rsidRDefault="00045A42" w:rsidP="00045A42">
      <w:pPr>
        <w:jc w:val="both"/>
        <w:rPr>
          <w:rFonts w:ascii="Montserrat" w:hAnsi="Montserrat"/>
          <w:b/>
          <w:bCs/>
          <w:sz w:val="22"/>
          <w:szCs w:val="22"/>
        </w:rPr>
      </w:pPr>
      <w:r w:rsidRPr="00AF28AB">
        <w:rPr>
          <w:rFonts w:ascii="Montserrat" w:hAnsi="Montserrat"/>
          <w:b/>
          <w:bCs/>
          <w:sz w:val="22"/>
          <w:szCs w:val="22"/>
        </w:rPr>
        <w:t>Indicador: Proyectos interinstitucionales</w:t>
      </w:r>
    </w:p>
    <w:p w14:paraId="6A7D03CE" w14:textId="15481E5A" w:rsidR="00045A42" w:rsidRDefault="0052000A" w:rsidP="00045A42">
      <w:pPr>
        <w:jc w:val="both"/>
        <w:rPr>
          <w:rFonts w:ascii="Montserrat" w:hAnsi="Montserrat"/>
          <w:b/>
          <w:sz w:val="22"/>
          <w:szCs w:val="22"/>
        </w:rPr>
      </w:pPr>
      <w:r>
        <w:rPr>
          <w:rFonts w:ascii="Montserrat" w:hAnsi="Montserrat"/>
          <w:b/>
          <w:sz w:val="22"/>
          <w:szCs w:val="22"/>
        </w:rPr>
        <w:t>Valor alcanzado: 0.15</w:t>
      </w:r>
    </w:p>
    <w:p w14:paraId="0CF10859" w14:textId="2D8A9B80" w:rsidR="0052000A" w:rsidRDefault="0052000A" w:rsidP="00045A42">
      <w:pPr>
        <w:jc w:val="both"/>
        <w:rPr>
          <w:rFonts w:ascii="Montserrat" w:hAnsi="Montserrat"/>
          <w:b/>
          <w:sz w:val="22"/>
          <w:szCs w:val="22"/>
        </w:rPr>
      </w:pPr>
      <w:r w:rsidRPr="00AF28AB">
        <w:rPr>
          <w:rFonts w:ascii="Montserrat" w:hAnsi="Montserrat"/>
          <w:b/>
          <w:sz w:val="22"/>
          <w:szCs w:val="22"/>
        </w:rPr>
        <w:t>Meta anual: 0.</w:t>
      </w:r>
      <w:r>
        <w:rPr>
          <w:rFonts w:ascii="Montserrat" w:hAnsi="Montserrat"/>
          <w:b/>
          <w:sz w:val="22"/>
          <w:szCs w:val="22"/>
        </w:rPr>
        <w:t>45</w:t>
      </w:r>
    </w:p>
    <w:p w14:paraId="475F58AA" w14:textId="77777777" w:rsidR="00687764" w:rsidRPr="00AF28AB" w:rsidRDefault="00687764" w:rsidP="00045A42">
      <w:pPr>
        <w:jc w:val="both"/>
        <w:rPr>
          <w:rFonts w:ascii="Montserrat" w:hAnsi="Montserrat"/>
          <w:b/>
          <w:sz w:val="22"/>
          <w:szCs w:val="22"/>
        </w:rPr>
      </w:pPr>
    </w:p>
    <w:p w14:paraId="17178DB3" w14:textId="4D55E535" w:rsidR="00045A42" w:rsidRDefault="00F73FCA" w:rsidP="00AF28AB">
      <w:pPr>
        <w:jc w:val="both"/>
        <w:rPr>
          <w:rFonts w:ascii="Montserrat" w:hAnsi="Montserrat"/>
          <w:b/>
          <w:sz w:val="22"/>
          <w:szCs w:val="22"/>
        </w:rPr>
      </w:pPr>
      <w:r w:rsidRPr="00F73FCA">
        <w:rPr>
          <w:rFonts w:ascii="Montserrat" w:hAnsi="Montserrat"/>
          <w:bCs/>
          <w:sz w:val="22"/>
          <w:szCs w:val="22"/>
        </w:rPr>
        <w:t xml:space="preserve">Durante el </w:t>
      </w:r>
      <w:r w:rsidR="00687764">
        <w:rPr>
          <w:rFonts w:ascii="Montserrat" w:hAnsi="Montserrat"/>
          <w:bCs/>
          <w:sz w:val="22"/>
          <w:szCs w:val="22"/>
        </w:rPr>
        <w:t xml:space="preserve">primer semestre </w:t>
      </w:r>
      <w:r w:rsidRPr="00F73FCA">
        <w:rPr>
          <w:rFonts w:ascii="Montserrat" w:hAnsi="Montserrat"/>
          <w:bCs/>
          <w:sz w:val="22"/>
          <w:szCs w:val="22"/>
        </w:rPr>
        <w:t xml:space="preserve">se concluyeron 8 proyectos interinstitucionales -para acumular un total de 12 en el año- y se llegó a 78 proyectos de investigación; estos valores dejan la proporción entre proyectos interinstitucionales concluidos y proyectos de investigación en 15.4% (12/78). Al cierre del periodo que se reporta, los valores esperados en el indicador son positivos en el sentido de que el número de proyectos interinstitucionales concluidos avanzó hacia la meta anual planeada (30), y el número de proyectos de investigación (66) se superó en 18% al llegar a 78. Se tiene prevista la conclusión de algunos proyectos interinstitucionales más durante </w:t>
      </w:r>
      <w:r w:rsidR="00596409">
        <w:rPr>
          <w:rFonts w:ascii="Montserrat" w:hAnsi="Montserrat"/>
          <w:bCs/>
          <w:sz w:val="22"/>
          <w:szCs w:val="22"/>
        </w:rPr>
        <w:t>el segundo semestre</w:t>
      </w:r>
      <w:r w:rsidRPr="00F73FCA">
        <w:rPr>
          <w:rFonts w:ascii="Montserrat" w:hAnsi="Montserrat"/>
          <w:bCs/>
          <w:sz w:val="22"/>
          <w:szCs w:val="22"/>
        </w:rPr>
        <w:t>, así como el inicio de más proyectos de investigación. Como parte de las acciones para lograr el mayor avance posible de los valores que componen el indicador, se mantendrá el seguimiento de los proyectos con fecha de finalización en 2022, y se fortalecerá la colaboración entre las áreas involucradas.</w:t>
      </w:r>
    </w:p>
    <w:sectPr w:rsidR="00045A42" w:rsidSect="00521431">
      <w:headerReference w:type="default" r:id="rId8"/>
      <w:footerReference w:type="default" r:id="rId9"/>
      <w:pgSz w:w="12240" w:h="15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581E" w14:textId="77777777" w:rsidR="00445B47" w:rsidRDefault="00445B47" w:rsidP="00E57969">
      <w:r>
        <w:separator/>
      </w:r>
    </w:p>
  </w:endnote>
  <w:endnote w:type="continuationSeparator" w:id="0">
    <w:p w14:paraId="38FF2199" w14:textId="77777777" w:rsidR="00445B47" w:rsidRDefault="00445B47"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A3F3" w14:textId="4058E09F" w:rsidR="00535852" w:rsidRDefault="00855FBE" w:rsidP="00535852">
    <w:pPr>
      <w:pStyle w:val="Piedepgina"/>
      <w:rPr>
        <w:rFonts w:ascii="Montserrat" w:eastAsia="Batang" w:hAnsi="Montserrat"/>
        <w:b/>
        <w:color w:val="A6A6A6" w:themeColor="background1" w:themeShade="A6"/>
        <w:sz w:val="18"/>
        <w:szCs w:val="18"/>
      </w:rPr>
    </w:pPr>
    <w:r w:rsidRPr="007D2FF8">
      <w:rPr>
        <w:noProof/>
        <w:vertAlign w:val="superscript"/>
        <w:lang w:eastAsia="es-MX"/>
      </w:rPr>
      <w:drawing>
        <wp:anchor distT="0" distB="0" distL="114300" distR="114300" simplePos="0" relativeHeight="251660288" behindDoc="1" locked="0" layoutInCell="1" allowOverlap="1" wp14:anchorId="34BFFE32" wp14:editId="18A8101F">
          <wp:simplePos x="0" y="0"/>
          <wp:positionH relativeFrom="margin">
            <wp:posOffset>-246380</wp:posOffset>
          </wp:positionH>
          <wp:positionV relativeFrom="paragraph">
            <wp:posOffset>67087</wp:posOffset>
          </wp:positionV>
          <wp:extent cx="6525895" cy="756285"/>
          <wp:effectExtent l="0" t="0" r="8255" b="5715"/>
          <wp:wrapNone/>
          <wp:docPr id="10" name="Imagen 9">
            <a:extLst xmlns:a="http://schemas.openxmlformats.org/drawingml/2006/main">
              <a:ext uri="{FF2B5EF4-FFF2-40B4-BE49-F238E27FC236}">
                <a16:creationId xmlns:a16="http://schemas.microsoft.com/office/drawing/2014/main" id="{B4939969-EBF7-41B2-9613-56B3D65B78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B4939969-EBF7-41B2-9613-56B3D65B787B}"/>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525895" cy="756285"/>
                  </a:xfrm>
                  <a:prstGeom prst="rect">
                    <a:avLst/>
                  </a:prstGeom>
                </pic:spPr>
              </pic:pic>
            </a:graphicData>
          </a:graphic>
          <wp14:sizeRelH relativeFrom="margin">
            <wp14:pctWidth>0</wp14:pctWidth>
          </wp14:sizeRelH>
        </wp:anchor>
      </w:drawing>
    </w:r>
  </w:p>
  <w:sdt>
    <w:sdtPr>
      <w:rPr>
        <w:rFonts w:ascii="Candara" w:eastAsia="Calibri" w:hAnsi="Candara" w:cs="Times New Roman"/>
        <w:color w:val="A6A6A6"/>
        <w:sz w:val="18"/>
        <w:szCs w:val="18"/>
      </w:rPr>
      <w:id w:val="1850222632"/>
      <w:docPartObj>
        <w:docPartGallery w:val="Page Numbers (Bottom of Page)"/>
        <w:docPartUnique/>
      </w:docPartObj>
    </w:sdtPr>
    <w:sdtEndPr/>
    <w:sdtContent>
      <w:p w14:paraId="2AEAE5FF" w14:textId="77777777" w:rsidR="006B3B93" w:rsidRPr="00535852" w:rsidRDefault="006B3B93" w:rsidP="006B3B93">
        <w:pPr>
          <w:tabs>
            <w:tab w:val="center" w:pos="4419"/>
            <w:tab w:val="right" w:pos="8838"/>
          </w:tabs>
          <w:jc w:val="right"/>
          <w:rPr>
            <w:rFonts w:ascii="Candara" w:eastAsia="Calibri" w:hAnsi="Candara" w:cs="Times New Roman"/>
            <w:color w:val="A6A6A6"/>
            <w:sz w:val="18"/>
            <w:szCs w:val="18"/>
          </w:rPr>
        </w:pPr>
        <w:r w:rsidRPr="00535852">
          <w:rPr>
            <w:rFonts w:ascii="Montserrat" w:eastAsia="Calibri" w:hAnsi="Montserrat" w:cs="Times New Roman"/>
            <w:color w:val="A6A6A6"/>
            <w:sz w:val="18"/>
            <w:szCs w:val="18"/>
          </w:rPr>
          <w:fldChar w:fldCharType="begin"/>
        </w:r>
        <w:r w:rsidRPr="00535852">
          <w:rPr>
            <w:rFonts w:ascii="Montserrat" w:eastAsia="Calibri" w:hAnsi="Montserrat" w:cs="Times New Roman"/>
            <w:color w:val="A6A6A6"/>
            <w:sz w:val="18"/>
            <w:szCs w:val="18"/>
          </w:rPr>
          <w:instrText>PAGE   \* MERGEFORMAT</w:instrText>
        </w:r>
        <w:r w:rsidRPr="00535852">
          <w:rPr>
            <w:rFonts w:ascii="Montserrat" w:eastAsia="Calibri" w:hAnsi="Montserrat" w:cs="Times New Roman"/>
            <w:color w:val="A6A6A6"/>
            <w:sz w:val="18"/>
            <w:szCs w:val="18"/>
          </w:rPr>
          <w:fldChar w:fldCharType="separate"/>
        </w:r>
        <w:r>
          <w:rPr>
            <w:rFonts w:ascii="Montserrat" w:eastAsia="Calibri" w:hAnsi="Montserrat" w:cs="Times New Roman"/>
            <w:color w:val="A6A6A6"/>
            <w:sz w:val="18"/>
            <w:szCs w:val="18"/>
          </w:rPr>
          <w:t>1</w:t>
        </w:r>
        <w:r w:rsidRPr="00535852">
          <w:rPr>
            <w:rFonts w:ascii="Montserrat" w:eastAsia="Calibri" w:hAnsi="Montserrat" w:cs="Times New Roman"/>
            <w:color w:val="A6A6A6"/>
            <w:sz w:val="18"/>
            <w:szCs w:val="18"/>
          </w:rPr>
          <w:fldChar w:fldCharType="end"/>
        </w:r>
      </w:p>
      <w:p w14:paraId="7D86D259" w14:textId="2217C1CA" w:rsidR="00535852" w:rsidRPr="00535852" w:rsidRDefault="00535852" w:rsidP="00535852">
        <w:pPr>
          <w:tabs>
            <w:tab w:val="center" w:pos="4419"/>
            <w:tab w:val="right" w:pos="8838"/>
          </w:tabs>
          <w:jc w:val="center"/>
          <w:rPr>
            <w:rFonts w:ascii="Montserrat" w:eastAsia="Batang" w:hAnsi="Montserrat" w:cs="Times New Roman"/>
            <w:b/>
            <w:i/>
            <w:color w:val="A6A6A6"/>
            <w:sz w:val="18"/>
            <w:szCs w:val="18"/>
          </w:rPr>
        </w:pPr>
        <w:r>
          <w:rPr>
            <w:rFonts w:ascii="Montserrat" w:eastAsia="Batang" w:hAnsi="Montserrat" w:cs="Times New Roman"/>
            <w:b/>
            <w:i/>
            <w:color w:val="A6A6A6"/>
            <w:sz w:val="18"/>
            <w:szCs w:val="18"/>
          </w:rPr>
          <w:t>Segunda</w:t>
        </w:r>
        <w:r w:rsidRPr="00535852">
          <w:rPr>
            <w:rFonts w:ascii="Montserrat" w:eastAsia="Batang" w:hAnsi="Montserrat" w:cs="Times New Roman"/>
            <w:b/>
            <w:i/>
            <w:color w:val="A6A6A6"/>
            <w:sz w:val="18"/>
            <w:szCs w:val="18"/>
          </w:rPr>
          <w:t xml:space="preserve"> Sesión Ordina</w:t>
        </w:r>
        <w:r w:rsidR="00855FBE">
          <w:rPr>
            <w:rFonts w:ascii="Montserrat" w:eastAsia="Batang" w:hAnsi="Montserrat" w:cs="Times New Roman"/>
            <w:b/>
            <w:i/>
            <w:color w:val="A6A6A6"/>
            <w:sz w:val="18"/>
            <w:szCs w:val="18"/>
          </w:rPr>
          <w:t>ria de la Junta de Gobierno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B349" w14:textId="77777777" w:rsidR="00445B47" w:rsidRDefault="00445B47" w:rsidP="00E57969">
      <w:r>
        <w:separator/>
      </w:r>
    </w:p>
  </w:footnote>
  <w:footnote w:type="continuationSeparator" w:id="0">
    <w:p w14:paraId="1A2DE9C8" w14:textId="77777777" w:rsidR="00445B47" w:rsidRDefault="00445B47"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63DB" w14:textId="302B9A1D" w:rsidR="00535852" w:rsidRDefault="004B4CC6" w:rsidP="00855FBE">
    <w:pPr>
      <w:tabs>
        <w:tab w:val="center" w:pos="4419"/>
        <w:tab w:val="right" w:pos="8838"/>
        <w:tab w:val="left" w:pos="9072"/>
      </w:tabs>
    </w:pPr>
    <w:r>
      <w:rPr>
        <w:noProof/>
      </w:rPr>
      <w:drawing>
        <wp:inline distT="0" distB="0" distL="0" distR="0" wp14:anchorId="4D6513D4" wp14:editId="39B68C00">
          <wp:extent cx="5828030" cy="104838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13C40701" w14:textId="77777777" w:rsidR="004119EA" w:rsidRDefault="004119EA" w:rsidP="00855FBE">
    <w:pPr>
      <w:tabs>
        <w:tab w:val="center" w:pos="4419"/>
        <w:tab w:val="right" w:pos="8838"/>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52DDC"/>
    <w:multiLevelType w:val="hybridMultilevel"/>
    <w:tmpl w:val="3CB691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AA11B6"/>
    <w:multiLevelType w:val="hybridMultilevel"/>
    <w:tmpl w:val="342CC4CE"/>
    <w:lvl w:ilvl="0" w:tplc="080A0009">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 w15:restartNumberingAfterBreak="0">
    <w:nsid w:val="46D170B0"/>
    <w:multiLevelType w:val="hybridMultilevel"/>
    <w:tmpl w:val="6E924486"/>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0CA2BCE"/>
    <w:multiLevelType w:val="hybridMultilevel"/>
    <w:tmpl w:val="68CA6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0B53ED"/>
    <w:multiLevelType w:val="hybridMultilevel"/>
    <w:tmpl w:val="FA86881A"/>
    <w:lvl w:ilvl="0" w:tplc="8E56DC4E">
      <w:numFmt w:val="bullet"/>
      <w:lvlText w:val="•"/>
      <w:lvlJc w:val="left"/>
      <w:pPr>
        <w:ind w:left="36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791923"/>
    <w:multiLevelType w:val="hybridMultilevel"/>
    <w:tmpl w:val="F5102CE4"/>
    <w:lvl w:ilvl="0" w:tplc="8E56DC4E">
      <w:numFmt w:val="bullet"/>
      <w:lvlText w:val="•"/>
      <w:lvlJc w:val="left"/>
      <w:pPr>
        <w:ind w:left="36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575559"/>
    <w:multiLevelType w:val="hybridMultilevel"/>
    <w:tmpl w:val="08CA813E"/>
    <w:lvl w:ilvl="0" w:tplc="8E56DC4E">
      <w:numFmt w:val="bullet"/>
      <w:lvlText w:val="•"/>
      <w:lvlJc w:val="left"/>
      <w:pPr>
        <w:ind w:left="36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7D1093"/>
    <w:multiLevelType w:val="hybridMultilevel"/>
    <w:tmpl w:val="AEEAD2E8"/>
    <w:lvl w:ilvl="0" w:tplc="8E56DC4E">
      <w:numFmt w:val="bullet"/>
      <w:lvlText w:val="•"/>
      <w:lvlJc w:val="left"/>
      <w:pPr>
        <w:ind w:left="360" w:hanging="360"/>
      </w:pPr>
      <w:rPr>
        <w:rFonts w:ascii="Montserrat" w:eastAsiaTheme="minorHAnsi"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AE80FF6"/>
    <w:multiLevelType w:val="hybridMultilevel"/>
    <w:tmpl w:val="E9F27396"/>
    <w:lvl w:ilvl="0" w:tplc="3188823E">
      <w:start w:val="3"/>
      <w:numFmt w:val="bullet"/>
      <w:lvlText w:val="-"/>
      <w:lvlJc w:val="left"/>
      <w:pPr>
        <w:ind w:left="720" w:hanging="360"/>
      </w:pPr>
      <w:rPr>
        <w:rFonts w:ascii="Candara" w:eastAsia="Candara" w:hAnsi="Candara" w:cs="Candar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6795695">
    <w:abstractNumId w:val="1"/>
  </w:num>
  <w:num w:numId="2" w16cid:durableId="479540746">
    <w:abstractNumId w:val="9"/>
  </w:num>
  <w:num w:numId="3" w16cid:durableId="834108140">
    <w:abstractNumId w:val="3"/>
  </w:num>
  <w:num w:numId="4" w16cid:durableId="1100569121">
    <w:abstractNumId w:val="8"/>
  </w:num>
  <w:num w:numId="5" w16cid:durableId="580018754">
    <w:abstractNumId w:val="4"/>
  </w:num>
  <w:num w:numId="6" w16cid:durableId="1476029353">
    <w:abstractNumId w:val="6"/>
  </w:num>
  <w:num w:numId="7" w16cid:durableId="2023362146">
    <w:abstractNumId w:val="7"/>
  </w:num>
  <w:num w:numId="8" w16cid:durableId="1349061205">
    <w:abstractNumId w:val="0"/>
  </w:num>
  <w:num w:numId="9" w16cid:durableId="539443617">
    <w:abstractNumId w:val="2"/>
  </w:num>
  <w:num w:numId="10" w16cid:durableId="212325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A6"/>
    <w:rsid w:val="00032DD5"/>
    <w:rsid w:val="00045A42"/>
    <w:rsid w:val="000542AA"/>
    <w:rsid w:val="00054469"/>
    <w:rsid w:val="00094539"/>
    <w:rsid w:val="000C58AE"/>
    <w:rsid w:val="00146DD7"/>
    <w:rsid w:val="00154FF8"/>
    <w:rsid w:val="001831BA"/>
    <w:rsid w:val="001E3DBB"/>
    <w:rsid w:val="001E7469"/>
    <w:rsid w:val="001F2D4B"/>
    <w:rsid w:val="0020676A"/>
    <w:rsid w:val="0021496C"/>
    <w:rsid w:val="00262C02"/>
    <w:rsid w:val="002824D5"/>
    <w:rsid w:val="002E3172"/>
    <w:rsid w:val="00315468"/>
    <w:rsid w:val="003306B7"/>
    <w:rsid w:val="003308E5"/>
    <w:rsid w:val="00330C53"/>
    <w:rsid w:val="00353FA8"/>
    <w:rsid w:val="00365EC3"/>
    <w:rsid w:val="003A146C"/>
    <w:rsid w:val="003A1C6A"/>
    <w:rsid w:val="003B6E1A"/>
    <w:rsid w:val="004119EA"/>
    <w:rsid w:val="00440E2C"/>
    <w:rsid w:val="00445B47"/>
    <w:rsid w:val="0045608F"/>
    <w:rsid w:val="0048194C"/>
    <w:rsid w:val="004B45CB"/>
    <w:rsid w:val="004B4CC6"/>
    <w:rsid w:val="004D1566"/>
    <w:rsid w:val="004E40B5"/>
    <w:rsid w:val="004E7EAD"/>
    <w:rsid w:val="004F0801"/>
    <w:rsid w:val="00517467"/>
    <w:rsid w:val="0052000A"/>
    <w:rsid w:val="00521431"/>
    <w:rsid w:val="00525A8E"/>
    <w:rsid w:val="00525F19"/>
    <w:rsid w:val="00535852"/>
    <w:rsid w:val="005527E5"/>
    <w:rsid w:val="00575C99"/>
    <w:rsid w:val="005832C4"/>
    <w:rsid w:val="00596409"/>
    <w:rsid w:val="005B2ABF"/>
    <w:rsid w:val="005C2D28"/>
    <w:rsid w:val="005D56A6"/>
    <w:rsid w:val="005E683C"/>
    <w:rsid w:val="005F7ACD"/>
    <w:rsid w:val="00613E73"/>
    <w:rsid w:val="00645FBE"/>
    <w:rsid w:val="00657D31"/>
    <w:rsid w:val="006740AC"/>
    <w:rsid w:val="00687764"/>
    <w:rsid w:val="006B3B93"/>
    <w:rsid w:val="006E54FA"/>
    <w:rsid w:val="007121C5"/>
    <w:rsid w:val="00790DEB"/>
    <w:rsid w:val="00795739"/>
    <w:rsid w:val="007A428E"/>
    <w:rsid w:val="007D1E80"/>
    <w:rsid w:val="007D4604"/>
    <w:rsid w:val="007F3F81"/>
    <w:rsid w:val="00810D23"/>
    <w:rsid w:val="00855FBE"/>
    <w:rsid w:val="0086050D"/>
    <w:rsid w:val="00884579"/>
    <w:rsid w:val="0089025B"/>
    <w:rsid w:val="008A722B"/>
    <w:rsid w:val="009363DC"/>
    <w:rsid w:val="00957AE1"/>
    <w:rsid w:val="0098340D"/>
    <w:rsid w:val="009A0DDD"/>
    <w:rsid w:val="009B581E"/>
    <w:rsid w:val="009E5A53"/>
    <w:rsid w:val="00A52AEA"/>
    <w:rsid w:val="00A936C0"/>
    <w:rsid w:val="00AC7A14"/>
    <w:rsid w:val="00AF28AB"/>
    <w:rsid w:val="00B2781D"/>
    <w:rsid w:val="00B46DF3"/>
    <w:rsid w:val="00BC1469"/>
    <w:rsid w:val="00BD111D"/>
    <w:rsid w:val="00BF3C06"/>
    <w:rsid w:val="00C0044C"/>
    <w:rsid w:val="00C00C40"/>
    <w:rsid w:val="00C523C0"/>
    <w:rsid w:val="00C701ED"/>
    <w:rsid w:val="00CA039F"/>
    <w:rsid w:val="00CA33C9"/>
    <w:rsid w:val="00CC5A4D"/>
    <w:rsid w:val="00CF7D33"/>
    <w:rsid w:val="00D24F05"/>
    <w:rsid w:val="00D3227F"/>
    <w:rsid w:val="00D3488F"/>
    <w:rsid w:val="00D423DA"/>
    <w:rsid w:val="00DB7382"/>
    <w:rsid w:val="00DD73FC"/>
    <w:rsid w:val="00DF6569"/>
    <w:rsid w:val="00E24D51"/>
    <w:rsid w:val="00E364CC"/>
    <w:rsid w:val="00E57969"/>
    <w:rsid w:val="00E665F5"/>
    <w:rsid w:val="00E91CD2"/>
    <w:rsid w:val="00E951C3"/>
    <w:rsid w:val="00EB2F65"/>
    <w:rsid w:val="00ED114B"/>
    <w:rsid w:val="00ED17A4"/>
    <w:rsid w:val="00ED5573"/>
    <w:rsid w:val="00EE1715"/>
    <w:rsid w:val="00F332A6"/>
    <w:rsid w:val="00F73FCA"/>
    <w:rsid w:val="00F816E8"/>
    <w:rsid w:val="00F92B04"/>
    <w:rsid w:val="00FA7510"/>
    <w:rsid w:val="00FE5A23"/>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styleId="Prrafodelista">
    <w:name w:val="List Paragraph"/>
    <w:basedOn w:val="Normal"/>
    <w:uiPriority w:val="34"/>
    <w:qFormat/>
    <w:rsid w:val="00E665F5"/>
    <w:pPr>
      <w:spacing w:after="160" w:line="259" w:lineRule="auto"/>
      <w:ind w:left="720"/>
      <w:contextualSpacing/>
    </w:pPr>
    <w:rPr>
      <w:sz w:val="22"/>
      <w:szCs w:val="22"/>
    </w:rPr>
  </w:style>
  <w:style w:type="table" w:styleId="Tablaconcuadrcula">
    <w:name w:val="Table Grid"/>
    <w:basedOn w:val="Tablanormal"/>
    <w:uiPriority w:val="59"/>
    <w:rsid w:val="00E665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Torres Suarez</cp:lastModifiedBy>
  <cp:revision>17</cp:revision>
  <cp:lastPrinted>2022-09-26T22:02:00Z</cp:lastPrinted>
  <dcterms:created xsi:type="dcterms:W3CDTF">2021-09-08T16:34:00Z</dcterms:created>
  <dcterms:modified xsi:type="dcterms:W3CDTF">2022-09-26T22:02:00Z</dcterms:modified>
</cp:coreProperties>
</file>