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9CB4C" w14:textId="77777777" w:rsidR="009B69B7" w:rsidRPr="00B62FD1" w:rsidRDefault="009B69B7" w:rsidP="00753F64">
      <w:pPr>
        <w:widowControl w:val="0"/>
        <w:tabs>
          <w:tab w:val="num" w:pos="0"/>
          <w:tab w:val="right" w:leader="dot" w:pos="7200"/>
        </w:tabs>
        <w:jc w:val="center"/>
        <w:outlineLvl w:val="0"/>
        <w:rPr>
          <w:rFonts w:ascii="Montserrat" w:hAnsi="Montserrat" w:cs="Arial"/>
          <w:b/>
          <w:iCs/>
          <w:sz w:val="24"/>
          <w:szCs w:val="24"/>
          <w:lang w:val="es-MX"/>
        </w:rPr>
      </w:pPr>
    </w:p>
    <w:p w14:paraId="51F49E42" w14:textId="77777777" w:rsidR="00EF3F60" w:rsidRPr="009B69B7" w:rsidRDefault="00EF3F60" w:rsidP="00EF3F60">
      <w:pPr>
        <w:rPr>
          <w:rFonts w:ascii="Montserrata" w:hAnsi="Montserrata"/>
          <w:sz w:val="22"/>
          <w:szCs w:val="22"/>
          <w:lang w:val="es-MX"/>
        </w:rPr>
      </w:pPr>
    </w:p>
    <w:p w14:paraId="6EA6EF5E" w14:textId="77777777" w:rsidR="00477920" w:rsidRPr="00B62FD1" w:rsidRDefault="00477920" w:rsidP="00477920">
      <w:pPr>
        <w:jc w:val="center"/>
        <w:rPr>
          <w:rFonts w:ascii="Monserrat" w:hAnsi="Monserrat" w:cs="Arial"/>
          <w:b/>
          <w:color w:val="000000"/>
          <w:sz w:val="22"/>
          <w:szCs w:val="22"/>
          <w:lang w:val="es-MX" w:eastAsia="en-US"/>
        </w:rPr>
      </w:pPr>
      <w:r w:rsidRPr="00B62FD1">
        <w:rPr>
          <w:rFonts w:ascii="Monserrat" w:hAnsi="Monserrat" w:cs="Arial"/>
          <w:b/>
          <w:color w:val="000000"/>
          <w:sz w:val="22"/>
          <w:szCs w:val="22"/>
          <w:lang w:val="es-MX" w:eastAsia="en-US"/>
        </w:rPr>
        <w:t xml:space="preserve">Anexo </w:t>
      </w:r>
      <w:proofErr w:type="spellStart"/>
      <w:r w:rsidRPr="00B62FD1">
        <w:rPr>
          <w:rFonts w:ascii="Monserrat" w:hAnsi="Monserrat" w:cs="Arial"/>
          <w:b/>
          <w:color w:val="000000"/>
          <w:sz w:val="22"/>
          <w:szCs w:val="22"/>
          <w:lang w:val="es-MX" w:eastAsia="en-US"/>
        </w:rPr>
        <w:t>5.23.a</w:t>
      </w:r>
      <w:proofErr w:type="spellEnd"/>
      <w:r w:rsidRPr="00B62FD1">
        <w:rPr>
          <w:rFonts w:ascii="Monserrat" w:hAnsi="Monserrat" w:cs="Arial"/>
          <w:b/>
          <w:color w:val="000000"/>
          <w:sz w:val="22"/>
          <w:szCs w:val="22"/>
          <w:lang w:val="es-MX" w:eastAsia="en-US"/>
        </w:rPr>
        <w:t xml:space="preserve"> Recursos de Fuentes Externas</w:t>
      </w:r>
    </w:p>
    <w:p w14:paraId="1539E276" w14:textId="77777777" w:rsidR="00477920" w:rsidRPr="00B62FD1" w:rsidRDefault="00477920" w:rsidP="00477920">
      <w:pPr>
        <w:jc w:val="both"/>
        <w:rPr>
          <w:rFonts w:ascii="Monserrat" w:hAnsi="Monserrat" w:cs="Arial"/>
          <w:color w:val="000000"/>
          <w:sz w:val="22"/>
          <w:szCs w:val="22"/>
          <w:lang w:val="es-MX" w:eastAsia="en-US"/>
        </w:rPr>
      </w:pPr>
    </w:p>
    <w:p w14:paraId="68B17F57" w14:textId="01F49166" w:rsidR="00477920" w:rsidRPr="00B62FD1" w:rsidRDefault="00477920" w:rsidP="00477920">
      <w:pPr>
        <w:jc w:val="both"/>
        <w:rPr>
          <w:rFonts w:ascii="Monserrat" w:hAnsi="Monserrat" w:cs="Arial"/>
          <w:color w:val="000000"/>
          <w:sz w:val="22"/>
          <w:szCs w:val="22"/>
          <w:lang w:val="es-MX" w:eastAsia="en-US"/>
        </w:rPr>
      </w:pPr>
      <w:r w:rsidRPr="00B62FD1">
        <w:rPr>
          <w:rFonts w:ascii="Monserrat" w:hAnsi="Monserrat" w:cs="Arial"/>
          <w:color w:val="000000"/>
          <w:sz w:val="22"/>
          <w:szCs w:val="22"/>
          <w:lang w:val="es-MX" w:eastAsia="en-US"/>
        </w:rPr>
        <w:t xml:space="preserve">Información financiera de Fondos institucionales, mixtos, sectoriales y transferencias del </w:t>
      </w:r>
      <w:proofErr w:type="spellStart"/>
      <w:r w:rsidRPr="00B62FD1">
        <w:rPr>
          <w:rFonts w:ascii="Monserrat" w:hAnsi="Monserrat" w:cs="Arial"/>
          <w:color w:val="000000"/>
          <w:sz w:val="22"/>
          <w:szCs w:val="22"/>
          <w:lang w:val="es-MX" w:eastAsia="en-US"/>
        </w:rPr>
        <w:t>CONACyT</w:t>
      </w:r>
      <w:proofErr w:type="spellEnd"/>
      <w:r w:rsidRPr="00B62FD1">
        <w:rPr>
          <w:rFonts w:ascii="Monserrat" w:hAnsi="Monserrat" w:cs="Arial"/>
          <w:color w:val="000000"/>
          <w:sz w:val="22"/>
          <w:szCs w:val="22"/>
          <w:lang w:val="es-MX" w:eastAsia="en-US"/>
        </w:rPr>
        <w:t xml:space="preserve"> para convenios y proyectos específicos, recibido durante el primer semestre 202</w:t>
      </w:r>
      <w:r w:rsidR="00B62FD1">
        <w:rPr>
          <w:rFonts w:ascii="Monserrat" w:hAnsi="Monserrat" w:cs="Arial"/>
          <w:color w:val="000000"/>
          <w:sz w:val="22"/>
          <w:szCs w:val="22"/>
          <w:lang w:val="es-MX" w:eastAsia="en-US"/>
        </w:rPr>
        <w:t>2</w:t>
      </w:r>
      <w:r w:rsidRPr="00B62FD1">
        <w:rPr>
          <w:rFonts w:ascii="Monserrat" w:hAnsi="Monserrat" w:cs="Arial"/>
          <w:color w:val="000000"/>
          <w:sz w:val="22"/>
          <w:szCs w:val="22"/>
          <w:lang w:val="es-MX" w:eastAsia="en-US"/>
        </w:rPr>
        <w:t>, comparado con el primer semestre 202</w:t>
      </w:r>
      <w:r w:rsidR="00B62FD1">
        <w:rPr>
          <w:rFonts w:ascii="Monserrat" w:hAnsi="Monserrat" w:cs="Arial"/>
          <w:color w:val="000000"/>
          <w:sz w:val="22"/>
          <w:szCs w:val="22"/>
          <w:lang w:val="es-MX" w:eastAsia="en-US"/>
        </w:rPr>
        <w:t>1</w:t>
      </w:r>
      <w:r w:rsidRPr="00B62FD1">
        <w:rPr>
          <w:rFonts w:ascii="Monserrat" w:hAnsi="Monserrat" w:cs="Arial"/>
          <w:color w:val="000000"/>
          <w:sz w:val="22"/>
          <w:szCs w:val="22"/>
          <w:lang w:val="es-MX" w:eastAsia="en-US"/>
        </w:rPr>
        <w:t>.</w:t>
      </w:r>
    </w:p>
    <w:p w14:paraId="7C6F0877" w14:textId="77777777" w:rsidR="00477920" w:rsidRPr="00B62FD1" w:rsidRDefault="00477920" w:rsidP="00477920">
      <w:pPr>
        <w:jc w:val="both"/>
        <w:rPr>
          <w:rFonts w:ascii="Monserrat" w:hAnsi="Monserrat" w:cs="Arial"/>
          <w:color w:val="000000"/>
          <w:sz w:val="22"/>
          <w:szCs w:val="22"/>
          <w:lang w:val="es-MX" w:eastAsia="en-US"/>
        </w:rPr>
      </w:pPr>
    </w:p>
    <w:p w14:paraId="4AA4B198" w14:textId="77777777" w:rsidR="00477920" w:rsidRPr="00477920" w:rsidRDefault="00477920" w:rsidP="00477920">
      <w:pPr>
        <w:jc w:val="both"/>
        <w:rPr>
          <w:rFonts w:asciiTheme="minorHAnsi" w:hAnsiTheme="minorHAnsi" w:cs="Tahoma"/>
          <w:b/>
          <w:bCs/>
          <w:lang w:val="es-MX"/>
        </w:rPr>
      </w:pPr>
    </w:p>
    <w:p w14:paraId="2B3DF182" w14:textId="77777777" w:rsidR="00477920" w:rsidRPr="00477920" w:rsidRDefault="00477920" w:rsidP="00477920">
      <w:pPr>
        <w:jc w:val="both"/>
        <w:rPr>
          <w:rFonts w:ascii="Century Gothic" w:hAnsi="Century Gothic" w:cs="Tahoma"/>
          <w:b/>
          <w:bCs/>
          <w:lang w:val="es-MX"/>
        </w:rPr>
      </w:pPr>
    </w:p>
    <w:tbl>
      <w:tblPr>
        <w:tblStyle w:val="Tablaconcuadrcul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2978"/>
        <w:gridCol w:w="2126"/>
        <w:gridCol w:w="2126"/>
        <w:gridCol w:w="2126"/>
      </w:tblGrid>
      <w:tr w:rsidR="00477920" w:rsidRPr="00B62FD1" w14:paraId="0388DAE3" w14:textId="77777777" w:rsidTr="00477920">
        <w:trPr>
          <w:jc w:val="center"/>
        </w:trPr>
        <w:tc>
          <w:tcPr>
            <w:tcW w:w="2978" w:type="dxa"/>
            <w:vMerge w:val="restart"/>
            <w:vAlign w:val="center"/>
          </w:tcPr>
          <w:p w14:paraId="0266C12D" w14:textId="77777777" w:rsidR="00477920" w:rsidRPr="00B62FD1" w:rsidRDefault="00477920" w:rsidP="00477920">
            <w:pPr>
              <w:jc w:val="center"/>
              <w:rPr>
                <w:rFonts w:ascii="Monserrat" w:eastAsia="Arial Unicode MS" w:hAnsi="Monserrat" w:cs="Arial" w:hint="eastAsia"/>
                <w:b/>
                <w:sz w:val="21"/>
                <w:szCs w:val="21"/>
              </w:rPr>
            </w:pPr>
            <w:r w:rsidRPr="00B62FD1">
              <w:rPr>
                <w:rFonts w:ascii="Monserrat" w:hAnsi="Monserrat" w:cs="Arial"/>
                <w:b/>
                <w:sz w:val="21"/>
                <w:szCs w:val="21"/>
              </w:rPr>
              <w:t xml:space="preserve">FUENTE DE </w:t>
            </w:r>
            <w:proofErr w:type="spellStart"/>
            <w:r w:rsidRPr="00B62FD1">
              <w:rPr>
                <w:rFonts w:ascii="Monserrat" w:hAnsi="Monserrat" w:cs="Arial"/>
                <w:b/>
                <w:sz w:val="21"/>
                <w:szCs w:val="21"/>
              </w:rPr>
              <w:t>FINANCIAMIENTO</w:t>
            </w:r>
            <w:proofErr w:type="spellEnd"/>
          </w:p>
        </w:tc>
        <w:tc>
          <w:tcPr>
            <w:tcW w:w="2126" w:type="dxa"/>
            <w:vAlign w:val="center"/>
          </w:tcPr>
          <w:p w14:paraId="3B0D909F" w14:textId="66BB6862" w:rsidR="00477920" w:rsidRPr="00B62FD1" w:rsidRDefault="00477920" w:rsidP="00477920">
            <w:pPr>
              <w:jc w:val="center"/>
              <w:rPr>
                <w:rFonts w:ascii="Monserrat" w:hAnsi="Monserrat" w:cs="Arial"/>
                <w:b/>
                <w:sz w:val="21"/>
                <w:szCs w:val="21"/>
              </w:rPr>
            </w:pPr>
            <w:proofErr w:type="spellStart"/>
            <w:r w:rsidRPr="00B62FD1">
              <w:rPr>
                <w:rFonts w:ascii="Monserrat" w:hAnsi="Monserrat" w:cs="Arial"/>
                <w:b/>
                <w:sz w:val="21"/>
                <w:szCs w:val="21"/>
              </w:rPr>
              <w:t>RECIBIDO</w:t>
            </w:r>
            <w:proofErr w:type="spellEnd"/>
            <w:r w:rsidRPr="00B62FD1">
              <w:rPr>
                <w:rFonts w:ascii="Monserrat" w:hAnsi="Monserrat" w:cs="Arial"/>
                <w:b/>
                <w:sz w:val="21"/>
                <w:szCs w:val="21"/>
              </w:rPr>
              <w:t xml:space="preserve"> </w:t>
            </w:r>
            <w:proofErr w:type="spellStart"/>
            <w:r w:rsidRPr="00B62FD1">
              <w:rPr>
                <w:rFonts w:ascii="Monserrat" w:hAnsi="Monserrat" w:cs="Arial"/>
                <w:b/>
                <w:sz w:val="21"/>
                <w:szCs w:val="21"/>
              </w:rPr>
              <w:t>ENERO</w:t>
            </w:r>
            <w:proofErr w:type="spellEnd"/>
            <w:r w:rsidRPr="00B62FD1">
              <w:rPr>
                <w:rFonts w:ascii="Monserrat" w:hAnsi="Monserrat" w:cs="Arial"/>
                <w:b/>
                <w:sz w:val="21"/>
                <w:szCs w:val="21"/>
              </w:rPr>
              <w:t>- JUNIO 202</w:t>
            </w:r>
            <w:r w:rsidR="00B62FD1">
              <w:rPr>
                <w:rFonts w:ascii="Monserrat" w:hAnsi="Monserrat" w:cs="Arial"/>
                <w:b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14:paraId="1272033A" w14:textId="5AC988F6" w:rsidR="00477920" w:rsidRPr="00B62FD1" w:rsidRDefault="00477920" w:rsidP="00477920">
            <w:pPr>
              <w:jc w:val="center"/>
              <w:rPr>
                <w:rFonts w:ascii="Monserrat" w:hAnsi="Monserrat" w:cs="Arial"/>
                <w:b/>
                <w:sz w:val="21"/>
                <w:szCs w:val="21"/>
              </w:rPr>
            </w:pPr>
            <w:proofErr w:type="spellStart"/>
            <w:r w:rsidRPr="00B62FD1">
              <w:rPr>
                <w:rFonts w:ascii="Monserrat" w:hAnsi="Monserrat" w:cs="Arial"/>
                <w:b/>
                <w:sz w:val="21"/>
                <w:szCs w:val="21"/>
              </w:rPr>
              <w:t>RECIBIDO</w:t>
            </w:r>
            <w:proofErr w:type="spellEnd"/>
            <w:r w:rsidRPr="00B62FD1">
              <w:rPr>
                <w:rFonts w:ascii="Monserrat" w:hAnsi="Monserrat" w:cs="Arial"/>
                <w:b/>
                <w:sz w:val="21"/>
                <w:szCs w:val="21"/>
              </w:rPr>
              <w:t xml:space="preserve"> </w:t>
            </w:r>
            <w:proofErr w:type="spellStart"/>
            <w:r w:rsidRPr="00B62FD1">
              <w:rPr>
                <w:rFonts w:ascii="Monserrat" w:hAnsi="Monserrat" w:cs="Arial"/>
                <w:b/>
                <w:sz w:val="21"/>
                <w:szCs w:val="21"/>
              </w:rPr>
              <w:t>ENERO</w:t>
            </w:r>
            <w:proofErr w:type="spellEnd"/>
            <w:r w:rsidRPr="00B62FD1">
              <w:rPr>
                <w:rFonts w:ascii="Monserrat" w:hAnsi="Monserrat" w:cs="Arial"/>
                <w:b/>
                <w:sz w:val="21"/>
                <w:szCs w:val="21"/>
              </w:rPr>
              <w:t>-JUNIO 202</w:t>
            </w:r>
            <w:r w:rsidR="00B62FD1">
              <w:rPr>
                <w:rFonts w:ascii="Monserrat" w:hAnsi="Monserrat" w:cs="Arial"/>
                <w:b/>
                <w:sz w:val="21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14:paraId="3AF27BEC" w14:textId="77777777" w:rsidR="00477920" w:rsidRPr="00B62FD1" w:rsidRDefault="00477920" w:rsidP="00477920">
            <w:pPr>
              <w:jc w:val="center"/>
              <w:rPr>
                <w:rFonts w:ascii="Monserrat" w:hAnsi="Monserrat" w:cs="Arial"/>
                <w:b/>
                <w:sz w:val="21"/>
                <w:szCs w:val="21"/>
              </w:rPr>
            </w:pPr>
            <w:proofErr w:type="spellStart"/>
            <w:r w:rsidRPr="00B62FD1">
              <w:rPr>
                <w:rFonts w:ascii="Monserrat" w:hAnsi="Monserrat" w:cs="Arial"/>
                <w:b/>
                <w:sz w:val="21"/>
                <w:szCs w:val="21"/>
              </w:rPr>
              <w:t>DIFERENCIA</w:t>
            </w:r>
            <w:proofErr w:type="spellEnd"/>
          </w:p>
        </w:tc>
      </w:tr>
      <w:tr w:rsidR="00477920" w:rsidRPr="00B62FD1" w14:paraId="48A4B4D7" w14:textId="77777777" w:rsidTr="00477920">
        <w:trPr>
          <w:jc w:val="center"/>
        </w:trPr>
        <w:tc>
          <w:tcPr>
            <w:tcW w:w="2978" w:type="dxa"/>
            <w:vMerge/>
            <w:vAlign w:val="center"/>
          </w:tcPr>
          <w:p w14:paraId="3441FB40" w14:textId="77777777" w:rsidR="00477920" w:rsidRPr="00B62FD1" w:rsidRDefault="00477920" w:rsidP="00477920">
            <w:pPr>
              <w:rPr>
                <w:rFonts w:ascii="Monserrat" w:eastAsia="Arial Unicode MS" w:hAnsi="Monserrat" w:cs="Arial" w:hint="eastAsia"/>
                <w:sz w:val="21"/>
                <w:szCs w:val="21"/>
              </w:rPr>
            </w:pPr>
          </w:p>
        </w:tc>
        <w:tc>
          <w:tcPr>
            <w:tcW w:w="6378" w:type="dxa"/>
            <w:gridSpan w:val="3"/>
            <w:vAlign w:val="center"/>
          </w:tcPr>
          <w:p w14:paraId="62509659" w14:textId="77777777" w:rsidR="00477920" w:rsidRPr="00B62FD1" w:rsidRDefault="00477920" w:rsidP="00477920">
            <w:pPr>
              <w:jc w:val="center"/>
              <w:rPr>
                <w:rFonts w:ascii="Monserrat" w:eastAsia="Arial Unicode MS" w:hAnsi="Monserrat" w:cs="Arial" w:hint="eastAsia"/>
                <w:sz w:val="21"/>
                <w:szCs w:val="21"/>
              </w:rPr>
            </w:pPr>
            <w:r w:rsidRPr="00B62FD1">
              <w:rPr>
                <w:rFonts w:ascii="Monserrat" w:eastAsia="Arial Unicode MS" w:hAnsi="Monserrat" w:cs="Arial"/>
                <w:sz w:val="21"/>
                <w:szCs w:val="21"/>
              </w:rPr>
              <w:t>(MILES DE PESOS)</w:t>
            </w:r>
          </w:p>
        </w:tc>
      </w:tr>
      <w:tr w:rsidR="00477920" w:rsidRPr="00B62FD1" w14:paraId="472EC66A" w14:textId="77777777" w:rsidTr="00477920">
        <w:trPr>
          <w:jc w:val="center"/>
        </w:trPr>
        <w:tc>
          <w:tcPr>
            <w:tcW w:w="2978" w:type="dxa"/>
            <w:vAlign w:val="center"/>
          </w:tcPr>
          <w:p w14:paraId="71BA7425" w14:textId="77777777" w:rsidR="00477920" w:rsidRPr="00B62FD1" w:rsidRDefault="00477920" w:rsidP="00477920">
            <w:pPr>
              <w:rPr>
                <w:rFonts w:ascii="Monserrat" w:eastAsia="Arial Unicode MS" w:hAnsi="Monserrat" w:cs="Arial" w:hint="eastAsia"/>
                <w:sz w:val="21"/>
                <w:szCs w:val="21"/>
              </w:rPr>
            </w:pPr>
            <w:proofErr w:type="spellStart"/>
            <w:r w:rsidRPr="00B62FD1">
              <w:rPr>
                <w:rFonts w:ascii="Monserrat" w:eastAsia="Arial Unicode MS" w:hAnsi="Monserrat" w:cs="Arial"/>
                <w:sz w:val="21"/>
                <w:szCs w:val="21"/>
              </w:rPr>
              <w:t>Fondos</w:t>
            </w:r>
            <w:proofErr w:type="spellEnd"/>
            <w:r w:rsidRPr="00B62FD1">
              <w:rPr>
                <w:rFonts w:ascii="Monserrat" w:eastAsia="Arial Unicode MS" w:hAnsi="Monserrat" w:cs="Arial"/>
                <w:sz w:val="21"/>
                <w:szCs w:val="21"/>
              </w:rPr>
              <w:t xml:space="preserve"> </w:t>
            </w:r>
            <w:proofErr w:type="spellStart"/>
            <w:r w:rsidRPr="00B62FD1">
              <w:rPr>
                <w:rFonts w:ascii="Monserrat" w:eastAsia="Arial Unicode MS" w:hAnsi="Monserrat" w:cs="Arial"/>
                <w:sz w:val="21"/>
                <w:szCs w:val="21"/>
              </w:rPr>
              <w:t>Sectoriales</w:t>
            </w:r>
            <w:proofErr w:type="spellEnd"/>
          </w:p>
        </w:tc>
        <w:tc>
          <w:tcPr>
            <w:tcW w:w="2126" w:type="dxa"/>
            <w:vAlign w:val="center"/>
          </w:tcPr>
          <w:p w14:paraId="190699B1" w14:textId="1CA3D083" w:rsidR="00477920" w:rsidRPr="00B62FD1" w:rsidRDefault="00B62FD1" w:rsidP="00477920">
            <w:pPr>
              <w:jc w:val="right"/>
              <w:rPr>
                <w:rFonts w:ascii="Monserrat" w:eastAsia="Arial Unicode MS" w:hAnsi="Monserrat" w:cs="Arial" w:hint="eastAsia"/>
                <w:sz w:val="21"/>
                <w:szCs w:val="21"/>
              </w:rPr>
            </w:pPr>
            <w:r>
              <w:rPr>
                <w:rFonts w:ascii="Monserrat" w:eastAsia="Arial Unicode MS" w:hAnsi="Monserrat" w:cs="Arial"/>
                <w:sz w:val="21"/>
                <w:szCs w:val="21"/>
              </w:rPr>
              <w:t>0.0</w:t>
            </w:r>
          </w:p>
        </w:tc>
        <w:tc>
          <w:tcPr>
            <w:tcW w:w="2126" w:type="dxa"/>
            <w:vAlign w:val="center"/>
          </w:tcPr>
          <w:p w14:paraId="2D42E482" w14:textId="208B6DEA" w:rsidR="00477920" w:rsidRPr="00B62FD1" w:rsidRDefault="00B62FD1" w:rsidP="00477920">
            <w:pPr>
              <w:jc w:val="right"/>
              <w:rPr>
                <w:rFonts w:ascii="Monserrat" w:eastAsia="Arial Unicode MS" w:hAnsi="Monserrat" w:cs="Arial" w:hint="eastAsia"/>
                <w:sz w:val="21"/>
                <w:szCs w:val="21"/>
              </w:rPr>
            </w:pPr>
            <w:r w:rsidRPr="00B62FD1">
              <w:rPr>
                <w:rFonts w:ascii="Monserrat" w:eastAsia="Arial Unicode MS" w:hAnsi="Monserrat" w:cs="Arial"/>
                <w:sz w:val="21"/>
                <w:szCs w:val="21"/>
              </w:rPr>
              <w:t>2,984.8</w:t>
            </w:r>
          </w:p>
        </w:tc>
        <w:tc>
          <w:tcPr>
            <w:tcW w:w="2126" w:type="dxa"/>
            <w:vAlign w:val="center"/>
          </w:tcPr>
          <w:p w14:paraId="7A451475" w14:textId="1C912188" w:rsidR="00477920" w:rsidRPr="00B62FD1" w:rsidRDefault="00477920" w:rsidP="00477920">
            <w:pPr>
              <w:jc w:val="right"/>
              <w:rPr>
                <w:rFonts w:ascii="Monserrat" w:eastAsia="Arial Unicode MS" w:hAnsi="Monserrat" w:cs="Arial" w:hint="eastAsia"/>
                <w:sz w:val="21"/>
                <w:szCs w:val="21"/>
              </w:rPr>
            </w:pPr>
            <w:r w:rsidRPr="00B62FD1">
              <w:rPr>
                <w:rFonts w:ascii="Monserrat" w:eastAsia="Arial Unicode MS" w:hAnsi="Monserrat" w:cs="Arial"/>
                <w:sz w:val="21"/>
                <w:szCs w:val="21"/>
              </w:rPr>
              <w:t>-</w:t>
            </w:r>
            <w:proofErr w:type="gramStart"/>
            <w:r w:rsidRPr="00B62FD1">
              <w:rPr>
                <w:rFonts w:ascii="Monserrat" w:eastAsia="Arial Unicode MS" w:hAnsi="Monserrat" w:cs="Arial"/>
                <w:sz w:val="21"/>
                <w:szCs w:val="21"/>
              </w:rPr>
              <w:t>2,</w:t>
            </w:r>
            <w:r w:rsidR="00B62FD1">
              <w:rPr>
                <w:rFonts w:ascii="Monserrat" w:eastAsia="Arial Unicode MS" w:hAnsi="Monserrat" w:cs="Arial"/>
                <w:sz w:val="21"/>
                <w:szCs w:val="21"/>
              </w:rPr>
              <w:t>984..</w:t>
            </w:r>
            <w:proofErr w:type="gramEnd"/>
            <w:r w:rsidR="00B62FD1">
              <w:rPr>
                <w:rFonts w:ascii="Monserrat" w:eastAsia="Arial Unicode MS" w:hAnsi="Monserrat" w:cs="Arial"/>
                <w:sz w:val="21"/>
                <w:szCs w:val="21"/>
              </w:rPr>
              <w:t>8</w:t>
            </w:r>
          </w:p>
        </w:tc>
      </w:tr>
      <w:tr w:rsidR="00477920" w:rsidRPr="00B62FD1" w14:paraId="7F1D47CC" w14:textId="77777777" w:rsidTr="00477920">
        <w:trPr>
          <w:jc w:val="center"/>
        </w:trPr>
        <w:tc>
          <w:tcPr>
            <w:tcW w:w="2978" w:type="dxa"/>
            <w:vAlign w:val="center"/>
          </w:tcPr>
          <w:p w14:paraId="687E985D" w14:textId="77777777" w:rsidR="00477920" w:rsidRPr="00B62FD1" w:rsidRDefault="00477920" w:rsidP="00477920">
            <w:pPr>
              <w:rPr>
                <w:rFonts w:ascii="Monserrat" w:eastAsia="Arial Unicode MS" w:hAnsi="Monserrat" w:cs="Arial" w:hint="eastAsia"/>
                <w:sz w:val="21"/>
                <w:szCs w:val="21"/>
              </w:rPr>
            </w:pPr>
            <w:proofErr w:type="spellStart"/>
            <w:r w:rsidRPr="00B62FD1">
              <w:rPr>
                <w:rFonts w:ascii="Monserrat" w:eastAsia="Arial Unicode MS" w:hAnsi="Monserrat" w:cs="Arial"/>
                <w:sz w:val="21"/>
                <w:szCs w:val="21"/>
              </w:rPr>
              <w:t>Fondos</w:t>
            </w:r>
            <w:proofErr w:type="spellEnd"/>
            <w:r w:rsidRPr="00B62FD1">
              <w:rPr>
                <w:rFonts w:ascii="Monserrat" w:eastAsia="Arial Unicode MS" w:hAnsi="Monserrat" w:cs="Arial"/>
                <w:sz w:val="21"/>
                <w:szCs w:val="21"/>
              </w:rPr>
              <w:t xml:space="preserve"> </w:t>
            </w:r>
            <w:proofErr w:type="spellStart"/>
            <w:r w:rsidRPr="00B62FD1">
              <w:rPr>
                <w:rFonts w:ascii="Monserrat" w:eastAsia="Arial Unicode MS" w:hAnsi="Monserrat" w:cs="Arial"/>
                <w:sz w:val="21"/>
                <w:szCs w:val="21"/>
              </w:rPr>
              <w:t>Mixtos</w:t>
            </w:r>
            <w:proofErr w:type="spellEnd"/>
          </w:p>
        </w:tc>
        <w:tc>
          <w:tcPr>
            <w:tcW w:w="2126" w:type="dxa"/>
            <w:vAlign w:val="center"/>
          </w:tcPr>
          <w:p w14:paraId="5BA8090A" w14:textId="77777777" w:rsidR="00477920" w:rsidRPr="00B62FD1" w:rsidRDefault="00477920" w:rsidP="00477920">
            <w:pPr>
              <w:jc w:val="right"/>
              <w:rPr>
                <w:rFonts w:ascii="Monserrat" w:eastAsia="Arial Unicode MS" w:hAnsi="Monserrat" w:cs="Arial" w:hint="eastAsia"/>
                <w:sz w:val="21"/>
                <w:szCs w:val="21"/>
              </w:rPr>
            </w:pPr>
            <w:r w:rsidRPr="00B62FD1">
              <w:rPr>
                <w:rFonts w:ascii="Monserrat" w:eastAsia="Arial Unicode MS" w:hAnsi="Monserrat" w:cs="Arial"/>
                <w:sz w:val="21"/>
                <w:szCs w:val="21"/>
              </w:rPr>
              <w:t>0.0</w:t>
            </w:r>
          </w:p>
        </w:tc>
        <w:tc>
          <w:tcPr>
            <w:tcW w:w="2126" w:type="dxa"/>
            <w:vAlign w:val="center"/>
          </w:tcPr>
          <w:p w14:paraId="586FBBFE" w14:textId="77777777" w:rsidR="00477920" w:rsidRPr="00B62FD1" w:rsidRDefault="00477920" w:rsidP="00477920">
            <w:pPr>
              <w:jc w:val="right"/>
              <w:rPr>
                <w:rFonts w:ascii="Monserrat" w:eastAsia="Arial Unicode MS" w:hAnsi="Monserrat" w:cs="Arial" w:hint="eastAsia"/>
                <w:sz w:val="21"/>
                <w:szCs w:val="21"/>
              </w:rPr>
            </w:pPr>
            <w:r w:rsidRPr="00B62FD1">
              <w:rPr>
                <w:rFonts w:ascii="Monserrat" w:eastAsia="Arial Unicode MS" w:hAnsi="Monserrat" w:cs="Arial"/>
                <w:sz w:val="21"/>
                <w:szCs w:val="21"/>
              </w:rPr>
              <w:t>0.0</w:t>
            </w:r>
          </w:p>
        </w:tc>
        <w:tc>
          <w:tcPr>
            <w:tcW w:w="2126" w:type="dxa"/>
            <w:vAlign w:val="center"/>
          </w:tcPr>
          <w:p w14:paraId="518BE6AC" w14:textId="77777777" w:rsidR="00477920" w:rsidRPr="00B62FD1" w:rsidRDefault="00477920" w:rsidP="00477920">
            <w:pPr>
              <w:jc w:val="right"/>
              <w:rPr>
                <w:rFonts w:ascii="Monserrat" w:eastAsia="Arial Unicode MS" w:hAnsi="Monserrat" w:cs="Arial" w:hint="eastAsia"/>
                <w:sz w:val="21"/>
                <w:szCs w:val="21"/>
              </w:rPr>
            </w:pPr>
            <w:r w:rsidRPr="00B62FD1">
              <w:rPr>
                <w:rFonts w:ascii="Monserrat" w:eastAsia="Arial Unicode MS" w:hAnsi="Monserrat" w:cs="Arial"/>
                <w:sz w:val="21"/>
                <w:szCs w:val="21"/>
              </w:rPr>
              <w:t>0.0</w:t>
            </w:r>
          </w:p>
        </w:tc>
      </w:tr>
      <w:tr w:rsidR="00477920" w:rsidRPr="00B62FD1" w14:paraId="309FA809" w14:textId="77777777" w:rsidTr="00477920">
        <w:trPr>
          <w:jc w:val="center"/>
        </w:trPr>
        <w:tc>
          <w:tcPr>
            <w:tcW w:w="2978" w:type="dxa"/>
            <w:vAlign w:val="center"/>
          </w:tcPr>
          <w:p w14:paraId="21584BDB" w14:textId="77777777" w:rsidR="00477920" w:rsidRPr="00B62FD1" w:rsidRDefault="00477920" w:rsidP="00477920">
            <w:pPr>
              <w:rPr>
                <w:rFonts w:ascii="Monserrat" w:eastAsia="Arial Unicode MS" w:hAnsi="Monserrat" w:cs="Arial" w:hint="eastAsia"/>
                <w:sz w:val="21"/>
                <w:szCs w:val="21"/>
              </w:rPr>
            </w:pPr>
            <w:proofErr w:type="spellStart"/>
            <w:r w:rsidRPr="00B62FD1">
              <w:rPr>
                <w:rFonts w:ascii="Monserrat" w:eastAsia="Arial Unicode MS" w:hAnsi="Monserrat" w:cs="Arial"/>
                <w:sz w:val="21"/>
                <w:szCs w:val="21"/>
              </w:rPr>
              <w:t>Transferencias</w:t>
            </w:r>
            <w:proofErr w:type="spellEnd"/>
            <w:r w:rsidRPr="00B62FD1">
              <w:rPr>
                <w:rFonts w:ascii="Monserrat" w:eastAsia="Arial Unicode MS" w:hAnsi="Monserrat" w:cs="Arial"/>
                <w:sz w:val="21"/>
                <w:szCs w:val="21"/>
              </w:rPr>
              <w:t xml:space="preserve"> </w:t>
            </w:r>
            <w:proofErr w:type="spellStart"/>
            <w:r w:rsidRPr="00B62FD1">
              <w:rPr>
                <w:rFonts w:ascii="Monserrat" w:eastAsia="Arial Unicode MS" w:hAnsi="Monserrat" w:cs="Arial"/>
                <w:sz w:val="21"/>
                <w:szCs w:val="21"/>
              </w:rPr>
              <w:t>CONACyT</w:t>
            </w:r>
            <w:proofErr w:type="spellEnd"/>
          </w:p>
        </w:tc>
        <w:tc>
          <w:tcPr>
            <w:tcW w:w="2126" w:type="dxa"/>
            <w:vAlign w:val="center"/>
          </w:tcPr>
          <w:p w14:paraId="5362D5DE" w14:textId="77777777" w:rsidR="00477920" w:rsidRPr="00B62FD1" w:rsidRDefault="00477920" w:rsidP="00477920">
            <w:pPr>
              <w:jc w:val="right"/>
              <w:rPr>
                <w:rFonts w:ascii="Monserrat" w:eastAsia="Arial Unicode MS" w:hAnsi="Monserrat" w:cs="Arial" w:hint="eastAsia"/>
                <w:sz w:val="21"/>
                <w:szCs w:val="21"/>
              </w:rPr>
            </w:pPr>
            <w:r w:rsidRPr="00B62FD1">
              <w:rPr>
                <w:rFonts w:ascii="Monserrat" w:eastAsia="Arial Unicode MS" w:hAnsi="Monserrat" w:cs="Arial"/>
                <w:sz w:val="21"/>
                <w:szCs w:val="21"/>
              </w:rPr>
              <w:t>0.0</w:t>
            </w:r>
          </w:p>
        </w:tc>
        <w:tc>
          <w:tcPr>
            <w:tcW w:w="2126" w:type="dxa"/>
            <w:vAlign w:val="center"/>
          </w:tcPr>
          <w:p w14:paraId="11B3802A" w14:textId="77777777" w:rsidR="00477920" w:rsidRPr="00B62FD1" w:rsidRDefault="00477920" w:rsidP="00477920">
            <w:pPr>
              <w:jc w:val="right"/>
              <w:rPr>
                <w:rFonts w:ascii="Monserrat" w:eastAsia="Arial Unicode MS" w:hAnsi="Monserrat" w:cs="Arial" w:hint="eastAsia"/>
                <w:sz w:val="21"/>
                <w:szCs w:val="21"/>
              </w:rPr>
            </w:pPr>
            <w:r w:rsidRPr="00B62FD1">
              <w:rPr>
                <w:rFonts w:ascii="Monserrat" w:eastAsia="Arial Unicode MS" w:hAnsi="Monserrat" w:cs="Arial"/>
                <w:sz w:val="21"/>
                <w:szCs w:val="21"/>
              </w:rPr>
              <w:t>0.0</w:t>
            </w:r>
          </w:p>
        </w:tc>
        <w:tc>
          <w:tcPr>
            <w:tcW w:w="2126" w:type="dxa"/>
            <w:vAlign w:val="center"/>
          </w:tcPr>
          <w:p w14:paraId="2E488EEB" w14:textId="77777777" w:rsidR="00477920" w:rsidRPr="00B62FD1" w:rsidRDefault="00477920" w:rsidP="00477920">
            <w:pPr>
              <w:jc w:val="right"/>
              <w:rPr>
                <w:rFonts w:ascii="Monserrat" w:eastAsia="Arial Unicode MS" w:hAnsi="Monserrat" w:cs="Arial" w:hint="eastAsia"/>
                <w:sz w:val="21"/>
                <w:szCs w:val="21"/>
              </w:rPr>
            </w:pPr>
            <w:r w:rsidRPr="00B62FD1">
              <w:rPr>
                <w:rFonts w:ascii="Monserrat" w:eastAsia="Arial Unicode MS" w:hAnsi="Monserrat" w:cs="Arial"/>
                <w:sz w:val="21"/>
                <w:szCs w:val="21"/>
              </w:rPr>
              <w:t>0.0</w:t>
            </w:r>
          </w:p>
        </w:tc>
      </w:tr>
      <w:tr w:rsidR="00B62FD1" w:rsidRPr="00B62FD1" w14:paraId="191129D8" w14:textId="77777777" w:rsidTr="00477920">
        <w:trPr>
          <w:jc w:val="center"/>
        </w:trPr>
        <w:tc>
          <w:tcPr>
            <w:tcW w:w="2978" w:type="dxa"/>
            <w:vAlign w:val="center"/>
          </w:tcPr>
          <w:p w14:paraId="77FE32DD" w14:textId="77777777" w:rsidR="00B62FD1" w:rsidRPr="00B62FD1" w:rsidRDefault="00B62FD1" w:rsidP="00B62FD1">
            <w:pPr>
              <w:rPr>
                <w:rFonts w:ascii="Monserrat" w:eastAsia="Arial Unicode MS" w:hAnsi="Monserrat" w:cs="Arial" w:hint="eastAsia"/>
                <w:sz w:val="21"/>
                <w:szCs w:val="21"/>
              </w:rPr>
            </w:pPr>
            <w:proofErr w:type="spellStart"/>
            <w:r w:rsidRPr="00B62FD1">
              <w:rPr>
                <w:rFonts w:ascii="Monserrat" w:eastAsia="Arial Unicode MS" w:hAnsi="Monserrat" w:cs="Arial"/>
                <w:sz w:val="21"/>
                <w:szCs w:val="21"/>
              </w:rPr>
              <w:t>Fondos</w:t>
            </w:r>
            <w:proofErr w:type="spellEnd"/>
            <w:r w:rsidRPr="00B62FD1">
              <w:rPr>
                <w:rFonts w:ascii="Monserrat" w:eastAsia="Arial Unicode MS" w:hAnsi="Monserrat" w:cs="Arial"/>
                <w:sz w:val="21"/>
                <w:szCs w:val="21"/>
              </w:rPr>
              <w:t xml:space="preserve"> </w:t>
            </w:r>
            <w:proofErr w:type="spellStart"/>
            <w:r w:rsidRPr="00B62FD1">
              <w:rPr>
                <w:rFonts w:ascii="Monserrat" w:eastAsia="Arial Unicode MS" w:hAnsi="Monserrat" w:cs="Arial"/>
                <w:sz w:val="21"/>
                <w:szCs w:val="21"/>
              </w:rPr>
              <w:t>Institucionales</w:t>
            </w:r>
            <w:proofErr w:type="spellEnd"/>
          </w:p>
        </w:tc>
        <w:tc>
          <w:tcPr>
            <w:tcW w:w="2126" w:type="dxa"/>
            <w:vAlign w:val="center"/>
          </w:tcPr>
          <w:p w14:paraId="6DF24111" w14:textId="2F684CE3" w:rsidR="00B62FD1" w:rsidRPr="00B62FD1" w:rsidRDefault="00B62FD1" w:rsidP="00B62FD1">
            <w:pPr>
              <w:jc w:val="right"/>
              <w:rPr>
                <w:rFonts w:ascii="Monserrat" w:eastAsia="Arial Unicode MS" w:hAnsi="Monserrat" w:cs="Arial" w:hint="eastAsia"/>
                <w:sz w:val="21"/>
                <w:szCs w:val="21"/>
              </w:rPr>
            </w:pPr>
            <w:r>
              <w:rPr>
                <w:rFonts w:ascii="Monserrat" w:eastAsia="Arial Unicode MS" w:hAnsi="Monserrat" w:cs="Arial"/>
                <w:sz w:val="21"/>
                <w:szCs w:val="21"/>
              </w:rPr>
              <w:t>15,096.4</w:t>
            </w:r>
          </w:p>
        </w:tc>
        <w:tc>
          <w:tcPr>
            <w:tcW w:w="2126" w:type="dxa"/>
            <w:vAlign w:val="center"/>
          </w:tcPr>
          <w:p w14:paraId="01B721E4" w14:textId="290AE78B" w:rsidR="00B62FD1" w:rsidRPr="00B62FD1" w:rsidRDefault="00B62FD1" w:rsidP="00B62FD1">
            <w:pPr>
              <w:jc w:val="right"/>
              <w:rPr>
                <w:rFonts w:ascii="Monserrat" w:eastAsia="Arial Unicode MS" w:hAnsi="Monserrat" w:cs="Arial" w:hint="eastAsia"/>
                <w:sz w:val="21"/>
                <w:szCs w:val="21"/>
              </w:rPr>
            </w:pPr>
            <w:r w:rsidRPr="00B62FD1">
              <w:rPr>
                <w:rFonts w:ascii="Monserrat" w:eastAsia="Arial Unicode MS" w:hAnsi="Monserrat" w:cs="Arial"/>
                <w:sz w:val="21"/>
                <w:szCs w:val="21"/>
              </w:rPr>
              <w:t>5,838.7</w:t>
            </w:r>
          </w:p>
        </w:tc>
        <w:tc>
          <w:tcPr>
            <w:tcW w:w="2126" w:type="dxa"/>
            <w:vAlign w:val="center"/>
          </w:tcPr>
          <w:p w14:paraId="699BCCEA" w14:textId="5D78FEC1" w:rsidR="00B62FD1" w:rsidRPr="00B62FD1" w:rsidRDefault="00B62FD1" w:rsidP="00B62FD1">
            <w:pPr>
              <w:jc w:val="right"/>
              <w:rPr>
                <w:rFonts w:ascii="Monserrat" w:eastAsia="Arial Unicode MS" w:hAnsi="Monserrat" w:cs="Arial" w:hint="eastAsia"/>
                <w:sz w:val="21"/>
                <w:szCs w:val="21"/>
              </w:rPr>
            </w:pPr>
            <w:r>
              <w:rPr>
                <w:rFonts w:ascii="Monserrat" w:eastAsia="Arial Unicode MS" w:hAnsi="Monserrat" w:cs="Arial"/>
                <w:sz w:val="21"/>
                <w:szCs w:val="21"/>
              </w:rPr>
              <w:t>9,257.7</w:t>
            </w:r>
          </w:p>
        </w:tc>
      </w:tr>
      <w:tr w:rsidR="00B62FD1" w:rsidRPr="00B62FD1" w14:paraId="5912FB7D" w14:textId="77777777" w:rsidTr="00477920">
        <w:trPr>
          <w:jc w:val="center"/>
        </w:trPr>
        <w:tc>
          <w:tcPr>
            <w:tcW w:w="2978" w:type="dxa"/>
            <w:vAlign w:val="center"/>
          </w:tcPr>
          <w:p w14:paraId="427EFF1D" w14:textId="77777777" w:rsidR="00B62FD1" w:rsidRPr="00B62FD1" w:rsidRDefault="00B62FD1" w:rsidP="00B62FD1">
            <w:pPr>
              <w:rPr>
                <w:rFonts w:ascii="Monserrat" w:eastAsia="Arial Unicode MS" w:hAnsi="Monserrat" w:cs="Arial" w:hint="eastAsia"/>
                <w:sz w:val="21"/>
                <w:szCs w:val="21"/>
              </w:rPr>
            </w:pPr>
            <w:proofErr w:type="spellStart"/>
            <w:r w:rsidRPr="00B62FD1">
              <w:rPr>
                <w:rFonts w:ascii="Monserrat" w:eastAsia="Arial Unicode MS" w:hAnsi="Monserrat" w:cs="Arial"/>
                <w:sz w:val="21"/>
                <w:szCs w:val="21"/>
              </w:rPr>
              <w:t>Apoyos</w:t>
            </w:r>
            <w:proofErr w:type="spellEnd"/>
            <w:r w:rsidRPr="00B62FD1">
              <w:rPr>
                <w:rFonts w:ascii="Monserrat" w:eastAsia="Arial Unicode MS" w:hAnsi="Monserrat" w:cs="Arial"/>
                <w:sz w:val="21"/>
                <w:szCs w:val="21"/>
              </w:rPr>
              <w:t xml:space="preserve"> </w:t>
            </w:r>
            <w:proofErr w:type="spellStart"/>
            <w:r w:rsidRPr="00B62FD1">
              <w:rPr>
                <w:rFonts w:ascii="Monserrat" w:eastAsia="Arial Unicode MS" w:hAnsi="Monserrat" w:cs="Arial"/>
                <w:sz w:val="21"/>
                <w:szCs w:val="21"/>
              </w:rPr>
              <w:t>Institucionales</w:t>
            </w:r>
            <w:proofErr w:type="spellEnd"/>
          </w:p>
        </w:tc>
        <w:tc>
          <w:tcPr>
            <w:tcW w:w="2126" w:type="dxa"/>
            <w:vAlign w:val="center"/>
          </w:tcPr>
          <w:p w14:paraId="1D0DC57E" w14:textId="77777777" w:rsidR="00B62FD1" w:rsidRPr="00B62FD1" w:rsidRDefault="00B62FD1" w:rsidP="00B62FD1">
            <w:pPr>
              <w:jc w:val="right"/>
              <w:rPr>
                <w:rFonts w:ascii="Monserrat" w:eastAsia="Arial Unicode MS" w:hAnsi="Monserrat" w:cs="Arial" w:hint="eastAsia"/>
                <w:sz w:val="21"/>
                <w:szCs w:val="21"/>
              </w:rPr>
            </w:pPr>
            <w:r w:rsidRPr="00B62FD1">
              <w:rPr>
                <w:rFonts w:ascii="Monserrat" w:eastAsia="Arial Unicode MS" w:hAnsi="Monserrat" w:cs="Arial"/>
                <w:sz w:val="21"/>
                <w:szCs w:val="21"/>
              </w:rPr>
              <w:t>0.0</w:t>
            </w:r>
          </w:p>
        </w:tc>
        <w:tc>
          <w:tcPr>
            <w:tcW w:w="2126" w:type="dxa"/>
            <w:vAlign w:val="center"/>
          </w:tcPr>
          <w:p w14:paraId="345E30F7" w14:textId="14FC6D26" w:rsidR="00B62FD1" w:rsidRPr="00B62FD1" w:rsidRDefault="00B62FD1" w:rsidP="00B62FD1">
            <w:pPr>
              <w:jc w:val="right"/>
              <w:rPr>
                <w:rFonts w:ascii="Monserrat" w:eastAsia="Arial Unicode MS" w:hAnsi="Monserrat" w:cs="Arial" w:hint="eastAsia"/>
                <w:sz w:val="21"/>
                <w:szCs w:val="21"/>
              </w:rPr>
            </w:pPr>
            <w:r w:rsidRPr="00B62FD1">
              <w:rPr>
                <w:rFonts w:ascii="Monserrat" w:eastAsia="Arial Unicode MS" w:hAnsi="Monserrat" w:cs="Arial"/>
                <w:sz w:val="21"/>
                <w:szCs w:val="21"/>
              </w:rPr>
              <w:t>0.0</w:t>
            </w:r>
          </w:p>
        </w:tc>
        <w:tc>
          <w:tcPr>
            <w:tcW w:w="2126" w:type="dxa"/>
            <w:vAlign w:val="center"/>
          </w:tcPr>
          <w:p w14:paraId="1C89446E" w14:textId="52FCA377" w:rsidR="00B62FD1" w:rsidRPr="00B62FD1" w:rsidRDefault="00B62FD1" w:rsidP="00B62FD1">
            <w:pPr>
              <w:jc w:val="right"/>
              <w:rPr>
                <w:rFonts w:ascii="Monserrat" w:eastAsia="Arial Unicode MS" w:hAnsi="Monserrat" w:cs="Arial" w:hint="eastAsia"/>
                <w:sz w:val="21"/>
                <w:szCs w:val="21"/>
              </w:rPr>
            </w:pPr>
            <w:r>
              <w:rPr>
                <w:rFonts w:ascii="Monserrat" w:eastAsia="Arial Unicode MS" w:hAnsi="Monserrat" w:cs="Arial"/>
                <w:sz w:val="21"/>
                <w:szCs w:val="21"/>
              </w:rPr>
              <w:t>0.0</w:t>
            </w:r>
          </w:p>
        </w:tc>
      </w:tr>
      <w:tr w:rsidR="00B62FD1" w:rsidRPr="00B62FD1" w14:paraId="0138A8AA" w14:textId="77777777" w:rsidTr="00477920">
        <w:trPr>
          <w:trHeight w:val="104"/>
          <w:jc w:val="center"/>
        </w:trPr>
        <w:tc>
          <w:tcPr>
            <w:tcW w:w="2978" w:type="dxa"/>
            <w:vAlign w:val="center"/>
          </w:tcPr>
          <w:p w14:paraId="4846C7D8" w14:textId="77777777" w:rsidR="00B62FD1" w:rsidRPr="00B62FD1" w:rsidRDefault="00B62FD1" w:rsidP="00B62FD1">
            <w:pPr>
              <w:jc w:val="right"/>
              <w:rPr>
                <w:rFonts w:ascii="Monserrat" w:eastAsia="Arial Unicode MS" w:hAnsi="Monserrat" w:cs="Arial" w:hint="eastAsia"/>
                <w:b/>
                <w:sz w:val="21"/>
                <w:szCs w:val="21"/>
              </w:rPr>
            </w:pPr>
            <w:r w:rsidRPr="00B62FD1">
              <w:rPr>
                <w:rFonts w:ascii="Monserrat" w:hAnsi="Monserrat" w:cs="Arial"/>
                <w:b/>
                <w:sz w:val="21"/>
                <w:szCs w:val="21"/>
              </w:rPr>
              <w:t xml:space="preserve">GRAN TOTAL: </w:t>
            </w:r>
          </w:p>
        </w:tc>
        <w:tc>
          <w:tcPr>
            <w:tcW w:w="2126" w:type="dxa"/>
            <w:vAlign w:val="center"/>
          </w:tcPr>
          <w:p w14:paraId="5E6D96B6" w14:textId="2DDB5AB4" w:rsidR="00B62FD1" w:rsidRPr="00B62FD1" w:rsidRDefault="00B62FD1" w:rsidP="00B62FD1">
            <w:pPr>
              <w:jc w:val="right"/>
              <w:rPr>
                <w:rFonts w:ascii="Monserrat" w:eastAsia="Arial Unicode MS" w:hAnsi="Monserrat" w:cs="Arial" w:hint="eastAsia"/>
                <w:b/>
                <w:sz w:val="21"/>
                <w:szCs w:val="21"/>
              </w:rPr>
            </w:pPr>
            <w:r>
              <w:rPr>
                <w:rFonts w:ascii="Monserrat" w:eastAsia="Arial Unicode MS" w:hAnsi="Monserrat" w:cs="Arial"/>
                <w:b/>
                <w:sz w:val="21"/>
                <w:szCs w:val="21"/>
              </w:rPr>
              <w:t>15,096.4</w:t>
            </w:r>
          </w:p>
        </w:tc>
        <w:tc>
          <w:tcPr>
            <w:tcW w:w="2126" w:type="dxa"/>
            <w:vAlign w:val="center"/>
          </w:tcPr>
          <w:p w14:paraId="2D3BBDE1" w14:textId="594E9536" w:rsidR="00B62FD1" w:rsidRPr="00B62FD1" w:rsidRDefault="00B62FD1" w:rsidP="00B62FD1">
            <w:pPr>
              <w:jc w:val="right"/>
              <w:rPr>
                <w:rFonts w:ascii="Monserrat" w:eastAsia="Arial Unicode MS" w:hAnsi="Monserrat" w:cs="Arial" w:hint="eastAsia"/>
                <w:b/>
                <w:sz w:val="21"/>
                <w:szCs w:val="21"/>
              </w:rPr>
            </w:pPr>
            <w:r w:rsidRPr="00B62FD1">
              <w:rPr>
                <w:rFonts w:ascii="Monserrat" w:eastAsia="Arial Unicode MS" w:hAnsi="Monserrat" w:cs="Arial"/>
                <w:b/>
                <w:sz w:val="21"/>
                <w:szCs w:val="21"/>
              </w:rPr>
              <w:t>8,823.5</w:t>
            </w:r>
          </w:p>
        </w:tc>
        <w:tc>
          <w:tcPr>
            <w:tcW w:w="2126" w:type="dxa"/>
            <w:vAlign w:val="center"/>
          </w:tcPr>
          <w:p w14:paraId="67F01A95" w14:textId="143992DE" w:rsidR="00B62FD1" w:rsidRPr="00B62FD1" w:rsidRDefault="00B62FD1" w:rsidP="00B62FD1">
            <w:pPr>
              <w:jc w:val="right"/>
              <w:rPr>
                <w:rFonts w:ascii="Monserrat" w:eastAsia="Arial Unicode MS" w:hAnsi="Monserrat" w:cs="Arial" w:hint="eastAsia"/>
                <w:b/>
                <w:sz w:val="21"/>
                <w:szCs w:val="21"/>
              </w:rPr>
            </w:pPr>
            <w:r>
              <w:rPr>
                <w:rFonts w:ascii="Monserrat" w:eastAsia="Arial Unicode MS" w:hAnsi="Monserrat" w:cs="Arial"/>
                <w:b/>
                <w:sz w:val="21"/>
                <w:szCs w:val="21"/>
              </w:rPr>
              <w:t>6,272.9</w:t>
            </w:r>
          </w:p>
        </w:tc>
      </w:tr>
    </w:tbl>
    <w:p w14:paraId="306824B7" w14:textId="77777777" w:rsidR="00CB3976" w:rsidRDefault="00CB3976" w:rsidP="00EF3F60">
      <w:pPr>
        <w:tabs>
          <w:tab w:val="left" w:pos="4155"/>
        </w:tabs>
        <w:rPr>
          <w:rFonts w:ascii="Montserrata" w:hAnsi="Montserrata"/>
          <w:sz w:val="22"/>
          <w:szCs w:val="22"/>
          <w:lang w:val="es-MX"/>
        </w:rPr>
      </w:pPr>
    </w:p>
    <w:p w14:paraId="4BA3C97C" w14:textId="77777777" w:rsidR="00477920" w:rsidRDefault="00477920" w:rsidP="00EF3F60">
      <w:pPr>
        <w:tabs>
          <w:tab w:val="left" w:pos="4155"/>
        </w:tabs>
        <w:rPr>
          <w:rFonts w:ascii="Montserrata" w:hAnsi="Montserrata"/>
          <w:sz w:val="22"/>
          <w:szCs w:val="22"/>
          <w:lang w:val="es-MX"/>
        </w:rPr>
      </w:pPr>
    </w:p>
    <w:p w14:paraId="657589FD" w14:textId="77777777" w:rsidR="00477920" w:rsidRDefault="00477920" w:rsidP="00EF3F60">
      <w:pPr>
        <w:tabs>
          <w:tab w:val="left" w:pos="4155"/>
        </w:tabs>
        <w:rPr>
          <w:rFonts w:ascii="Montserrata" w:hAnsi="Montserrata"/>
          <w:sz w:val="22"/>
          <w:szCs w:val="22"/>
          <w:lang w:val="es-MX"/>
        </w:rPr>
      </w:pPr>
    </w:p>
    <w:p w14:paraId="693B96FC" w14:textId="77777777" w:rsidR="00477920" w:rsidRDefault="00477920" w:rsidP="00EF3F60">
      <w:pPr>
        <w:tabs>
          <w:tab w:val="left" w:pos="4155"/>
        </w:tabs>
        <w:rPr>
          <w:rFonts w:ascii="Montserrata" w:hAnsi="Montserrata"/>
          <w:sz w:val="22"/>
          <w:szCs w:val="22"/>
          <w:lang w:val="es-MX"/>
        </w:rPr>
      </w:pPr>
    </w:p>
    <w:p w14:paraId="2E1C26DA" w14:textId="77777777" w:rsidR="00477920" w:rsidRDefault="00477920" w:rsidP="00EF3F60">
      <w:pPr>
        <w:tabs>
          <w:tab w:val="left" w:pos="4155"/>
        </w:tabs>
        <w:rPr>
          <w:rFonts w:ascii="Montserrata" w:hAnsi="Montserrata"/>
          <w:sz w:val="22"/>
          <w:szCs w:val="22"/>
          <w:lang w:val="es-MX"/>
        </w:rPr>
      </w:pPr>
    </w:p>
    <w:p w14:paraId="090B42DA" w14:textId="77777777" w:rsidR="00477920" w:rsidRDefault="00477920" w:rsidP="00EF3F60">
      <w:pPr>
        <w:tabs>
          <w:tab w:val="left" w:pos="4155"/>
        </w:tabs>
        <w:rPr>
          <w:rFonts w:ascii="Montserrata" w:hAnsi="Montserrata"/>
          <w:sz w:val="22"/>
          <w:szCs w:val="22"/>
          <w:lang w:val="es-MX"/>
        </w:rPr>
      </w:pPr>
    </w:p>
    <w:p w14:paraId="10106DE1" w14:textId="77777777" w:rsidR="00477920" w:rsidRDefault="00477920" w:rsidP="00EF3F60">
      <w:pPr>
        <w:tabs>
          <w:tab w:val="left" w:pos="4155"/>
        </w:tabs>
        <w:rPr>
          <w:rFonts w:ascii="Montserrata" w:hAnsi="Montserrata"/>
          <w:sz w:val="22"/>
          <w:szCs w:val="22"/>
          <w:lang w:val="es-MX"/>
        </w:rPr>
      </w:pPr>
    </w:p>
    <w:p w14:paraId="61540B8E" w14:textId="77777777" w:rsidR="00477920" w:rsidRDefault="00477920" w:rsidP="00EF3F60">
      <w:pPr>
        <w:tabs>
          <w:tab w:val="left" w:pos="4155"/>
        </w:tabs>
        <w:rPr>
          <w:rFonts w:ascii="Montserrata" w:hAnsi="Montserrata"/>
          <w:sz w:val="22"/>
          <w:szCs w:val="22"/>
          <w:lang w:val="es-MX"/>
        </w:rPr>
      </w:pPr>
    </w:p>
    <w:p w14:paraId="704C36FA" w14:textId="77777777" w:rsidR="00477920" w:rsidRDefault="00477920" w:rsidP="00EF3F60">
      <w:pPr>
        <w:tabs>
          <w:tab w:val="left" w:pos="4155"/>
        </w:tabs>
        <w:rPr>
          <w:rFonts w:ascii="Montserrata" w:hAnsi="Montserrata"/>
          <w:sz w:val="22"/>
          <w:szCs w:val="22"/>
          <w:lang w:val="es-MX"/>
        </w:rPr>
      </w:pPr>
    </w:p>
    <w:p w14:paraId="36E60058" w14:textId="77777777" w:rsidR="00477920" w:rsidRDefault="00477920" w:rsidP="00EF3F60">
      <w:pPr>
        <w:tabs>
          <w:tab w:val="left" w:pos="4155"/>
        </w:tabs>
        <w:rPr>
          <w:rFonts w:ascii="Montserrata" w:hAnsi="Montserrata"/>
          <w:sz w:val="22"/>
          <w:szCs w:val="22"/>
          <w:lang w:val="es-MX"/>
        </w:rPr>
      </w:pPr>
    </w:p>
    <w:p w14:paraId="30A7FC9F" w14:textId="77777777" w:rsidR="00477920" w:rsidRDefault="00477920" w:rsidP="00EF3F60">
      <w:pPr>
        <w:tabs>
          <w:tab w:val="left" w:pos="4155"/>
        </w:tabs>
        <w:rPr>
          <w:rFonts w:ascii="Montserrata" w:hAnsi="Montserrata"/>
          <w:sz w:val="22"/>
          <w:szCs w:val="22"/>
          <w:lang w:val="es-MX"/>
        </w:rPr>
      </w:pPr>
    </w:p>
    <w:p w14:paraId="379332A2" w14:textId="77777777" w:rsidR="00477920" w:rsidRDefault="00477920" w:rsidP="00EF3F60">
      <w:pPr>
        <w:tabs>
          <w:tab w:val="left" w:pos="4155"/>
        </w:tabs>
        <w:rPr>
          <w:rFonts w:ascii="Montserrata" w:hAnsi="Montserrata"/>
          <w:sz w:val="22"/>
          <w:szCs w:val="22"/>
          <w:lang w:val="es-MX"/>
        </w:rPr>
      </w:pPr>
    </w:p>
    <w:p w14:paraId="250A46A5" w14:textId="77777777" w:rsidR="00477920" w:rsidRDefault="00477920" w:rsidP="00EF3F60">
      <w:pPr>
        <w:tabs>
          <w:tab w:val="left" w:pos="4155"/>
        </w:tabs>
        <w:rPr>
          <w:rFonts w:ascii="Montserrata" w:hAnsi="Montserrata"/>
          <w:sz w:val="22"/>
          <w:szCs w:val="22"/>
          <w:lang w:val="es-MX"/>
        </w:rPr>
      </w:pPr>
    </w:p>
    <w:p w14:paraId="72783C93" w14:textId="14B40E27" w:rsidR="00477920" w:rsidRDefault="00477920" w:rsidP="00477920">
      <w:pPr>
        <w:pStyle w:val="Prrafodelista"/>
        <w:numPr>
          <w:ilvl w:val="0"/>
          <w:numId w:val="5"/>
        </w:numPr>
        <w:rPr>
          <w:rFonts w:asciiTheme="minorHAnsi" w:hAnsiTheme="minorHAnsi"/>
          <w:b/>
        </w:rPr>
      </w:pPr>
      <w:r w:rsidRPr="00356B48">
        <w:rPr>
          <w:rFonts w:asciiTheme="minorHAnsi" w:hAnsiTheme="minorHAnsi"/>
          <w:b/>
        </w:rPr>
        <w:lastRenderedPageBreak/>
        <w:t>Relación de proyectos apoyados.</w:t>
      </w:r>
    </w:p>
    <w:p w14:paraId="5A8FB6D9" w14:textId="35700E21" w:rsidR="00B62FD1" w:rsidRDefault="00B62FD1" w:rsidP="00B62FD1">
      <w:pPr>
        <w:rPr>
          <w:rFonts w:asciiTheme="minorHAnsi" w:hAnsiTheme="minorHAnsi"/>
          <w:b/>
        </w:rPr>
      </w:pPr>
    </w:p>
    <w:p w14:paraId="0A719372" w14:textId="62DDBC11" w:rsidR="00F449D7" w:rsidRDefault="00F449D7" w:rsidP="00B62FD1">
      <w:pP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fldChar w:fldCharType="begin"/>
      </w:r>
      <w:r>
        <w:instrText xml:space="preserve"> LINK </w:instrText>
      </w:r>
      <w:r w:rsidR="006E73F3">
        <w:instrText xml:space="preserve">Excel.Sheet.12 "F:\\Junta de organo de Gobierno\\Informe Junta de Gobierno ENE-JUN 2022\\hoja de trabajo\\Proyectos 2020a2021 ene-jun 2022.xlsx" "proy 2021-2022!F3C2:F16C7" </w:instrText>
      </w:r>
      <w:r>
        <w:instrText xml:space="preserve">\a \f 4 \h </w:instrText>
      </w:r>
      <w:r w:rsidR="005C2FFC">
        <w:instrText xml:space="preserve"> \* MERGEFORMAT </w:instrText>
      </w:r>
      <w:r>
        <w:fldChar w:fldCharType="separate"/>
      </w:r>
    </w:p>
    <w:tbl>
      <w:tblPr>
        <w:tblW w:w="133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2800"/>
        <w:gridCol w:w="1440"/>
        <w:gridCol w:w="1340"/>
        <w:gridCol w:w="1340"/>
        <w:gridCol w:w="2180"/>
      </w:tblGrid>
      <w:tr w:rsidR="00F449D7" w:rsidRPr="00F449D7" w14:paraId="78DD29D8" w14:textId="77777777" w:rsidTr="00F449D7">
        <w:trPr>
          <w:trHeight w:val="12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58B8E230" w14:textId="28E8EA4F" w:rsidR="00F449D7" w:rsidRPr="00F449D7" w:rsidRDefault="00F449D7" w:rsidP="00F449D7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  <w:t>NOMBRE DEL PROYECTO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47CA2F2B" w14:textId="77777777" w:rsidR="00F449D7" w:rsidRPr="00F449D7" w:rsidRDefault="00F449D7" w:rsidP="00F449D7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  <w:t xml:space="preserve">FUENTE DE FINANCIAMIENTO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32805565" w14:textId="77777777" w:rsidR="00F449D7" w:rsidRPr="00F449D7" w:rsidRDefault="00F449D7" w:rsidP="00F449D7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  <w:t>INGRESOS RECIBIDOS DEL AÑO 2022 (PESOS)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0058D631" w14:textId="77777777" w:rsidR="00F449D7" w:rsidRPr="00F449D7" w:rsidRDefault="00F449D7" w:rsidP="00F449D7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proofErr w:type="gramStart"/>
            <w:r w:rsidRPr="00F449D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  <w:t>STATUS</w:t>
            </w:r>
            <w:proofErr w:type="gram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6B1DC8C0" w14:textId="77777777" w:rsidR="00F449D7" w:rsidRPr="00F449D7" w:rsidRDefault="00F449D7" w:rsidP="00F449D7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  <w:t>% DE AVANCE FINANCIERO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70AB5B5E" w14:textId="77777777" w:rsidR="00F449D7" w:rsidRPr="00F449D7" w:rsidRDefault="00F449D7" w:rsidP="00F449D7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  <w:t>RESPONSABLE</w:t>
            </w:r>
          </w:p>
        </w:tc>
      </w:tr>
      <w:tr w:rsidR="00F449D7" w:rsidRPr="00F449D7" w14:paraId="7B5B2EA3" w14:textId="77777777" w:rsidTr="00F449D7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B37AE" w14:textId="77777777" w:rsidR="00F449D7" w:rsidRPr="00F449D7" w:rsidRDefault="00F449D7" w:rsidP="00F449D7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403EC" w14:textId="77777777" w:rsidR="00F449D7" w:rsidRPr="00F449D7" w:rsidRDefault="00F449D7" w:rsidP="00F449D7">
            <w:pPr>
              <w:autoSpaceDE/>
              <w:autoSpaceDN/>
              <w:rPr>
                <w:lang w:val="es-MX"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75C49" w14:textId="77777777" w:rsidR="00F449D7" w:rsidRPr="00F449D7" w:rsidRDefault="00F449D7" w:rsidP="00F449D7">
            <w:pPr>
              <w:autoSpaceDE/>
              <w:autoSpaceDN/>
              <w:rPr>
                <w:lang w:val="es-MX"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C3790" w14:textId="77777777" w:rsidR="00F449D7" w:rsidRPr="00F449D7" w:rsidRDefault="00F449D7" w:rsidP="00F449D7">
            <w:pPr>
              <w:autoSpaceDE/>
              <w:autoSpaceDN/>
              <w:rPr>
                <w:lang w:val="es-MX"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C3706" w14:textId="77777777" w:rsidR="00F449D7" w:rsidRPr="00F449D7" w:rsidRDefault="00F449D7" w:rsidP="00F449D7">
            <w:pPr>
              <w:autoSpaceDE/>
              <w:autoSpaceDN/>
              <w:jc w:val="center"/>
              <w:rPr>
                <w:lang w:val="es-MX" w:eastAsia="es-MX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7C55C" w14:textId="77777777" w:rsidR="00F449D7" w:rsidRPr="00F449D7" w:rsidRDefault="00F449D7" w:rsidP="00F449D7">
            <w:pPr>
              <w:autoSpaceDE/>
              <w:autoSpaceDN/>
              <w:jc w:val="center"/>
              <w:rPr>
                <w:lang w:val="es-MX" w:eastAsia="es-MX"/>
              </w:rPr>
            </w:pPr>
          </w:p>
        </w:tc>
      </w:tr>
      <w:tr w:rsidR="00F449D7" w:rsidRPr="00F449D7" w14:paraId="4B7E74D1" w14:textId="77777777" w:rsidTr="00F449D7">
        <w:trPr>
          <w:trHeight w:val="499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21132"/>
            <w:vAlign w:val="center"/>
            <w:hideMark/>
          </w:tcPr>
          <w:p w14:paraId="741929B5" w14:textId="77777777" w:rsidR="00F449D7" w:rsidRPr="00F449D7" w:rsidRDefault="00F449D7" w:rsidP="00F449D7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  <w:t>FONDOS INSTITUCIONALES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21132"/>
            <w:vAlign w:val="center"/>
            <w:hideMark/>
          </w:tcPr>
          <w:p w14:paraId="046206C2" w14:textId="77777777" w:rsidR="00F449D7" w:rsidRPr="00F449D7" w:rsidRDefault="00F449D7" w:rsidP="00F449D7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21132"/>
            <w:vAlign w:val="center"/>
            <w:hideMark/>
          </w:tcPr>
          <w:p w14:paraId="3FA9F9A6" w14:textId="77777777" w:rsidR="00F449D7" w:rsidRPr="00F449D7" w:rsidRDefault="00F449D7" w:rsidP="00F449D7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  <w:t>15,096,409.00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21132"/>
            <w:vAlign w:val="center"/>
            <w:hideMark/>
          </w:tcPr>
          <w:p w14:paraId="76DB1F7B" w14:textId="77777777" w:rsidR="00F449D7" w:rsidRPr="00F449D7" w:rsidRDefault="00F449D7" w:rsidP="00F449D7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21132"/>
            <w:vAlign w:val="center"/>
            <w:hideMark/>
          </w:tcPr>
          <w:p w14:paraId="4F53AB24" w14:textId="77777777" w:rsidR="00F449D7" w:rsidRPr="00F449D7" w:rsidRDefault="00F449D7" w:rsidP="00F449D7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21132"/>
            <w:vAlign w:val="bottom"/>
            <w:hideMark/>
          </w:tcPr>
          <w:p w14:paraId="57D96EDA" w14:textId="77777777" w:rsidR="00F449D7" w:rsidRPr="00F449D7" w:rsidRDefault="00F449D7" w:rsidP="00F449D7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  <w:t> </w:t>
            </w:r>
          </w:p>
        </w:tc>
      </w:tr>
      <w:tr w:rsidR="00F449D7" w:rsidRPr="00F449D7" w14:paraId="32B2FB87" w14:textId="77777777" w:rsidTr="00F449D7">
        <w:trPr>
          <w:trHeight w:val="18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44AD" w14:textId="77777777" w:rsidR="00F449D7" w:rsidRPr="00F449D7" w:rsidRDefault="00F449D7" w:rsidP="00F449D7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Programa de salud ambiental para la disminución de las desigualdades socioambientales derivadas de la exposición a contaminantes en la región de Coatzacoalcos-</w:t>
            </w:r>
            <w:proofErr w:type="spellStart"/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Minatitlan</w:t>
            </w:r>
            <w:proofErr w:type="spellEnd"/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-</w:t>
            </w:r>
            <w:proofErr w:type="spellStart"/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Jaltipan</w:t>
            </w:r>
            <w:proofErr w:type="spellEnd"/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de Morelos, Veracruz.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7704" w14:textId="77777777" w:rsidR="00F449D7" w:rsidRPr="00F449D7" w:rsidRDefault="00F449D7" w:rsidP="00F449D7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Consejo Nacional de Ciencia y Tecnología (CONACYT).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A9F2" w14:textId="77777777" w:rsidR="00F449D7" w:rsidRPr="00F449D7" w:rsidRDefault="00F449D7" w:rsidP="00F449D7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4,722,000.00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8C6B" w14:textId="77777777" w:rsidR="00F449D7" w:rsidRPr="00F449D7" w:rsidRDefault="00F449D7" w:rsidP="00F449D7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Vigente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4C71B" w14:textId="77777777" w:rsidR="00F449D7" w:rsidRPr="00F449D7" w:rsidRDefault="00F449D7" w:rsidP="00F449D7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0F4D" w14:textId="77777777" w:rsidR="00F449D7" w:rsidRPr="00F449D7" w:rsidRDefault="00F449D7" w:rsidP="00F449D7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Torres Dosal Arturo</w:t>
            </w:r>
          </w:p>
        </w:tc>
      </w:tr>
      <w:tr w:rsidR="00F449D7" w:rsidRPr="00F449D7" w14:paraId="11FE98D1" w14:textId="77777777" w:rsidTr="00F449D7">
        <w:trPr>
          <w:trHeight w:val="18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3BF1" w14:textId="77777777" w:rsidR="00F449D7" w:rsidRPr="00F449D7" w:rsidRDefault="00F449D7" w:rsidP="00F449D7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Abejas y territorios: fortalecimiento de la acción colectiva de </w:t>
            </w:r>
            <w:proofErr w:type="gramStart"/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apicultoras y apicultores</w:t>
            </w:r>
            <w:proofErr w:type="gramEnd"/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en territorios con diversidad biocultural de la península de Yucatán para transitar hacia regímenes socioambientales más equitativos y sostenibles.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547C" w14:textId="77777777" w:rsidR="00F449D7" w:rsidRPr="00F449D7" w:rsidRDefault="00F449D7" w:rsidP="00F449D7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Consejo Nacional de Ciencia y Tecnología (CONACYT).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DAE9" w14:textId="77777777" w:rsidR="00F449D7" w:rsidRPr="00F449D7" w:rsidRDefault="00F449D7" w:rsidP="00F449D7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1,328,000.00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BE985" w14:textId="77777777" w:rsidR="00F449D7" w:rsidRPr="00F449D7" w:rsidRDefault="00F449D7" w:rsidP="00F449D7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Vigente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A7B18" w14:textId="77777777" w:rsidR="00F449D7" w:rsidRPr="00F449D7" w:rsidRDefault="00F449D7" w:rsidP="00F449D7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113A" w14:textId="77777777" w:rsidR="00F449D7" w:rsidRPr="00F449D7" w:rsidRDefault="00F449D7" w:rsidP="00F449D7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Cruz López Leopoldo Caridad</w:t>
            </w:r>
          </w:p>
        </w:tc>
      </w:tr>
      <w:tr w:rsidR="00F449D7" w:rsidRPr="00F449D7" w14:paraId="12EE862C" w14:textId="77777777" w:rsidTr="00F449D7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4CFC" w14:textId="77777777" w:rsidR="00F449D7" w:rsidRPr="00F449D7" w:rsidRDefault="00F449D7" w:rsidP="00F449D7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Sistemas </w:t>
            </w:r>
            <w:proofErr w:type="spellStart"/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socioecológicos</w:t>
            </w:r>
            <w:proofErr w:type="spellEnd"/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sustentables en territorios cafetaleros del sureste de México, segunda fase.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4F32" w14:textId="77777777" w:rsidR="00F449D7" w:rsidRPr="00F449D7" w:rsidRDefault="00F449D7" w:rsidP="00F449D7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Consejo Nacional de Ciencia y Tecnología (CONACYT).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D727" w14:textId="77777777" w:rsidR="00F449D7" w:rsidRPr="00F449D7" w:rsidRDefault="00F449D7" w:rsidP="00F449D7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2,000,000.00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D087" w14:textId="77777777" w:rsidR="00F449D7" w:rsidRPr="00F449D7" w:rsidRDefault="00F449D7" w:rsidP="00F449D7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Vigente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B152" w14:textId="77777777" w:rsidR="00F449D7" w:rsidRPr="00F449D7" w:rsidRDefault="00F449D7" w:rsidP="00F449D7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6E4F" w14:textId="77777777" w:rsidR="00F449D7" w:rsidRPr="00F449D7" w:rsidRDefault="00F449D7" w:rsidP="00F449D7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Van </w:t>
            </w:r>
            <w:proofErr w:type="spellStart"/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der</w:t>
            </w:r>
            <w:proofErr w:type="spellEnd"/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proofErr w:type="spellStart"/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Wal</w:t>
            </w:r>
            <w:proofErr w:type="spellEnd"/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Johannes </w:t>
            </w:r>
            <w:proofErr w:type="spellStart"/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Cornelis</w:t>
            </w:r>
            <w:proofErr w:type="spellEnd"/>
          </w:p>
        </w:tc>
      </w:tr>
      <w:tr w:rsidR="00F449D7" w:rsidRPr="00F449D7" w14:paraId="417A5DB0" w14:textId="77777777" w:rsidTr="00F449D7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05AC" w14:textId="77777777" w:rsidR="00F449D7" w:rsidRPr="00F449D7" w:rsidRDefault="00F449D7" w:rsidP="00F449D7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lastRenderedPageBreak/>
              <w:t>Escenarios de riesgo zoonótico en el neotrópico mexicano: uso de modelos nulos.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8076" w14:textId="77777777" w:rsidR="00F449D7" w:rsidRPr="00F449D7" w:rsidRDefault="00F449D7" w:rsidP="00F449D7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Consejo Nacional de Ciencia y Tecnología (CONACYT).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F4B3" w14:textId="77777777" w:rsidR="00F449D7" w:rsidRPr="00F449D7" w:rsidRDefault="00F449D7" w:rsidP="00F449D7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679,219.00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5BF4" w14:textId="77777777" w:rsidR="00F449D7" w:rsidRPr="00F449D7" w:rsidRDefault="00F449D7" w:rsidP="00F449D7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Vigente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932E" w14:textId="77777777" w:rsidR="00F449D7" w:rsidRPr="00F449D7" w:rsidRDefault="00F449D7" w:rsidP="00F449D7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2926" w14:textId="77777777" w:rsidR="00F449D7" w:rsidRPr="00F449D7" w:rsidRDefault="00F449D7" w:rsidP="00F449D7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Castellanos Morales Gabriela</w:t>
            </w:r>
          </w:p>
        </w:tc>
      </w:tr>
      <w:tr w:rsidR="00F449D7" w:rsidRPr="00F449D7" w14:paraId="160CC09A" w14:textId="77777777" w:rsidTr="00F449D7">
        <w:trPr>
          <w:trHeight w:val="12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FC56" w14:textId="77777777" w:rsidR="00F449D7" w:rsidRPr="00F449D7" w:rsidRDefault="00F449D7" w:rsidP="00F449D7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Influencia de la infección por </w:t>
            </w:r>
            <w:proofErr w:type="spellStart"/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trypanosoma</w:t>
            </w:r>
            <w:proofErr w:type="spellEnd"/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proofErr w:type="spellStart"/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cruzi</w:t>
            </w:r>
            <w:proofErr w:type="spellEnd"/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en la comunicación </w:t>
            </w:r>
            <w:proofErr w:type="spellStart"/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intra-específica</w:t>
            </w:r>
            <w:proofErr w:type="spellEnd"/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de chinches </w:t>
            </w:r>
            <w:proofErr w:type="spellStart"/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chagasicas</w:t>
            </w:r>
            <w:proofErr w:type="spellEnd"/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: un primer paso hacia la prevención de la enfermedad de Chagas   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2916" w14:textId="77777777" w:rsidR="00F449D7" w:rsidRPr="00F449D7" w:rsidRDefault="00F449D7" w:rsidP="00F449D7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UNAM-CONACYT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1387" w14:textId="77777777" w:rsidR="00F449D7" w:rsidRPr="00F449D7" w:rsidRDefault="00F449D7" w:rsidP="00F449D7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267,610.00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D020" w14:textId="77777777" w:rsidR="00F449D7" w:rsidRPr="00F449D7" w:rsidRDefault="00F449D7" w:rsidP="00F449D7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Vigente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2A4D" w14:textId="77777777" w:rsidR="00F449D7" w:rsidRPr="00F449D7" w:rsidRDefault="00F449D7" w:rsidP="00F449D7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18%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B9B2C" w14:textId="77777777" w:rsidR="00F449D7" w:rsidRPr="00F449D7" w:rsidRDefault="00F449D7" w:rsidP="00F449D7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Cruz López Leopoldo Caridad</w:t>
            </w:r>
          </w:p>
        </w:tc>
      </w:tr>
      <w:tr w:rsidR="00F449D7" w:rsidRPr="00F449D7" w14:paraId="63C79B6F" w14:textId="77777777" w:rsidTr="00F449D7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90B7" w14:textId="77777777" w:rsidR="00F449D7" w:rsidRPr="00F449D7" w:rsidRDefault="00F449D7" w:rsidP="00F449D7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Virus de plantas en aguas residuales y superficiales: ¿indicadores de la calidad del agua o amenazas para la agricultura?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7BDF" w14:textId="77777777" w:rsidR="00F449D7" w:rsidRPr="00F449D7" w:rsidRDefault="00F449D7" w:rsidP="00F449D7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Consejo Nacional de Ciencia y Tecnología (CONACYT).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E71F" w14:textId="77777777" w:rsidR="00F449D7" w:rsidRPr="00F449D7" w:rsidRDefault="00F449D7" w:rsidP="00F449D7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526,320.00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30DA" w14:textId="77777777" w:rsidR="00F449D7" w:rsidRPr="00F449D7" w:rsidRDefault="00F449D7" w:rsidP="00F449D7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Concluido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F1BEC" w14:textId="77777777" w:rsidR="00F449D7" w:rsidRPr="00F449D7" w:rsidRDefault="00F449D7" w:rsidP="00F449D7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100%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1FE6" w14:textId="77777777" w:rsidR="00F449D7" w:rsidRPr="00F449D7" w:rsidRDefault="00F449D7" w:rsidP="00F449D7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Sánchez Guillén Daniel</w:t>
            </w:r>
          </w:p>
        </w:tc>
      </w:tr>
      <w:tr w:rsidR="00F449D7" w:rsidRPr="00F449D7" w14:paraId="7289AE9C" w14:textId="77777777" w:rsidTr="00F449D7">
        <w:trPr>
          <w:trHeight w:val="12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EC34" w14:textId="77777777" w:rsidR="00F449D7" w:rsidRPr="00F449D7" w:rsidRDefault="00F449D7" w:rsidP="00F449D7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Marcos normativos y morales en las prácticas de los derechos humanos en atención a la población migrante en la frontera sur de México.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82E6" w14:textId="77777777" w:rsidR="00F449D7" w:rsidRPr="00F449D7" w:rsidRDefault="00F449D7" w:rsidP="00F449D7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Consejo Nacional de Ciencia y Tecnología (CONACYT).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67CB4" w14:textId="77777777" w:rsidR="00F449D7" w:rsidRPr="00F449D7" w:rsidRDefault="00F449D7" w:rsidP="00F449D7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285,600.00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0CB7" w14:textId="77777777" w:rsidR="00F449D7" w:rsidRPr="00F449D7" w:rsidRDefault="00F449D7" w:rsidP="00F449D7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Concluido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7DC1" w14:textId="77777777" w:rsidR="00F449D7" w:rsidRPr="00F449D7" w:rsidRDefault="00F449D7" w:rsidP="00F449D7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100%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3492" w14:textId="77777777" w:rsidR="00F449D7" w:rsidRPr="00F449D7" w:rsidRDefault="00F449D7" w:rsidP="00F449D7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Calixto Romo María de los </w:t>
            </w:r>
            <w:proofErr w:type="spellStart"/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Angeles</w:t>
            </w:r>
            <w:proofErr w:type="spellEnd"/>
          </w:p>
        </w:tc>
      </w:tr>
      <w:tr w:rsidR="00F449D7" w:rsidRPr="00F449D7" w14:paraId="439D7ECA" w14:textId="77777777" w:rsidTr="00F449D7">
        <w:trPr>
          <w:trHeight w:val="12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9441" w14:textId="77777777" w:rsidR="00F449D7" w:rsidRPr="00F449D7" w:rsidRDefault="00F449D7" w:rsidP="00F449D7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Plataforma </w:t>
            </w:r>
            <w:proofErr w:type="spellStart"/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multi-actor</w:t>
            </w:r>
            <w:proofErr w:type="spellEnd"/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para la democratización energética desde iniciativas de economía social y solidaria en comunidades rurales-urbanas en Tabasco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04593" w14:textId="77777777" w:rsidR="00F449D7" w:rsidRPr="00F449D7" w:rsidRDefault="00F449D7" w:rsidP="00F449D7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Consejo Nacional de Ciencia y Tecnología (CONACYT)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E893" w14:textId="77777777" w:rsidR="00F449D7" w:rsidRPr="00F449D7" w:rsidRDefault="00F449D7" w:rsidP="00F449D7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2,800,000.00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36E1" w14:textId="77777777" w:rsidR="00F449D7" w:rsidRPr="00F449D7" w:rsidRDefault="00F449D7" w:rsidP="00F449D7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Vigente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29A8" w14:textId="77777777" w:rsidR="00F449D7" w:rsidRPr="00F449D7" w:rsidRDefault="00F449D7" w:rsidP="00F449D7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FCA7" w14:textId="77777777" w:rsidR="00F449D7" w:rsidRPr="00F449D7" w:rsidRDefault="00F449D7" w:rsidP="00F449D7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Van Der </w:t>
            </w:r>
            <w:proofErr w:type="spellStart"/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Wal</w:t>
            </w:r>
            <w:proofErr w:type="spellEnd"/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Johannes </w:t>
            </w:r>
            <w:proofErr w:type="spellStart"/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Cornelis</w:t>
            </w:r>
            <w:proofErr w:type="spellEnd"/>
          </w:p>
        </w:tc>
      </w:tr>
      <w:tr w:rsidR="00F449D7" w:rsidRPr="00F449D7" w14:paraId="135BD1DA" w14:textId="77777777" w:rsidTr="00F449D7">
        <w:trPr>
          <w:trHeight w:val="15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E96C" w14:textId="77777777" w:rsidR="00F449D7" w:rsidRPr="00F449D7" w:rsidRDefault="00F449D7" w:rsidP="00F449D7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El impacto de megaproyectos en sistemas </w:t>
            </w:r>
            <w:proofErr w:type="spellStart"/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socioecológicos</w:t>
            </w:r>
            <w:proofErr w:type="spellEnd"/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desde una perspectiva transdisciplinaria: el programa de desarrollo integral en los territorios del tren maya.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88623" w14:textId="77777777" w:rsidR="00F449D7" w:rsidRPr="00F449D7" w:rsidRDefault="00F449D7" w:rsidP="00F449D7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Consejo Nacional de Ciencia y Tecnología (CONACYT)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EC581" w14:textId="77777777" w:rsidR="00F449D7" w:rsidRPr="00F449D7" w:rsidRDefault="00F449D7" w:rsidP="00F449D7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2,000,000.00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BC913" w14:textId="77777777" w:rsidR="00F449D7" w:rsidRPr="00F449D7" w:rsidRDefault="00F449D7" w:rsidP="00F449D7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Vigente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7DE5" w14:textId="77777777" w:rsidR="00F449D7" w:rsidRPr="00F449D7" w:rsidRDefault="00F449D7" w:rsidP="00F449D7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A989" w14:textId="77777777" w:rsidR="00F449D7" w:rsidRPr="00F449D7" w:rsidRDefault="00F449D7" w:rsidP="00F449D7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Díaz Perera Miguel Ángel</w:t>
            </w:r>
          </w:p>
        </w:tc>
      </w:tr>
      <w:tr w:rsidR="00F449D7" w:rsidRPr="00F449D7" w14:paraId="07F0EEAC" w14:textId="77777777" w:rsidTr="00F449D7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E4CF2" w14:textId="77777777" w:rsidR="00F449D7" w:rsidRPr="00F449D7" w:rsidRDefault="00F449D7" w:rsidP="00F449D7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Ecohidrología</w:t>
            </w:r>
            <w:proofErr w:type="spellEnd"/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para la sustentabilidad y gobernanza del agua y cuencas para el bien común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B4F6" w14:textId="77777777" w:rsidR="00F449D7" w:rsidRPr="00F449D7" w:rsidRDefault="00F449D7" w:rsidP="00F449D7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CONACYT - Universidad Autónoma de Querétaro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FB10" w14:textId="77777777" w:rsidR="00F449D7" w:rsidRPr="00F449D7" w:rsidRDefault="00F449D7" w:rsidP="00F449D7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387,660.00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6967" w14:textId="77777777" w:rsidR="00F449D7" w:rsidRPr="00F449D7" w:rsidRDefault="00F449D7" w:rsidP="00F449D7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Vigente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09765" w14:textId="77777777" w:rsidR="00F449D7" w:rsidRPr="00F449D7" w:rsidRDefault="00F449D7" w:rsidP="00F449D7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0%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CC4A6" w14:textId="77777777" w:rsidR="00F449D7" w:rsidRPr="00F449D7" w:rsidRDefault="00F449D7" w:rsidP="00F449D7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Barba Macías Everardo</w:t>
            </w:r>
          </w:p>
        </w:tc>
      </w:tr>
      <w:tr w:rsidR="00F449D7" w:rsidRPr="00F449D7" w14:paraId="671EDBE7" w14:textId="77777777" w:rsidTr="00F449D7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F235" w14:textId="77777777" w:rsidR="00F449D7" w:rsidRPr="00F449D7" w:rsidRDefault="00F449D7" w:rsidP="00F449D7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lastRenderedPageBreak/>
              <w:t xml:space="preserve">Memoria, conocimiento y valor social a partir del uso de la flora y fauna medicinal en </w:t>
            </w:r>
            <w:proofErr w:type="spellStart"/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Ich</w:t>
            </w:r>
            <w:proofErr w:type="spellEnd"/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proofErr w:type="spellStart"/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Ek</w:t>
            </w:r>
            <w:proofErr w:type="spellEnd"/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, Hopelchén, Campeche.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8BE28" w14:textId="77777777" w:rsidR="00F449D7" w:rsidRPr="00F449D7" w:rsidRDefault="00F449D7" w:rsidP="00F449D7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Consejo Nacional de Ciencia y Tecnología (CONACYT)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FBBE" w14:textId="77777777" w:rsidR="00F449D7" w:rsidRPr="00F449D7" w:rsidRDefault="00F449D7" w:rsidP="00F449D7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100,000.00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817E" w14:textId="77777777" w:rsidR="00F449D7" w:rsidRPr="00F449D7" w:rsidRDefault="00F449D7" w:rsidP="00F449D7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Vigente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6D9A" w14:textId="77777777" w:rsidR="00F449D7" w:rsidRPr="00F449D7" w:rsidRDefault="00F449D7" w:rsidP="00F449D7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6%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9AF1" w14:textId="77777777" w:rsidR="00F449D7" w:rsidRPr="00F449D7" w:rsidRDefault="00F449D7" w:rsidP="00F449D7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Huicochea </w:t>
            </w:r>
            <w:proofErr w:type="spellStart"/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Gomez</w:t>
            </w:r>
            <w:proofErr w:type="spellEnd"/>
            <w:r w:rsidRPr="00F449D7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Laura</w:t>
            </w:r>
          </w:p>
        </w:tc>
      </w:tr>
    </w:tbl>
    <w:p w14:paraId="26DAC74E" w14:textId="57001695" w:rsidR="00B62FD1" w:rsidRDefault="00F449D7" w:rsidP="00B62FD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fldChar w:fldCharType="end"/>
      </w:r>
    </w:p>
    <w:p w14:paraId="396F43A5" w14:textId="77777777" w:rsidR="00451B62" w:rsidRDefault="00451B62" w:rsidP="00B62FD1">
      <w:pPr>
        <w:rPr>
          <w:rFonts w:asciiTheme="minorHAnsi" w:hAnsiTheme="minorHAnsi"/>
          <w:b/>
        </w:rPr>
      </w:pPr>
    </w:p>
    <w:p w14:paraId="10BAD2BC" w14:textId="77777777" w:rsidR="00F449D7" w:rsidRDefault="00F449D7" w:rsidP="00B62FD1">
      <w:pPr>
        <w:rPr>
          <w:rFonts w:asciiTheme="minorHAnsi" w:hAnsiTheme="minorHAnsi"/>
          <w:b/>
        </w:rPr>
      </w:pPr>
    </w:p>
    <w:p w14:paraId="484C3D4D" w14:textId="77777777" w:rsidR="00F449D7" w:rsidRDefault="00F449D7" w:rsidP="00B62FD1">
      <w:pPr>
        <w:rPr>
          <w:rFonts w:asciiTheme="minorHAnsi" w:hAnsiTheme="minorHAnsi"/>
          <w:b/>
        </w:rPr>
      </w:pPr>
    </w:p>
    <w:p w14:paraId="7DA5129D" w14:textId="40C800AE" w:rsidR="00B62FD1" w:rsidRDefault="00B62FD1" w:rsidP="00B62FD1">
      <w:pPr>
        <w:rPr>
          <w:rFonts w:asciiTheme="minorHAnsi" w:hAnsiTheme="minorHAnsi"/>
          <w:b/>
        </w:rPr>
      </w:pPr>
    </w:p>
    <w:tbl>
      <w:tblPr>
        <w:tblW w:w="13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2800"/>
        <w:gridCol w:w="1440"/>
        <w:gridCol w:w="1340"/>
        <w:gridCol w:w="1340"/>
        <w:gridCol w:w="2180"/>
      </w:tblGrid>
      <w:tr w:rsidR="00477920" w14:paraId="188C9D23" w14:textId="77777777" w:rsidTr="00477920">
        <w:trPr>
          <w:trHeight w:val="12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3FC63435" w14:textId="77777777" w:rsidR="00477920" w:rsidRDefault="00477920" w:rsidP="00477920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DEL PROYECTO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31CDA4C1" w14:textId="77777777" w:rsidR="00477920" w:rsidRDefault="00477920" w:rsidP="00477920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FUENTE DE </w:t>
            </w:r>
            <w:proofErr w:type="spellStart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FINANCIAMIENTO</w:t>
            </w:r>
            <w:proofErr w:type="spellEnd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39364F3D" w14:textId="77777777" w:rsidR="00477920" w:rsidRPr="00477920" w:rsidRDefault="00477920" w:rsidP="00477920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es-MX"/>
              </w:rPr>
            </w:pPr>
            <w:r w:rsidRPr="00477920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es-MX"/>
              </w:rPr>
              <w:t>INGRESOS RECIBIDOS DEL AÑO 2021 (PESOS)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738AA9CE" w14:textId="77777777" w:rsidR="00477920" w:rsidRDefault="00477920" w:rsidP="00477920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STATUS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29A12B17" w14:textId="77777777" w:rsidR="00477920" w:rsidRDefault="00477920" w:rsidP="00477920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% DE </w:t>
            </w:r>
            <w:proofErr w:type="spellStart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AVANCE</w:t>
            </w:r>
            <w:proofErr w:type="spellEnd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FINANCIERO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26FED05F" w14:textId="77777777" w:rsidR="00477920" w:rsidRDefault="00477920" w:rsidP="00477920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RESPONSABLE</w:t>
            </w:r>
            <w:proofErr w:type="spellEnd"/>
          </w:p>
        </w:tc>
      </w:tr>
      <w:tr w:rsidR="00477920" w14:paraId="4B4A631E" w14:textId="77777777" w:rsidTr="00477920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50C46" w14:textId="77777777" w:rsidR="00477920" w:rsidRDefault="00477920" w:rsidP="004779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4BAFC" w14:textId="77777777" w:rsidR="00477920" w:rsidRDefault="00477920" w:rsidP="004779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6426A" w14:textId="77777777" w:rsidR="00477920" w:rsidRDefault="00477920" w:rsidP="004779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ED9C9" w14:textId="77777777" w:rsidR="00477920" w:rsidRDefault="00477920" w:rsidP="004779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5E8D6" w14:textId="77777777" w:rsidR="00477920" w:rsidRDefault="00477920" w:rsidP="004779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2141C" w14:textId="77777777" w:rsidR="00477920" w:rsidRDefault="00477920" w:rsidP="004779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77920" w14:paraId="36D6EA0B" w14:textId="77777777" w:rsidTr="00477920">
        <w:trPr>
          <w:trHeight w:val="499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21132"/>
            <w:vAlign w:val="center"/>
            <w:hideMark/>
          </w:tcPr>
          <w:p w14:paraId="7FC953C8" w14:textId="77777777" w:rsidR="00477920" w:rsidRDefault="00477920" w:rsidP="00477920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RECURSOS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SECTORIALES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.-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21132"/>
            <w:vAlign w:val="center"/>
            <w:hideMark/>
          </w:tcPr>
          <w:p w14:paraId="69A01059" w14:textId="77777777" w:rsidR="00477920" w:rsidRDefault="00477920" w:rsidP="00477920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21132"/>
            <w:vAlign w:val="center"/>
            <w:hideMark/>
          </w:tcPr>
          <w:p w14:paraId="3CA0075D" w14:textId="77777777" w:rsidR="00477920" w:rsidRDefault="00477920" w:rsidP="00477920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AB6F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2,984,805.76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21132"/>
            <w:vAlign w:val="center"/>
            <w:hideMark/>
          </w:tcPr>
          <w:p w14:paraId="62475D3D" w14:textId="77777777" w:rsidR="00477920" w:rsidRDefault="00477920" w:rsidP="00477920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21132"/>
            <w:vAlign w:val="center"/>
            <w:hideMark/>
          </w:tcPr>
          <w:p w14:paraId="66D0E0EC" w14:textId="77777777" w:rsidR="00477920" w:rsidRDefault="00477920" w:rsidP="00477920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21132"/>
            <w:vAlign w:val="bottom"/>
            <w:hideMark/>
          </w:tcPr>
          <w:p w14:paraId="7651AFEC" w14:textId="77777777" w:rsidR="00477920" w:rsidRDefault="00477920" w:rsidP="00477920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477920" w14:paraId="175E9C53" w14:textId="77777777" w:rsidTr="00477920">
        <w:trPr>
          <w:trHeight w:val="12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84D4" w14:textId="77777777" w:rsidR="00477920" w:rsidRPr="00477920" w:rsidRDefault="00477920" w:rsidP="00477920">
            <w:pPr>
              <w:rPr>
                <w:rFonts w:ascii="Calibri" w:hAnsi="Calibri"/>
                <w:color w:val="000000"/>
                <w:sz w:val="22"/>
                <w:szCs w:val="22"/>
                <w:lang w:val="es-MX"/>
              </w:rPr>
            </w:pPr>
            <w:r w:rsidRPr="0047792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 xml:space="preserve">Ciclo doméstico, </w:t>
            </w:r>
            <w:proofErr w:type="spellStart"/>
            <w:r w:rsidRPr="0047792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peridoméstico</w:t>
            </w:r>
            <w:proofErr w:type="spellEnd"/>
            <w:r w:rsidRPr="0047792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, silvestre y ecología de la enfermedad de Chagas en regiones focalizadas de Oaxaca y Chiapas, México.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BB3D" w14:textId="77777777" w:rsidR="00477920" w:rsidRPr="00477920" w:rsidRDefault="00477920" w:rsidP="0047792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/>
              </w:rPr>
            </w:pPr>
            <w:r w:rsidRPr="0047792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Fondo Sectorial de Investigación para la Educación (SEP-CONACYT).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50786" w14:textId="77777777" w:rsidR="00477920" w:rsidRDefault="00477920" w:rsidP="004779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649,805.76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7CE5" w14:textId="77777777" w:rsidR="00477920" w:rsidRDefault="00477920" w:rsidP="004779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Vigente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0F2B" w14:textId="77777777" w:rsidR="00477920" w:rsidRDefault="00477920" w:rsidP="004779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C462" w14:textId="2678F9EC" w:rsidR="00477920" w:rsidRDefault="00477920" w:rsidP="004779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Ochoa Díaz-López Héctor</w:t>
            </w:r>
          </w:p>
        </w:tc>
      </w:tr>
      <w:tr w:rsidR="00477920" w14:paraId="399B06AA" w14:textId="77777777" w:rsidTr="005C2FFC">
        <w:trPr>
          <w:trHeight w:val="77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E2E3" w14:textId="77777777" w:rsidR="00477920" w:rsidRPr="00477920" w:rsidRDefault="00477920" w:rsidP="00477920">
            <w:pPr>
              <w:rPr>
                <w:rFonts w:ascii="Calibri" w:hAnsi="Calibri"/>
                <w:color w:val="000000"/>
                <w:sz w:val="22"/>
                <w:szCs w:val="22"/>
                <w:lang w:val="es-MX"/>
              </w:rPr>
            </w:pPr>
            <w:r w:rsidRPr="0047792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 xml:space="preserve">Atlas de los humedales del </w:t>
            </w:r>
            <w:proofErr w:type="gramStart"/>
            <w:r w:rsidRPr="0047792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sur-sureste</w:t>
            </w:r>
            <w:proofErr w:type="gramEnd"/>
            <w:r w:rsidRPr="0047792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 xml:space="preserve"> y sus amenazas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E3EC" w14:textId="77777777" w:rsidR="00477920" w:rsidRDefault="00477920" w:rsidP="004779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Fondo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Sectorial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CONAGUA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7BD30" w14:textId="77777777" w:rsidR="00477920" w:rsidRDefault="00477920" w:rsidP="004779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1,415,000.00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95DB" w14:textId="77777777" w:rsidR="00477920" w:rsidRDefault="00477920" w:rsidP="004779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Vigente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CDFA" w14:textId="77777777" w:rsidR="00477920" w:rsidRDefault="00477920" w:rsidP="004779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9402" w14:textId="77777777" w:rsidR="00477920" w:rsidRDefault="00477920" w:rsidP="004779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Barba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Macías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Everardo</w:t>
            </w:r>
          </w:p>
        </w:tc>
      </w:tr>
      <w:tr w:rsidR="00477920" w14:paraId="577E7877" w14:textId="77777777" w:rsidTr="00477920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7DDB" w14:textId="0A189B32" w:rsidR="00477920" w:rsidRPr="00477920" w:rsidRDefault="00477920" w:rsidP="00477920">
            <w:pPr>
              <w:rPr>
                <w:rFonts w:ascii="Calibri" w:hAnsi="Calibri"/>
                <w:color w:val="000000"/>
                <w:sz w:val="22"/>
                <w:szCs w:val="22"/>
                <w:lang w:val="es-MX"/>
              </w:rPr>
            </w:pPr>
            <w:r w:rsidRPr="0047792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Modelación Paleo</w:t>
            </w:r>
            <w:r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 xml:space="preserve"> </w:t>
            </w:r>
            <w:r w:rsidRPr="0047792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climática en la Península de Yucatán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E2B8" w14:textId="77777777" w:rsidR="00477920" w:rsidRPr="00477920" w:rsidRDefault="00477920" w:rsidP="0047792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/>
              </w:rPr>
            </w:pPr>
            <w:r w:rsidRPr="0047792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Fondo Sectorial de Investigación para la Educación (SEP-CONACYT).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19477" w14:textId="77777777" w:rsidR="00477920" w:rsidRDefault="00477920" w:rsidP="004779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A173" w14:textId="77777777" w:rsidR="00477920" w:rsidRDefault="00477920" w:rsidP="004779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Vigente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9B29" w14:textId="77777777" w:rsidR="00477920" w:rsidRDefault="00477920" w:rsidP="004779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3A53" w14:textId="77777777" w:rsidR="00477920" w:rsidRDefault="00477920" w:rsidP="004779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Torrescano Valle Nuria</w:t>
            </w:r>
          </w:p>
        </w:tc>
      </w:tr>
      <w:tr w:rsidR="00477920" w14:paraId="1DF5CA06" w14:textId="77777777" w:rsidTr="00477920">
        <w:trPr>
          <w:trHeight w:val="300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E03FCE" w14:textId="77777777" w:rsidR="00477920" w:rsidRDefault="00477920" w:rsidP="004779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D4B570" w14:textId="77777777" w:rsidR="00477920" w:rsidRDefault="00477920" w:rsidP="004779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C970F19" w14:textId="77777777" w:rsidR="005C2FFC" w:rsidRDefault="005C2FFC" w:rsidP="004779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AFC7BC2" w14:textId="2E415CEF" w:rsidR="005C2FFC" w:rsidRDefault="005C2FFC" w:rsidP="004779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24849C" w14:textId="77777777" w:rsidR="00477920" w:rsidRDefault="00477920" w:rsidP="004779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004B49" w14:textId="77777777" w:rsidR="00477920" w:rsidRDefault="00477920" w:rsidP="004779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554F79A" w14:textId="77777777" w:rsidR="00477920" w:rsidRDefault="00477920" w:rsidP="004779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7AB9EBE" w14:textId="77777777" w:rsidR="00477920" w:rsidRDefault="00477920" w:rsidP="004779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77920" w14:paraId="1BAA39EE" w14:textId="77777777" w:rsidTr="00477920">
        <w:trPr>
          <w:trHeight w:val="499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21132"/>
            <w:vAlign w:val="center"/>
            <w:hideMark/>
          </w:tcPr>
          <w:p w14:paraId="79540A57" w14:textId="77777777" w:rsidR="00477920" w:rsidRDefault="00477920" w:rsidP="00477920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FONDOS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INSTITUCIONALES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21132"/>
            <w:vAlign w:val="center"/>
            <w:hideMark/>
          </w:tcPr>
          <w:p w14:paraId="281D945B" w14:textId="77777777" w:rsidR="00477920" w:rsidRDefault="00477920" w:rsidP="00477920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21132"/>
            <w:vAlign w:val="center"/>
            <w:hideMark/>
          </w:tcPr>
          <w:p w14:paraId="11D13E5A" w14:textId="77777777" w:rsidR="00477920" w:rsidRDefault="00477920" w:rsidP="00477920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AB6F61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5,838,705.56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21132"/>
            <w:vAlign w:val="center"/>
            <w:hideMark/>
          </w:tcPr>
          <w:p w14:paraId="2351CDA0" w14:textId="77777777" w:rsidR="00477920" w:rsidRDefault="00477920" w:rsidP="00477920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21132"/>
            <w:vAlign w:val="center"/>
            <w:hideMark/>
          </w:tcPr>
          <w:p w14:paraId="144A3F2E" w14:textId="77777777" w:rsidR="00477920" w:rsidRDefault="00477920" w:rsidP="00477920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21132"/>
            <w:vAlign w:val="bottom"/>
            <w:hideMark/>
          </w:tcPr>
          <w:p w14:paraId="7F668932" w14:textId="77777777" w:rsidR="00477920" w:rsidRDefault="00477920" w:rsidP="00477920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477920" w14:paraId="700F59F5" w14:textId="77777777" w:rsidTr="00477920">
        <w:trPr>
          <w:trHeight w:val="9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D0F30" w14:textId="77777777" w:rsidR="00477920" w:rsidRPr="00477920" w:rsidRDefault="00477920" w:rsidP="00477920">
            <w:pPr>
              <w:rPr>
                <w:rFonts w:ascii="Calibri" w:hAnsi="Calibri"/>
                <w:color w:val="000000"/>
                <w:sz w:val="22"/>
                <w:szCs w:val="22"/>
                <w:lang w:val="es-MX"/>
              </w:rPr>
            </w:pPr>
            <w:r w:rsidRPr="0047792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Fortalecimiento de infraestructura y acreditación de métodos analíticos para evaluación de riesgos por exposición a contaminantes en escenarios rurales vulnerables del sureste de México.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C9954" w14:textId="77777777" w:rsidR="00477920" w:rsidRPr="00477920" w:rsidRDefault="00477920" w:rsidP="00477920">
            <w:pPr>
              <w:rPr>
                <w:rFonts w:ascii="Calibri" w:hAnsi="Calibri"/>
                <w:color w:val="000000"/>
                <w:sz w:val="22"/>
                <w:szCs w:val="22"/>
                <w:lang w:val="es-MX"/>
              </w:rPr>
            </w:pPr>
            <w:r w:rsidRPr="0047792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Consejo Nacional de Ciencia y Tecnología (CONACYT).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2ECC8" w14:textId="77777777" w:rsidR="00477920" w:rsidRDefault="00477920" w:rsidP="004779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5,500,000.00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7026" w14:textId="77777777" w:rsidR="00477920" w:rsidRDefault="00477920" w:rsidP="004779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Vigente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54430" w14:textId="77777777" w:rsidR="00477920" w:rsidRDefault="00477920" w:rsidP="004779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5ABDF" w14:textId="77777777" w:rsidR="00477920" w:rsidRDefault="00477920" w:rsidP="004779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Torres Dosal Arturo</w:t>
            </w:r>
          </w:p>
        </w:tc>
      </w:tr>
      <w:tr w:rsidR="00477920" w14:paraId="6DEE7A70" w14:textId="77777777" w:rsidTr="00477920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B04F1" w14:textId="77777777" w:rsidR="00477920" w:rsidRPr="00AB6F61" w:rsidRDefault="00477920" w:rsidP="00477920">
            <w:pPr>
              <w:rPr>
                <w:rFonts w:ascii="Calibri" w:hAnsi="Calibri"/>
                <w:color w:val="000000"/>
                <w:sz w:val="22"/>
                <w:szCs w:val="22"/>
                <w:lang w:val="es-MX"/>
              </w:rPr>
            </w:pPr>
            <w:r w:rsidRPr="0047792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 xml:space="preserve">Influencia de la infección por </w:t>
            </w:r>
            <w:proofErr w:type="spellStart"/>
            <w:r w:rsidRPr="0047792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trypanosoma</w:t>
            </w:r>
            <w:proofErr w:type="spellEnd"/>
            <w:r w:rsidRPr="0047792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47792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cruzi</w:t>
            </w:r>
            <w:proofErr w:type="spellEnd"/>
            <w:r w:rsidRPr="0047792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 xml:space="preserve"> en la comunicación </w:t>
            </w:r>
            <w:proofErr w:type="spellStart"/>
            <w:r w:rsidRPr="0047792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intra-específica</w:t>
            </w:r>
            <w:proofErr w:type="spellEnd"/>
            <w:r w:rsidRPr="0047792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 xml:space="preserve"> de chinches </w:t>
            </w:r>
            <w:proofErr w:type="spellStart"/>
            <w:r w:rsidRPr="0047792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chagasicas</w:t>
            </w:r>
            <w:proofErr w:type="spellEnd"/>
            <w:r w:rsidRPr="0047792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 xml:space="preserve">: un primer paso hacia la prevención de la enfermedad de Chagas   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94B79" w14:textId="77777777" w:rsidR="00477920" w:rsidRDefault="00477920" w:rsidP="004779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CONACYT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- UNAM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12417" w14:textId="77777777" w:rsidR="00477920" w:rsidRDefault="00477920" w:rsidP="004779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27CF8" w14:textId="77777777" w:rsidR="00477920" w:rsidRDefault="00477920" w:rsidP="004779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Vigente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0FE2D" w14:textId="77777777" w:rsidR="00477920" w:rsidRDefault="00477920" w:rsidP="004779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3D426" w14:textId="77777777" w:rsidR="00477920" w:rsidRDefault="00477920" w:rsidP="004779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Cruz López Leopoldo Caridad</w:t>
            </w:r>
          </w:p>
        </w:tc>
      </w:tr>
      <w:tr w:rsidR="00477920" w14:paraId="1108D1FB" w14:textId="77777777" w:rsidTr="00477920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C0336" w14:textId="77777777" w:rsidR="00477920" w:rsidRPr="004C404E" w:rsidRDefault="00477920" w:rsidP="004779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6F61">
              <w:rPr>
                <w:rFonts w:ascii="Calibri" w:hAnsi="Calibri"/>
                <w:color w:val="000000"/>
                <w:sz w:val="22"/>
                <w:szCs w:val="22"/>
              </w:rPr>
              <w:t xml:space="preserve">From traditional uses to an integrated </w:t>
            </w:r>
            <w:proofErr w:type="spellStart"/>
            <w:r w:rsidRPr="00AB6F61">
              <w:rPr>
                <w:rFonts w:ascii="Calibri" w:hAnsi="Calibri"/>
                <w:color w:val="000000"/>
                <w:sz w:val="22"/>
                <w:szCs w:val="22"/>
              </w:rPr>
              <w:t>valorisation</w:t>
            </w:r>
            <w:proofErr w:type="spellEnd"/>
            <w:r w:rsidRPr="00AB6F61">
              <w:rPr>
                <w:rFonts w:ascii="Calibri" w:hAnsi="Calibri"/>
                <w:color w:val="000000"/>
                <w:sz w:val="22"/>
                <w:szCs w:val="22"/>
              </w:rPr>
              <w:t xml:space="preserve"> of sediments in the Usumacinta River Basin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41771" w14:textId="2B799CA9" w:rsidR="00477920" w:rsidRPr="00477920" w:rsidRDefault="00477920" w:rsidP="00477920">
            <w:pPr>
              <w:rPr>
                <w:rFonts w:ascii="Calibri" w:hAnsi="Calibri"/>
                <w:color w:val="000000"/>
                <w:sz w:val="22"/>
                <w:szCs w:val="22"/>
                <w:lang w:val="es-MX"/>
              </w:rPr>
            </w:pPr>
            <w:r w:rsidRPr="0047792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Centro del Cambio Global y la Sustentabilidad en el Sureste, A.C.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42862" w14:textId="77777777" w:rsidR="00477920" w:rsidRDefault="00477920" w:rsidP="004779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212,705.56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E2BBE" w14:textId="77777777" w:rsidR="00477920" w:rsidRDefault="00477920" w:rsidP="004779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Vigente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0E054" w14:textId="77777777" w:rsidR="00477920" w:rsidRDefault="00477920" w:rsidP="004779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ADB38" w14:textId="77777777" w:rsidR="00477920" w:rsidRDefault="00477920" w:rsidP="004779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Van der Wal Johannes Cornelis</w:t>
            </w:r>
          </w:p>
        </w:tc>
      </w:tr>
      <w:tr w:rsidR="00477920" w14:paraId="5965BE57" w14:textId="77777777" w:rsidTr="00477920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C4D79" w14:textId="77777777" w:rsidR="00477920" w:rsidRPr="00477920" w:rsidRDefault="00477920" w:rsidP="00477920">
            <w:pPr>
              <w:rPr>
                <w:rFonts w:ascii="Calibri" w:hAnsi="Calibri"/>
                <w:color w:val="000000"/>
                <w:sz w:val="22"/>
                <w:szCs w:val="22"/>
                <w:lang w:val="es-MX"/>
              </w:rPr>
            </w:pPr>
            <w:r w:rsidRPr="00477920">
              <w:rPr>
                <w:rFonts w:ascii="Calibri" w:hAnsi="Calibri"/>
                <w:color w:val="000000"/>
                <w:sz w:val="22"/>
                <w:szCs w:val="22"/>
                <w:lang w:val="es-MX"/>
              </w:rPr>
              <w:t>Descifrando el microbioma de la piel en ajolotes y las consecuencias de la interacción huésped-microbioma sobre una enfermedad letal emergente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4D2C7" w14:textId="77777777" w:rsidR="00477920" w:rsidRDefault="00477920" w:rsidP="004779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CONACYT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- UNAM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7027F" w14:textId="77777777" w:rsidR="00477920" w:rsidRDefault="00477920" w:rsidP="004779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792AF" w14:textId="77777777" w:rsidR="00477920" w:rsidRDefault="00477920" w:rsidP="004779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Vigente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32788" w14:textId="77777777" w:rsidR="00477920" w:rsidRDefault="00477920" w:rsidP="0047792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04BB8" w14:textId="77777777" w:rsidR="00477920" w:rsidRDefault="00477920" w:rsidP="0047792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Castellanos Morales Gabriela</w:t>
            </w:r>
          </w:p>
        </w:tc>
      </w:tr>
    </w:tbl>
    <w:p w14:paraId="2F43EA0C" w14:textId="77777777" w:rsidR="00477920" w:rsidRDefault="00477920" w:rsidP="00477920">
      <w:pPr>
        <w:ind w:firstLine="708"/>
        <w:rPr>
          <w:rFonts w:asciiTheme="minorHAnsi" w:hAnsiTheme="minorHAnsi"/>
        </w:rPr>
      </w:pPr>
    </w:p>
    <w:p w14:paraId="737BC380" w14:textId="77777777" w:rsidR="00477920" w:rsidRDefault="00477920" w:rsidP="00477920">
      <w:pPr>
        <w:ind w:firstLine="708"/>
        <w:rPr>
          <w:rFonts w:asciiTheme="minorHAnsi" w:hAnsiTheme="minorHAnsi"/>
        </w:rPr>
      </w:pPr>
    </w:p>
    <w:p w14:paraId="1E92ED2A" w14:textId="77777777" w:rsidR="00477920" w:rsidRDefault="00477920" w:rsidP="00477920">
      <w:pPr>
        <w:ind w:firstLine="708"/>
        <w:rPr>
          <w:rFonts w:asciiTheme="minorHAnsi" w:hAnsiTheme="minorHAnsi"/>
        </w:rPr>
      </w:pPr>
    </w:p>
    <w:p w14:paraId="05A12EF7" w14:textId="77777777" w:rsidR="00477920" w:rsidRDefault="00477920" w:rsidP="00477920">
      <w:pPr>
        <w:ind w:firstLine="708"/>
        <w:rPr>
          <w:rFonts w:asciiTheme="minorHAnsi" w:hAnsiTheme="minorHAnsi"/>
        </w:rPr>
      </w:pPr>
    </w:p>
    <w:p w14:paraId="139370E1" w14:textId="77777777" w:rsidR="00477920" w:rsidRDefault="00477920" w:rsidP="00477920">
      <w:pPr>
        <w:pStyle w:val="Prrafodelista"/>
        <w:numPr>
          <w:ilvl w:val="0"/>
          <w:numId w:val="5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</w:t>
      </w:r>
      <w:r w:rsidRPr="00151E9E">
        <w:rPr>
          <w:rFonts w:asciiTheme="minorHAnsi" w:hAnsiTheme="minorHAnsi"/>
          <w:b/>
        </w:rPr>
        <w:t>elación de proyectos de infraestructura concluidos</w:t>
      </w:r>
    </w:p>
    <w:p w14:paraId="1A5E3597" w14:textId="77777777" w:rsidR="00477920" w:rsidRDefault="00477920" w:rsidP="00477920">
      <w:pPr>
        <w:pStyle w:val="Prrafodelista"/>
        <w:ind w:left="1428"/>
        <w:rPr>
          <w:rFonts w:asciiTheme="minorHAnsi" w:hAnsiTheme="minorHAnsi"/>
        </w:rPr>
      </w:pPr>
    </w:p>
    <w:p w14:paraId="2B3AB122" w14:textId="33D5308B" w:rsidR="00477920" w:rsidRPr="00260F9F" w:rsidRDefault="00477920" w:rsidP="00477920">
      <w:pPr>
        <w:pStyle w:val="Prrafodelista"/>
        <w:ind w:left="1428"/>
        <w:rPr>
          <w:rFonts w:asciiTheme="minorHAnsi" w:hAnsiTheme="minorHAnsi"/>
        </w:rPr>
      </w:pPr>
      <w:r w:rsidRPr="00260F9F">
        <w:rPr>
          <w:rFonts w:asciiTheme="minorHAnsi" w:hAnsiTheme="minorHAnsi"/>
        </w:rPr>
        <w:t xml:space="preserve">Durante el </w:t>
      </w:r>
      <w:r>
        <w:rPr>
          <w:rFonts w:asciiTheme="minorHAnsi" w:hAnsiTheme="minorHAnsi"/>
        </w:rPr>
        <w:t xml:space="preserve">primer semestre </w:t>
      </w:r>
      <w:r w:rsidRPr="00260F9F">
        <w:rPr>
          <w:rFonts w:asciiTheme="minorHAnsi" w:hAnsiTheme="minorHAnsi"/>
        </w:rPr>
        <w:t>20</w:t>
      </w:r>
      <w:r>
        <w:rPr>
          <w:rFonts w:asciiTheme="minorHAnsi" w:hAnsiTheme="minorHAnsi"/>
        </w:rPr>
        <w:t>2</w:t>
      </w:r>
      <w:r w:rsidR="00B62FD1">
        <w:rPr>
          <w:rFonts w:asciiTheme="minorHAnsi" w:hAnsiTheme="minorHAnsi"/>
        </w:rPr>
        <w:t>2</w:t>
      </w:r>
      <w:r w:rsidRPr="00260F9F">
        <w:rPr>
          <w:rFonts w:asciiTheme="minorHAnsi" w:hAnsiTheme="minorHAnsi"/>
        </w:rPr>
        <w:t xml:space="preserve"> no se cuenta con proyectos de infraestructura conc</w:t>
      </w:r>
      <w:r>
        <w:rPr>
          <w:rFonts w:asciiTheme="minorHAnsi" w:hAnsiTheme="minorHAnsi"/>
        </w:rPr>
        <w:t>l</w:t>
      </w:r>
      <w:r w:rsidRPr="00260F9F">
        <w:rPr>
          <w:rFonts w:asciiTheme="minorHAnsi" w:hAnsiTheme="minorHAnsi"/>
        </w:rPr>
        <w:t>uidos.</w:t>
      </w:r>
    </w:p>
    <w:p w14:paraId="05AA1F93" w14:textId="2FD87CDA" w:rsidR="00477920" w:rsidRDefault="00477920" w:rsidP="00477920">
      <w:pPr>
        <w:rPr>
          <w:rFonts w:asciiTheme="minorHAnsi" w:hAnsiTheme="minorHAnsi"/>
          <w:b/>
          <w:lang w:val="es-MX"/>
        </w:rPr>
      </w:pPr>
    </w:p>
    <w:p w14:paraId="1F3A94C8" w14:textId="256A917A" w:rsidR="00F449D7" w:rsidRDefault="00F449D7" w:rsidP="00477920">
      <w:pPr>
        <w:rPr>
          <w:rFonts w:asciiTheme="minorHAnsi" w:hAnsiTheme="minorHAnsi"/>
          <w:b/>
          <w:lang w:val="es-MX"/>
        </w:rPr>
      </w:pPr>
    </w:p>
    <w:p w14:paraId="045BC07A" w14:textId="4EF3C2EA" w:rsidR="00F449D7" w:rsidRDefault="00F449D7" w:rsidP="00477920">
      <w:pPr>
        <w:rPr>
          <w:rFonts w:asciiTheme="minorHAnsi" w:hAnsiTheme="minorHAnsi"/>
          <w:b/>
          <w:lang w:val="es-MX"/>
        </w:rPr>
      </w:pPr>
    </w:p>
    <w:p w14:paraId="7889667E" w14:textId="4A2DE7A9" w:rsidR="00F449D7" w:rsidRDefault="00F449D7" w:rsidP="00477920">
      <w:pPr>
        <w:rPr>
          <w:rFonts w:asciiTheme="minorHAnsi" w:hAnsiTheme="minorHAnsi"/>
          <w:b/>
          <w:lang w:val="es-MX"/>
        </w:rPr>
      </w:pPr>
    </w:p>
    <w:p w14:paraId="5E1D09D9" w14:textId="77777777" w:rsidR="00F449D7" w:rsidRPr="00477920" w:rsidRDefault="00F449D7" w:rsidP="00477920">
      <w:pPr>
        <w:rPr>
          <w:rFonts w:asciiTheme="minorHAnsi" w:hAnsiTheme="minorHAnsi"/>
          <w:b/>
          <w:lang w:val="es-MX"/>
        </w:rPr>
      </w:pPr>
    </w:p>
    <w:p w14:paraId="6A8A030C" w14:textId="77777777" w:rsidR="00477920" w:rsidRDefault="00477920" w:rsidP="00477920">
      <w:pPr>
        <w:pStyle w:val="Prrafodelista"/>
        <w:numPr>
          <w:ilvl w:val="0"/>
          <w:numId w:val="5"/>
        </w:numPr>
        <w:rPr>
          <w:rFonts w:asciiTheme="minorHAnsi" w:hAnsiTheme="minorHAnsi"/>
          <w:b/>
        </w:rPr>
      </w:pPr>
      <w:r w:rsidRPr="005C6944">
        <w:rPr>
          <w:rFonts w:asciiTheme="minorHAnsi" w:hAnsiTheme="minorHAnsi"/>
          <w:b/>
        </w:rPr>
        <w:lastRenderedPageBreak/>
        <w:t xml:space="preserve">Relación de Proyectos Sustantivos apoyados en proceso </w:t>
      </w:r>
    </w:p>
    <w:p w14:paraId="6E0809F9" w14:textId="77777777" w:rsidR="00477920" w:rsidRDefault="00477920" w:rsidP="00477920">
      <w:pPr>
        <w:rPr>
          <w:rFonts w:asciiTheme="minorHAnsi" w:hAnsiTheme="minorHAnsi"/>
          <w:b/>
        </w:rPr>
      </w:pPr>
    </w:p>
    <w:p w14:paraId="440176FF" w14:textId="77777777" w:rsidR="00477920" w:rsidRPr="00477920" w:rsidRDefault="00477920" w:rsidP="00477920">
      <w:pPr>
        <w:rPr>
          <w:rFonts w:asciiTheme="minorHAnsi" w:hAnsiTheme="minorHAnsi"/>
          <w:b/>
        </w:rPr>
      </w:pPr>
    </w:p>
    <w:tbl>
      <w:tblPr>
        <w:tblW w:w="13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6"/>
        <w:gridCol w:w="2151"/>
        <w:gridCol w:w="1380"/>
        <w:gridCol w:w="1340"/>
        <w:gridCol w:w="1154"/>
        <w:gridCol w:w="1440"/>
        <w:gridCol w:w="1339"/>
        <w:gridCol w:w="1650"/>
      </w:tblGrid>
      <w:tr w:rsidR="00477920" w:rsidRPr="00451B62" w14:paraId="479D41C0" w14:textId="77777777" w:rsidTr="003B07CC">
        <w:trPr>
          <w:trHeight w:val="94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44930B1E" w14:textId="77777777" w:rsidR="00477920" w:rsidRPr="00451B62" w:rsidRDefault="00477920" w:rsidP="00477920">
            <w:pPr>
              <w:autoSpaceDE/>
              <w:autoSpaceDN/>
              <w:jc w:val="center"/>
              <w:rPr>
                <w:rFonts w:ascii="Montserrat" w:hAnsi="Montserrat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/>
                <w:b/>
                <w:bCs/>
                <w:color w:val="FFFFFF"/>
                <w:sz w:val="18"/>
                <w:szCs w:val="18"/>
                <w:lang w:val="es-MX" w:eastAsia="es-MX"/>
              </w:rPr>
              <w:t>NOMBRE DEL PROYECTO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581E5125" w14:textId="77777777" w:rsidR="00477920" w:rsidRPr="00451B62" w:rsidRDefault="00477920" w:rsidP="00477920">
            <w:pPr>
              <w:autoSpaceDE/>
              <w:autoSpaceDN/>
              <w:jc w:val="center"/>
              <w:rPr>
                <w:rFonts w:ascii="Montserrat" w:hAnsi="Montserrat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FUENTE DE FINANCIAMIENTO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1E1BCAB7" w14:textId="77777777" w:rsidR="00477920" w:rsidRPr="00451B62" w:rsidRDefault="00477920" w:rsidP="00477920">
            <w:pPr>
              <w:autoSpaceDE/>
              <w:autoSpaceDN/>
              <w:jc w:val="center"/>
              <w:rPr>
                <w:rFonts w:ascii="Montserrat" w:hAnsi="Montserrat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/>
                <w:b/>
                <w:bCs/>
                <w:color w:val="FFFFFF"/>
                <w:sz w:val="18"/>
                <w:szCs w:val="18"/>
                <w:lang w:val="es-MX" w:eastAsia="es-MX"/>
              </w:rPr>
              <w:t>RECURSOS RECIBIDOS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2B3C92E4" w14:textId="77777777" w:rsidR="00477920" w:rsidRPr="00451B62" w:rsidRDefault="00477920" w:rsidP="00477920">
            <w:pPr>
              <w:autoSpaceDE/>
              <w:autoSpaceDN/>
              <w:jc w:val="center"/>
              <w:rPr>
                <w:rFonts w:ascii="Montserrat" w:hAnsi="Montserrat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/>
                <w:b/>
                <w:bCs/>
                <w:color w:val="FFFFFF"/>
                <w:sz w:val="18"/>
                <w:szCs w:val="18"/>
                <w:lang w:val="es-MX" w:eastAsia="es-MX"/>
              </w:rPr>
              <w:t>RECURSOS EJERCIDOS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4DDC0873" w14:textId="77777777" w:rsidR="00477920" w:rsidRPr="00451B62" w:rsidRDefault="00477920" w:rsidP="00477920">
            <w:pPr>
              <w:autoSpaceDE/>
              <w:autoSpaceDN/>
              <w:jc w:val="center"/>
              <w:rPr>
                <w:rFonts w:ascii="Montserrat" w:hAnsi="Montserrat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/>
                <w:b/>
                <w:bCs/>
                <w:color w:val="FFFFFF"/>
                <w:sz w:val="18"/>
                <w:szCs w:val="18"/>
                <w:lang w:val="es-MX" w:eastAsia="es-MX"/>
              </w:rPr>
              <w:t>FECHA DE INICIO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0D3CF288" w14:textId="77777777" w:rsidR="00477920" w:rsidRPr="00451B62" w:rsidRDefault="00477920" w:rsidP="00477920">
            <w:pPr>
              <w:autoSpaceDE/>
              <w:autoSpaceDN/>
              <w:jc w:val="center"/>
              <w:rPr>
                <w:rFonts w:ascii="Montserrat" w:hAnsi="Montserrat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/>
                <w:b/>
                <w:bCs/>
                <w:color w:val="FFFFFF"/>
                <w:sz w:val="18"/>
                <w:szCs w:val="18"/>
                <w:lang w:val="es-MX" w:eastAsia="es-MX"/>
              </w:rPr>
              <w:t>FECHA ESTIMADA DE CONCLUSIÓN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7630FB35" w14:textId="77777777" w:rsidR="00477920" w:rsidRPr="00451B62" w:rsidRDefault="00477920" w:rsidP="00477920">
            <w:pPr>
              <w:autoSpaceDE/>
              <w:autoSpaceDN/>
              <w:jc w:val="center"/>
              <w:rPr>
                <w:rFonts w:ascii="Montserrat" w:hAnsi="Montserrat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/>
                <w:b/>
                <w:bCs/>
                <w:color w:val="FFFFFF"/>
                <w:sz w:val="18"/>
                <w:szCs w:val="18"/>
                <w:lang w:val="es-MX" w:eastAsia="es-MX"/>
              </w:rPr>
              <w:t>% DE AVANCE FINANCIERO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50221C1C" w14:textId="77777777" w:rsidR="00477920" w:rsidRPr="00451B62" w:rsidRDefault="00477920" w:rsidP="00477920">
            <w:pPr>
              <w:autoSpaceDE/>
              <w:autoSpaceDN/>
              <w:jc w:val="center"/>
              <w:rPr>
                <w:rFonts w:ascii="Montserrat" w:hAnsi="Montserrat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/>
                <w:b/>
                <w:bCs/>
                <w:color w:val="FFFFFF"/>
                <w:sz w:val="18"/>
                <w:szCs w:val="18"/>
                <w:lang w:val="es-MX" w:eastAsia="es-MX"/>
              </w:rPr>
              <w:t>RESPONSABLE</w:t>
            </w:r>
          </w:p>
        </w:tc>
      </w:tr>
      <w:tr w:rsidR="003E17FE" w:rsidRPr="00451B62" w14:paraId="2CD83D29" w14:textId="77777777" w:rsidTr="005C2FFC">
        <w:trPr>
          <w:trHeight w:val="868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4BF2" w14:textId="11093664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Forest2020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Monitoreo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Saltelital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los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Bosques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el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Suseste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México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8403" w14:textId="29785D04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ECOMETRICA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B6619" w14:textId="09952F42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8,048,219.70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87C11" w14:textId="3B42B16C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8,048,219.70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4762" w14:textId="089D49CA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01/07/2018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B3EB6" w14:textId="15247DC9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31/03/2020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1B5BA" w14:textId="33FA52B9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8E7E" w14:textId="254460B8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Castillo Santiago Miguel Angel</w:t>
            </w:r>
          </w:p>
        </w:tc>
      </w:tr>
      <w:tr w:rsidR="003E17FE" w:rsidRPr="00451B62" w14:paraId="432AF2CE" w14:textId="77777777" w:rsidTr="00AE5C92">
        <w:trPr>
          <w:trHeight w:val="12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583F" w14:textId="4B3F40B2" w:rsidR="003E17FE" w:rsidRPr="00451B62" w:rsidRDefault="003E17FE" w:rsidP="003E17FE">
            <w:pPr>
              <w:autoSpaceDE/>
              <w:autoSpaceDN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Transmisión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zika 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otros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virus entre mosquitos, primates 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perros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el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sur 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el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norte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México.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4BB8" w14:textId="54A1BBF0" w:rsidR="003E17FE" w:rsidRPr="00451B62" w:rsidRDefault="003E17FE" w:rsidP="003E17FE">
            <w:pPr>
              <w:autoSpaceDE/>
              <w:autoSpaceDN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CONACYT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- Texas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A&amp;M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University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99BB8" w14:textId="5BB3C6C5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323,200.00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7E5CB" w14:textId="1ADD5294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323,200.00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771A5" w14:textId="37B5B788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01/09/2018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F72B3" w14:textId="514EA5FC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31/08/2019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019DD" w14:textId="51429C9F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0F27" w14:textId="037F6512" w:rsidR="003E17FE" w:rsidRPr="00451B62" w:rsidRDefault="003E17FE" w:rsidP="003E17FE">
            <w:pPr>
              <w:autoSpaceDE/>
              <w:autoSpaceDN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Ochoa Díaz-López Héctor</w:t>
            </w:r>
          </w:p>
        </w:tc>
      </w:tr>
      <w:tr w:rsidR="003E17FE" w:rsidRPr="00451B62" w14:paraId="1A49F5F1" w14:textId="77777777" w:rsidTr="00AE5C92">
        <w:trPr>
          <w:trHeight w:val="12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A60C" w14:textId="495506D4" w:rsidR="003E17FE" w:rsidRPr="00451B62" w:rsidRDefault="003E17FE" w:rsidP="003E17FE">
            <w:pPr>
              <w:autoSpaceDE/>
              <w:autoSpaceDN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Programa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Formación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formadores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organizaciones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apicultores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Península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Yucatán, Chiapas y Oaxaca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F2B2" w14:textId="5DF3E20F" w:rsidR="003E17FE" w:rsidRPr="00451B62" w:rsidRDefault="003E17FE" w:rsidP="003E17FE">
            <w:pPr>
              <w:autoSpaceDE/>
              <w:autoSpaceDN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W.K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. Kellogg Foundation (WKKF).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A9CC9" w14:textId="70343AA1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11,550,106.34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DAA41" w14:textId="1EBA22E2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7,974,742.96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5448" w14:textId="65D8FD42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27/06/2019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331BC" w14:textId="5078BFEA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30/04/2021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7E280" w14:textId="43676646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69%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FCDF" w14:textId="70CB6557" w:rsidR="003E17FE" w:rsidRPr="00451B62" w:rsidRDefault="003E17FE" w:rsidP="003E17FE">
            <w:pPr>
              <w:autoSpaceDE/>
              <w:autoSpaceDN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Vandame Remy Benoit Marie</w:t>
            </w:r>
          </w:p>
        </w:tc>
      </w:tr>
      <w:tr w:rsidR="003E17FE" w:rsidRPr="00451B62" w14:paraId="2C75D8D2" w14:textId="77777777" w:rsidTr="00AE5C92">
        <w:trPr>
          <w:trHeight w:val="12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744B" w14:textId="45FBB99C" w:rsidR="003E17FE" w:rsidRPr="00451B62" w:rsidRDefault="003E17FE" w:rsidP="003E17FE">
            <w:pPr>
              <w:autoSpaceDE/>
              <w:autoSpaceDN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investigación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evaluativa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pertinencia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cultural del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enfoque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graduación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los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estados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Chiapas y Yucatán, México.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A291B" w14:textId="650C6B03" w:rsidR="003E17FE" w:rsidRPr="00451B62" w:rsidRDefault="003E17FE" w:rsidP="003E17FE">
            <w:pPr>
              <w:autoSpaceDE/>
              <w:autoSpaceDN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Trickle Up </w:t>
            </w:r>
            <w:proofErr w:type="gram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Las</w:t>
            </w:r>
            <w:proofErr w:type="gram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Americas (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TUA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17ABB4" w14:textId="28724E06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1,874,454.48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22E964" w14:textId="4428004A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1,799,467.92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0795F" w14:textId="4D9FF4FE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01/07/2019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CF565" w14:textId="0C869383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28/02/2021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F1343" w14:textId="21D5B6E6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96%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B6A7" w14:textId="1ED652C6" w:rsidR="003E17FE" w:rsidRPr="00451B62" w:rsidRDefault="003E17FE" w:rsidP="003E17FE">
            <w:pPr>
              <w:autoSpaceDE/>
              <w:autoSpaceDN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Salvatierra Izaba Ernesto Benito</w:t>
            </w:r>
          </w:p>
        </w:tc>
      </w:tr>
      <w:tr w:rsidR="003E17FE" w:rsidRPr="00451B62" w14:paraId="1D9CDACE" w14:textId="77777777" w:rsidTr="00AE5C92">
        <w:trPr>
          <w:trHeight w:val="12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B3F3" w14:textId="1F3238C5" w:rsidR="003E17FE" w:rsidRPr="00451B62" w:rsidRDefault="003E17FE" w:rsidP="003E17FE">
            <w:pPr>
              <w:autoSpaceDE/>
              <w:autoSpaceDN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Estancias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Posdoctorales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para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Mujeres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Méxicanas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Indígeneas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Ciencia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Tecnología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Ingenierías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Matemáticas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4BF1" w14:textId="64B891F0" w:rsidR="003E17FE" w:rsidRPr="00451B62" w:rsidRDefault="003E17FE" w:rsidP="003E17FE">
            <w:pPr>
              <w:autoSpaceDE/>
              <w:autoSpaceDN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El Centro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Investigaciones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Estudios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Superiores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Antropologia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Social. (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CIESAS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52E26" w14:textId="17C3A31E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450,475.91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83A3A" w14:textId="47558433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80,108.40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E956A" w14:textId="36BD6B40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02/12/2019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6F53F" w14:textId="1BC83E1C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30/09/2022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B67E7" w14:textId="6C037310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18%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BF9D" w14:textId="5B62242C" w:rsidR="003E17FE" w:rsidRPr="00451B62" w:rsidRDefault="003E17FE" w:rsidP="003E17FE">
            <w:pPr>
              <w:autoSpaceDE/>
              <w:autoSpaceDN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Sánchez Ramírez Georgina</w:t>
            </w:r>
          </w:p>
        </w:tc>
      </w:tr>
      <w:tr w:rsidR="003E17FE" w:rsidRPr="00451B62" w14:paraId="139E933B" w14:textId="77777777" w:rsidTr="005C2FFC">
        <w:trPr>
          <w:trHeight w:val="90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E0DC" w14:textId="5F129375" w:rsidR="003E17FE" w:rsidRPr="00451B62" w:rsidRDefault="003E17FE" w:rsidP="003E17FE">
            <w:pPr>
              <w:autoSpaceDE/>
              <w:autoSpaceDN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lastRenderedPageBreak/>
              <w:t>Género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conflictos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socioambientales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torno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a la mega 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pequeña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minería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México.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3177" w14:textId="66AFE9C9" w:rsidR="003E17FE" w:rsidRPr="00451B62" w:rsidRDefault="003E17FE" w:rsidP="003E17FE">
            <w:pPr>
              <w:autoSpaceDE/>
              <w:autoSpaceDN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El Colegio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Postgraduados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B5807" w14:textId="05A8AEA5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115,000.00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CEE6B" w14:textId="3340B5A0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34BAC" w14:textId="5484921E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16/06/2020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AE64B" w14:textId="7CE65E50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19/11/2022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198CB" w14:textId="2CBD25F7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A3DF" w14:textId="6F6634CB" w:rsidR="003E17FE" w:rsidRPr="00451B62" w:rsidRDefault="003E17FE" w:rsidP="003E17FE">
            <w:pPr>
              <w:autoSpaceDE/>
              <w:autoSpaceDN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Tuñón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Pablos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Esperanza</w:t>
            </w:r>
          </w:p>
        </w:tc>
      </w:tr>
      <w:tr w:rsidR="003E17FE" w:rsidRPr="00451B62" w14:paraId="24745FC9" w14:textId="77777777" w:rsidTr="00AE5C92">
        <w:trPr>
          <w:trHeight w:val="12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D5E9" w14:textId="3F043533" w:rsidR="003E17FE" w:rsidRPr="00451B62" w:rsidRDefault="003E17FE" w:rsidP="003E17FE">
            <w:pPr>
              <w:autoSpaceDE/>
              <w:autoSpaceDN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Diálogo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saberes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sobre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la fauna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silvestre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bosques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niebla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: El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caso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Reserva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Biosfera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El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Triunfo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, México 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el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Parque Nacional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Sangay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, Ecuador.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18F9" w14:textId="1F79BD45" w:rsidR="003E17FE" w:rsidRPr="00451B62" w:rsidRDefault="003E17FE" w:rsidP="003E17FE">
            <w:pPr>
              <w:autoSpaceDE/>
              <w:autoSpaceDN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The Rufford Foundation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BD8D2" w14:textId="1C5ECE72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157,830.92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9AFAD" w14:textId="7C229EBD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124,738.50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57350" w14:textId="5730A2C2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01/06/2020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59A74" w14:textId="7FE0CE1B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30/09/2021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33E8A" w14:textId="6E4FD5A5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79%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0B46" w14:textId="07C41441" w:rsidR="003E17FE" w:rsidRPr="00451B62" w:rsidRDefault="003E17FE" w:rsidP="003E17FE">
            <w:pPr>
              <w:autoSpaceDE/>
              <w:autoSpaceDN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Naranjo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Piñera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Eduardo Jorge</w:t>
            </w:r>
          </w:p>
        </w:tc>
      </w:tr>
      <w:tr w:rsidR="003E17FE" w:rsidRPr="00451B62" w14:paraId="1DE6DCBF" w14:textId="77777777" w:rsidTr="00AE5C92">
        <w:trPr>
          <w:trHeight w:val="12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7651" w14:textId="0849B817" w:rsidR="003E17FE" w:rsidRPr="00451B62" w:rsidRDefault="003E17FE" w:rsidP="003E17FE">
            <w:pPr>
              <w:autoSpaceDE/>
              <w:autoSpaceDN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Experiencias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restauración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ecológica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especies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nativas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para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acelerar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recuperación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del bosque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nublado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C22A" w14:textId="0F27FFDC" w:rsidR="003E17FE" w:rsidRPr="00451B62" w:rsidRDefault="003E17FE" w:rsidP="003E17FE">
            <w:pPr>
              <w:autoSpaceDE/>
              <w:autoSpaceDN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The Rufford Foundation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39CB2" w14:textId="0C8F4290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154,785.95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F57E4" w14:textId="6EF94528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155,177.55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BB001" w14:textId="6BDF0E3C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28/07/2020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BD89A" w14:textId="6731F3A1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28/07/2021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1554D" w14:textId="025C4D9F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3E24" w14:textId="2A1A6FFB" w:rsidR="003E17FE" w:rsidRPr="00451B62" w:rsidRDefault="003E17FE" w:rsidP="003E17FE">
            <w:pPr>
              <w:autoSpaceDE/>
              <w:autoSpaceDN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González Espinosa Mario</w:t>
            </w:r>
          </w:p>
        </w:tc>
      </w:tr>
      <w:tr w:rsidR="003E17FE" w:rsidRPr="00451B62" w14:paraId="6975E866" w14:textId="77777777" w:rsidTr="00AE5C92">
        <w:trPr>
          <w:trHeight w:val="12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53FE" w14:textId="5346B1E6" w:rsidR="003E17FE" w:rsidRPr="00451B62" w:rsidRDefault="003E17FE" w:rsidP="003E17FE">
            <w:pPr>
              <w:autoSpaceDE/>
              <w:autoSpaceDN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Comunidad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aprendizaje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práctica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contribuyendo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los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territorios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agroecológicos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desde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el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mercadeo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comunitario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117D" w14:textId="5A239A7F" w:rsidR="003E17FE" w:rsidRPr="00451B62" w:rsidRDefault="003E17FE" w:rsidP="003E17FE">
            <w:pPr>
              <w:autoSpaceDE/>
              <w:autoSpaceDN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Community Agroecology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NetWork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( CAN</w:t>
            </w:r>
            <w:proofErr w:type="gram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9B690" w14:textId="22EAE117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2,608,086.24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D7719" w14:textId="27C9F8DD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1,003,051.65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ECA2D" w14:textId="0A5CF108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25/08/2020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F2738" w14:textId="2A9782F8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24/08/2023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06762" w14:textId="11882D60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38%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04D9" w14:textId="30418814" w:rsidR="003E17FE" w:rsidRPr="00451B62" w:rsidRDefault="003E17FE" w:rsidP="003E17FE">
            <w:pPr>
              <w:autoSpaceDE/>
              <w:autoSpaceDN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Ferguson Bruce Gordon</w:t>
            </w:r>
          </w:p>
        </w:tc>
      </w:tr>
      <w:tr w:rsidR="003E17FE" w:rsidRPr="00451B62" w14:paraId="0799D4BB" w14:textId="77777777" w:rsidTr="00AE5C92">
        <w:trPr>
          <w:trHeight w:val="12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90DC" w14:textId="5D0E36B0" w:rsidR="003E17FE" w:rsidRPr="00451B62" w:rsidRDefault="003E17FE" w:rsidP="003E17FE">
            <w:pPr>
              <w:autoSpaceDE/>
              <w:autoSpaceDN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Re-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valorando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la tierra: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gobernanza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indígena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silvicultura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el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sur de México 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el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rediseño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la consulta de "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desarrollo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sostenible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" 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evaluación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impacto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171E" w14:textId="0554EC76" w:rsidR="003E17FE" w:rsidRPr="00451B62" w:rsidRDefault="003E17FE" w:rsidP="003E17FE">
            <w:pPr>
              <w:autoSpaceDE/>
              <w:autoSpaceDN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Universidad de GLASGOW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0D9E1" w14:textId="26001B46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1,432,405.68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34981" w14:textId="6D230CF1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1,362,791.07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7BF9E" w14:textId="74B46273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01/09/2020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EDDA6" w14:textId="4731BB01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30/06/2021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A0D90" w14:textId="59DFFE7D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0224" w14:textId="0132D52F" w:rsidR="003E17FE" w:rsidRPr="00451B62" w:rsidRDefault="003E17FE" w:rsidP="003E17FE">
            <w:pPr>
              <w:autoSpaceDE/>
              <w:autoSpaceDN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Morales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Helda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Eleonora de Guadalupe/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Giraldo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Omar</w:t>
            </w:r>
          </w:p>
        </w:tc>
      </w:tr>
      <w:tr w:rsidR="003E17FE" w:rsidRPr="00451B62" w14:paraId="5DBE9DCC" w14:textId="77777777" w:rsidTr="00AE5C92">
        <w:trPr>
          <w:trHeight w:val="12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BF82" w14:textId="16292266" w:rsidR="003E17FE" w:rsidRPr="00451B62" w:rsidRDefault="003E17FE" w:rsidP="003E17FE">
            <w:pPr>
              <w:autoSpaceDE/>
              <w:autoSpaceDN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Fortalecimiento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plataformas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observación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la tierra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el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sureste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México para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apoyar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metas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mitigación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del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cambio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climático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B332" w14:textId="431970FB" w:rsidR="003E17FE" w:rsidRPr="00451B62" w:rsidRDefault="003E17FE" w:rsidP="003E17FE">
            <w:pPr>
              <w:autoSpaceDE/>
              <w:autoSpaceDN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ECOMETRICA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LTD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C5E41" w14:textId="42102EEE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2,200,000.00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8BC54" w14:textId="01E52540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1,709,281.16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DBEC1" w14:textId="4ED2B1FC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01/01/2021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BBC97" w14:textId="0402F110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31/12/2021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EDBD2" w14:textId="7FE69520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78%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07DE" w14:textId="4BF3F42B" w:rsidR="003E17FE" w:rsidRPr="00451B62" w:rsidRDefault="003E17FE" w:rsidP="003E17FE">
            <w:pPr>
              <w:autoSpaceDE/>
              <w:autoSpaceDN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Castillo Santiago Miguel Angel</w:t>
            </w:r>
          </w:p>
        </w:tc>
      </w:tr>
      <w:tr w:rsidR="003E17FE" w:rsidRPr="00451B62" w14:paraId="76AF2EF1" w14:textId="77777777" w:rsidTr="00AE5C92">
        <w:trPr>
          <w:trHeight w:val="12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8641" w14:textId="68EB0616" w:rsidR="003E17FE" w:rsidRPr="00451B62" w:rsidRDefault="003E17FE" w:rsidP="003E17FE">
            <w:pPr>
              <w:autoSpaceDE/>
              <w:autoSpaceDN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lastRenderedPageBreak/>
              <w:t>Evolución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historia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conservación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dos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especies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tortuga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marina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la costa de Oaxaca.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6213" w14:textId="1B556C7C" w:rsidR="003E17FE" w:rsidRPr="00451B62" w:rsidRDefault="003E17FE" w:rsidP="003E17FE">
            <w:pPr>
              <w:autoSpaceDE/>
              <w:autoSpaceDN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The Rufford Foundation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6537D" w14:textId="372F9981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162,560.96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D9B0D" w14:textId="3820B624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80,016.79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24E36" w14:textId="59F85978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01/10/2020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F5DA2" w14:textId="278D3AFE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01/12/2021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7FEF8" w14:textId="701CF96A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49%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583F" w14:textId="22993ADD" w:rsidR="003E17FE" w:rsidRPr="00451B62" w:rsidRDefault="003E17FE" w:rsidP="003E17FE">
            <w:pPr>
              <w:autoSpaceDE/>
              <w:autoSpaceDN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Sáenz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-Arroyo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los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Cobos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María Andrea</w:t>
            </w:r>
          </w:p>
        </w:tc>
      </w:tr>
      <w:tr w:rsidR="003E17FE" w:rsidRPr="00451B62" w14:paraId="31A49217" w14:textId="77777777" w:rsidTr="00AE5C92">
        <w:trPr>
          <w:trHeight w:val="12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9361" w14:textId="6B7404BA" w:rsidR="003E17FE" w:rsidRPr="00451B62" w:rsidRDefault="003E17FE" w:rsidP="003E17FE">
            <w:pPr>
              <w:autoSpaceDE/>
              <w:autoSpaceDN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Rol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las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áreas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naturales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el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mantenimiento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una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alta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diversidad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especies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roedores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baja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prevalencia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virus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zoonóticos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Chiapas, México.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BBD7" w14:textId="5CE6489B" w:rsidR="003E17FE" w:rsidRPr="00451B62" w:rsidRDefault="003E17FE" w:rsidP="003E17FE">
            <w:pPr>
              <w:autoSpaceDE/>
              <w:autoSpaceDN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The Rufford Foundation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40B83" w14:textId="097C5806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168,361.68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A635B" w14:textId="02499F5F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55,656.32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4778" w14:textId="5D73B409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05/07/2021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C7CEB" w14:textId="3ACEA3C6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05/07/2022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1284D" w14:textId="246DBFFE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DF26" w14:textId="216B3DAE" w:rsidR="003E17FE" w:rsidRPr="00451B62" w:rsidRDefault="003E17FE" w:rsidP="003E17FE">
            <w:pPr>
              <w:autoSpaceDE/>
              <w:autoSpaceDN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Lorenzo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Monterrubio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Ana María del Consuelo</w:t>
            </w:r>
          </w:p>
        </w:tc>
      </w:tr>
      <w:tr w:rsidR="003E17FE" w:rsidRPr="00451B62" w14:paraId="6B8570ED" w14:textId="77777777" w:rsidTr="00AE5C92">
        <w:trPr>
          <w:trHeight w:val="12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5BAB" w14:textId="2A29FDDA" w:rsidR="003E17FE" w:rsidRPr="00451B62" w:rsidRDefault="003E17FE" w:rsidP="003E17FE">
            <w:pPr>
              <w:autoSpaceDE/>
              <w:autoSpaceDN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Desarrollo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una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metodología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para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evaluación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voluntaria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efectividad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manejo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las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áreas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destinadas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voluntariamente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a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conservación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6465" w14:textId="27FC4C2B" w:rsidR="003E17FE" w:rsidRPr="00451B62" w:rsidRDefault="003E17FE" w:rsidP="003E17FE">
            <w:pPr>
              <w:autoSpaceDE/>
              <w:autoSpaceDN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Vo.bo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Asesores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Integrales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, S.C. /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Embajada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Francia.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A5626" w14:textId="1502DB66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300,000.00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7D961" w14:textId="29A7A05D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192,725.54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B3575" w14:textId="1EBFCE21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16/08/2021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E8D76" w14:textId="3F538043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16/02/2022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5DE67" w14:textId="016C4DA1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64%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FD0B" w14:textId="32EAD150" w:rsidR="003E17FE" w:rsidRPr="00451B62" w:rsidRDefault="003E17FE" w:rsidP="003E17FE">
            <w:pPr>
              <w:autoSpaceDE/>
              <w:autoSpaceDN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Ortega Argueta Alejandro</w:t>
            </w:r>
          </w:p>
        </w:tc>
      </w:tr>
      <w:tr w:rsidR="003E17FE" w:rsidRPr="00451B62" w14:paraId="153DADE9" w14:textId="77777777" w:rsidTr="00AE5C92">
        <w:trPr>
          <w:trHeight w:val="12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1D85" w14:textId="756CA9E6" w:rsidR="003E17FE" w:rsidRPr="00451B62" w:rsidRDefault="003E17FE" w:rsidP="003E17FE">
            <w:pPr>
              <w:autoSpaceDE/>
              <w:autoSpaceDN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Análisis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expresión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nivel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metilación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los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genes ins,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adipoq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fto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su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asociación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con microbiota intestinal 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síndrome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metabólico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adolescentes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zonas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marginadas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Chiapas.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6709" w14:textId="64BEDEF7" w:rsidR="003E17FE" w:rsidRPr="00451B62" w:rsidRDefault="003E17FE" w:rsidP="003E17FE">
            <w:pPr>
              <w:autoSpaceDE/>
              <w:autoSpaceDN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Biocodex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Microbiota Foundation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C9783" w14:textId="097C9C73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597,357.31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D7539" w14:textId="0C8A9EC7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113,429.80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6F6A0" w14:textId="3CF9F835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29/11/2021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0600B" w14:textId="5CB3E0C5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30/06/2023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17304" w14:textId="7BC2C565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19%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454E" w14:textId="7A1BC01B" w:rsidR="003E17FE" w:rsidRPr="00451B62" w:rsidRDefault="003E17FE" w:rsidP="003E17FE">
            <w:pPr>
              <w:autoSpaceDE/>
              <w:autoSpaceDN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Ochoa Díaz-López Héctor</w:t>
            </w:r>
          </w:p>
        </w:tc>
      </w:tr>
      <w:tr w:rsidR="003E17FE" w:rsidRPr="00451B62" w14:paraId="7699A8C0" w14:textId="77777777" w:rsidTr="00AE5C92">
        <w:trPr>
          <w:trHeight w:val="12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0902" w14:textId="15A5B4F0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Monitoreo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conservación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Mesoamérica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vinculando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el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conocimiento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indígena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local con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historia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natural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los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abejorros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9DFF" w14:textId="111B08AC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The Rufford Foundation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EF44F" w14:textId="55286BC6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₤6,000 ($158,338.00 pesos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mexicanos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F6F23" w14:textId="0ABB7B1A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14,400.00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775E4" w14:textId="556E44B3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01/01/2022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2A67D" w14:textId="024E5FF9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31/12/2022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9CA26" w14:textId="13C477E0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9%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EB3E" w14:textId="73378A7D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Vandame Remy Benoit Marie</w:t>
            </w:r>
          </w:p>
        </w:tc>
      </w:tr>
      <w:tr w:rsidR="003E17FE" w:rsidRPr="00451B62" w14:paraId="4865AF65" w14:textId="77777777" w:rsidTr="00AE5C92">
        <w:trPr>
          <w:trHeight w:val="9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BB7EB" w14:textId="34C8E482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Diagnostico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capacidades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digitales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comunidades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pesqueras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pequeña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escala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México.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C16A" w14:textId="19F315E3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Environmental Defense Fund de México (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EDF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7A98B" w14:textId="1D9B63F5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351,674.75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00F83" w14:textId="6D567436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141,634.00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00282" w14:textId="28B51D07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06/04/2022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D20F9" w14:textId="47274E1D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06/07/2022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6D1F1" w14:textId="49EC8DB2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40%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0CA17" w14:textId="1304B35E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Ramos Muñoz Dora Elia</w:t>
            </w:r>
          </w:p>
        </w:tc>
      </w:tr>
      <w:tr w:rsidR="003E17FE" w:rsidRPr="00451B62" w14:paraId="71B9C68D" w14:textId="77777777" w:rsidTr="005C2FFC">
        <w:trPr>
          <w:trHeight w:val="90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83C5" w14:textId="3661DE7D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lastRenderedPageBreak/>
              <w:t>Alianzas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para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el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corazonamiento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agroecología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DA63" w14:textId="63A123DF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Fundacion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Kellogg.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BB5D2" w14:textId="37EA0046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2,000,000.00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B2715" w14:textId="2719443D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33,485.00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70036" w14:textId="0F5BA497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01/05/2022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FD834" w14:textId="49C5F2D2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30/04/2024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632C2" w14:textId="4A014472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1D96" w14:textId="2DABA14E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Morales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Helda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Eleonora de Guadalupe</w:t>
            </w:r>
          </w:p>
        </w:tc>
      </w:tr>
      <w:tr w:rsidR="003E17FE" w:rsidRPr="00451B62" w14:paraId="66C2CECF" w14:textId="77777777" w:rsidTr="005C2FFC">
        <w:trPr>
          <w:trHeight w:val="998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FEDD" w14:textId="2C5809A6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Diversidad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funcional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taxonómica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las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aves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los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paisajes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antrópicos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región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los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altos de Chiapas. 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56DA" w14:textId="4876F6C0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THE RUFFORD FOUNDATION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8B8B2" w14:textId="16E50E9A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96,000.00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53CA" w14:textId="6C6DDE2B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53F08" w14:textId="4DF1089D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01/06/2022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FD6CB" w14:textId="32E44594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30/06/2023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00F20" w14:textId="7A4E10BC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0F3F" w14:textId="1FE4F190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Navarrete Gutiérrez Darío Alejandro</w:t>
            </w:r>
          </w:p>
        </w:tc>
      </w:tr>
      <w:tr w:rsidR="003E17FE" w:rsidRPr="00451B62" w14:paraId="481B84E4" w14:textId="77777777" w:rsidTr="005C2FFC">
        <w:trPr>
          <w:trHeight w:val="7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BCC1" w14:textId="2D13DF21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Programa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colaboración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salud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internacional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entre ECOSUR y Georgetown University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24FC" w14:textId="6E63C935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Georgetown University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9AE78" w14:textId="052AD664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2,342,085.06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6D9AE" w14:textId="576F6F9A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2,342,084.24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C8DF" w14:textId="69194667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16/12/2016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BD2A0" w14:textId="09AEC6FF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01/08/2016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2621" w14:textId="1114D57E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B04F" w14:textId="674F06BB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Ochoa Díaz-López Héctor</w:t>
            </w:r>
          </w:p>
        </w:tc>
      </w:tr>
      <w:tr w:rsidR="003E17FE" w:rsidRPr="00451B62" w14:paraId="2289ECA2" w14:textId="77777777" w:rsidTr="00AE5C92">
        <w:trPr>
          <w:trHeight w:val="15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EF86" w14:textId="5DC22A78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Evaluación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plantaciones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forestales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experimentales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estudio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mercado de dos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variedades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Ochroma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Pyramidale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el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trópico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húmedo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Chiapas y Campeche.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D992" w14:textId="7CE42511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CONACYT-FORDECYT-PRONACES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19379" w14:textId="576EF775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650,000.00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37634" w14:textId="57182E20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242,317.25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A7C49" w14:textId="55AE6DAC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06/11/2020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EDCBB" w14:textId="1FB2367A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06/11/2022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6AE19" w14:textId="12E0BBBE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37%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EFD0" w14:textId="528F1E32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Levy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Tacher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Samuel Israel</w:t>
            </w:r>
          </w:p>
        </w:tc>
      </w:tr>
      <w:tr w:rsidR="003E17FE" w:rsidRPr="00451B62" w14:paraId="1F2BF809" w14:textId="77777777" w:rsidTr="00AE5C92">
        <w:trPr>
          <w:trHeight w:val="15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D640" w14:textId="57864A84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sz w:val="18"/>
                <w:szCs w:val="18"/>
              </w:rPr>
              <w:t>Programa</w:t>
            </w:r>
            <w:proofErr w:type="spellEnd"/>
            <w:r w:rsidRPr="00451B62">
              <w:rPr>
                <w:rFonts w:ascii="Montserrat" w:hAnsi="Montserrat" w:cs="Calibri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sz w:val="18"/>
                <w:szCs w:val="18"/>
              </w:rPr>
              <w:t>salud</w:t>
            </w:r>
            <w:proofErr w:type="spellEnd"/>
            <w:r w:rsidRPr="00451B62">
              <w:rPr>
                <w:rFonts w:ascii="Montserrat" w:hAnsi="Montserrat" w:cs="Calibri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sz w:val="18"/>
                <w:szCs w:val="18"/>
              </w:rPr>
              <w:t>ambiental</w:t>
            </w:r>
            <w:proofErr w:type="spellEnd"/>
            <w:r w:rsidRPr="00451B62">
              <w:rPr>
                <w:rFonts w:ascii="Montserrat" w:hAnsi="Montserrat" w:cs="Calibri"/>
                <w:sz w:val="18"/>
                <w:szCs w:val="18"/>
              </w:rPr>
              <w:t xml:space="preserve"> para la </w:t>
            </w:r>
            <w:proofErr w:type="spellStart"/>
            <w:r w:rsidRPr="00451B62">
              <w:rPr>
                <w:rFonts w:ascii="Montserrat" w:hAnsi="Montserrat" w:cs="Calibri"/>
                <w:sz w:val="18"/>
                <w:szCs w:val="18"/>
              </w:rPr>
              <w:t>disminución</w:t>
            </w:r>
            <w:proofErr w:type="spellEnd"/>
            <w:r w:rsidRPr="00451B62">
              <w:rPr>
                <w:rFonts w:ascii="Montserrat" w:hAnsi="Montserrat" w:cs="Calibri"/>
                <w:sz w:val="18"/>
                <w:szCs w:val="18"/>
              </w:rPr>
              <w:t xml:space="preserve"> de las </w:t>
            </w:r>
            <w:proofErr w:type="spellStart"/>
            <w:r w:rsidRPr="00451B62">
              <w:rPr>
                <w:rFonts w:ascii="Montserrat" w:hAnsi="Montserrat" w:cs="Calibri"/>
                <w:sz w:val="18"/>
                <w:szCs w:val="18"/>
              </w:rPr>
              <w:t>desigualdades</w:t>
            </w:r>
            <w:proofErr w:type="spellEnd"/>
            <w:r w:rsidRPr="00451B62">
              <w:rPr>
                <w:rFonts w:ascii="Montserrat" w:hAnsi="Montserrat" w:cs="Calibri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sz w:val="18"/>
                <w:szCs w:val="18"/>
              </w:rPr>
              <w:t>socioambientales</w:t>
            </w:r>
            <w:proofErr w:type="spellEnd"/>
            <w:r w:rsidRPr="00451B62">
              <w:rPr>
                <w:rFonts w:ascii="Montserrat" w:hAnsi="Montserrat" w:cs="Calibri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sz w:val="18"/>
                <w:szCs w:val="18"/>
              </w:rPr>
              <w:t>derivadas</w:t>
            </w:r>
            <w:proofErr w:type="spellEnd"/>
            <w:r w:rsidRPr="00451B62">
              <w:rPr>
                <w:rFonts w:ascii="Montserrat" w:hAnsi="Montserrat" w:cs="Calibri"/>
                <w:sz w:val="18"/>
                <w:szCs w:val="18"/>
              </w:rPr>
              <w:t xml:space="preserve"> de la </w:t>
            </w:r>
            <w:proofErr w:type="spellStart"/>
            <w:r w:rsidRPr="00451B62">
              <w:rPr>
                <w:rFonts w:ascii="Montserrat" w:hAnsi="Montserrat" w:cs="Calibri"/>
                <w:sz w:val="18"/>
                <w:szCs w:val="18"/>
              </w:rPr>
              <w:t>exposición</w:t>
            </w:r>
            <w:proofErr w:type="spellEnd"/>
            <w:r w:rsidRPr="00451B62">
              <w:rPr>
                <w:rFonts w:ascii="Montserrat" w:hAnsi="Montserrat" w:cs="Calibri"/>
                <w:sz w:val="18"/>
                <w:szCs w:val="18"/>
              </w:rPr>
              <w:t xml:space="preserve"> a </w:t>
            </w:r>
            <w:proofErr w:type="spellStart"/>
            <w:r w:rsidRPr="00451B62">
              <w:rPr>
                <w:rFonts w:ascii="Montserrat" w:hAnsi="Montserrat" w:cs="Calibri"/>
                <w:sz w:val="18"/>
                <w:szCs w:val="18"/>
              </w:rPr>
              <w:t>contaminantes</w:t>
            </w:r>
            <w:proofErr w:type="spellEnd"/>
            <w:r w:rsidRPr="00451B62">
              <w:rPr>
                <w:rFonts w:ascii="Montserrat" w:hAnsi="Montserrat" w:cs="Calibri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sz w:val="18"/>
                <w:szCs w:val="18"/>
              </w:rPr>
              <w:t xml:space="preserve"> la </w:t>
            </w:r>
            <w:proofErr w:type="spellStart"/>
            <w:r w:rsidRPr="00451B62">
              <w:rPr>
                <w:rFonts w:ascii="Montserrat" w:hAnsi="Montserrat" w:cs="Calibri"/>
                <w:sz w:val="18"/>
                <w:szCs w:val="18"/>
              </w:rPr>
              <w:t>región</w:t>
            </w:r>
            <w:proofErr w:type="spellEnd"/>
            <w:r w:rsidRPr="00451B62">
              <w:rPr>
                <w:rFonts w:ascii="Montserrat" w:hAnsi="Montserrat" w:cs="Calibri"/>
                <w:sz w:val="18"/>
                <w:szCs w:val="18"/>
              </w:rPr>
              <w:t xml:space="preserve"> de Coatzacoalcos-Minatitlan-</w:t>
            </w:r>
            <w:proofErr w:type="spellStart"/>
            <w:r w:rsidRPr="00451B62">
              <w:rPr>
                <w:rFonts w:ascii="Montserrat" w:hAnsi="Montserrat" w:cs="Calibri"/>
                <w:sz w:val="18"/>
                <w:szCs w:val="18"/>
              </w:rPr>
              <w:t>Jaltipan</w:t>
            </w:r>
            <w:proofErr w:type="spellEnd"/>
            <w:r w:rsidRPr="00451B62">
              <w:rPr>
                <w:rFonts w:ascii="Montserrat" w:hAnsi="Montserrat" w:cs="Calibri"/>
                <w:sz w:val="18"/>
                <w:szCs w:val="18"/>
              </w:rPr>
              <w:t xml:space="preserve"> de Morelos, Veracruz.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0F17" w14:textId="55E58870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sz w:val="18"/>
                <w:szCs w:val="18"/>
              </w:rPr>
              <w:t>Consejo</w:t>
            </w:r>
            <w:proofErr w:type="spellEnd"/>
            <w:r w:rsidRPr="00451B62">
              <w:rPr>
                <w:rFonts w:ascii="Montserrat" w:hAnsi="Montserrat" w:cs="Calibri"/>
                <w:sz w:val="18"/>
                <w:szCs w:val="18"/>
              </w:rPr>
              <w:t xml:space="preserve"> Nacional de </w:t>
            </w:r>
            <w:proofErr w:type="spellStart"/>
            <w:r w:rsidRPr="00451B62">
              <w:rPr>
                <w:rFonts w:ascii="Montserrat" w:hAnsi="Montserrat" w:cs="Calibri"/>
                <w:sz w:val="18"/>
                <w:szCs w:val="18"/>
              </w:rPr>
              <w:t>Ciencia</w:t>
            </w:r>
            <w:proofErr w:type="spellEnd"/>
            <w:r w:rsidRPr="00451B62">
              <w:rPr>
                <w:rFonts w:ascii="Montserrat" w:hAnsi="Montserrat" w:cs="Calibri"/>
                <w:sz w:val="18"/>
                <w:szCs w:val="18"/>
              </w:rPr>
              <w:t xml:space="preserve"> y </w:t>
            </w:r>
            <w:proofErr w:type="spellStart"/>
            <w:r w:rsidRPr="00451B62">
              <w:rPr>
                <w:rFonts w:ascii="Montserrat" w:hAnsi="Montserrat" w:cs="Calibri"/>
                <w:sz w:val="18"/>
                <w:szCs w:val="18"/>
              </w:rPr>
              <w:t>Tecnología</w:t>
            </w:r>
            <w:proofErr w:type="spellEnd"/>
            <w:r w:rsidRPr="00451B62">
              <w:rPr>
                <w:rFonts w:ascii="Montserrat" w:hAnsi="Montserrat" w:cs="Calibri"/>
                <w:sz w:val="18"/>
                <w:szCs w:val="18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6EE40" w14:textId="61B00C66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sz w:val="18"/>
                <w:szCs w:val="18"/>
              </w:rPr>
              <w:t>14,016,000.00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EE1B2" w14:textId="39D88B7B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sz w:val="18"/>
                <w:szCs w:val="18"/>
              </w:rPr>
              <w:t>4,022.00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53857" w14:textId="436BD323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sz w:val="18"/>
                <w:szCs w:val="18"/>
              </w:rPr>
              <w:t>25/03/2022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F30CF" w14:textId="1A8FBD4F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sz w:val="18"/>
                <w:szCs w:val="18"/>
              </w:rPr>
              <w:t>30/11/2024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02874" w14:textId="175E4024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A6E9" w14:textId="15CF60A6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Torres Dosal Arturo</w:t>
            </w:r>
          </w:p>
        </w:tc>
      </w:tr>
      <w:tr w:rsidR="003E17FE" w:rsidRPr="00451B62" w14:paraId="59FCBEDC" w14:textId="77777777" w:rsidTr="00AE5C92">
        <w:trPr>
          <w:trHeight w:val="12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3E5E" w14:textId="4FBB834A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Abejas 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territorios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fortalecimiento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acción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colectiva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apicultoras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apicultores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territorios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con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diversidad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biocultural de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península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Yucatán para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transitar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hacia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regímenes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socioambientales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más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equitativos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sostenibles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98D5" w14:textId="67A8968E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CONACYT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3E072" w14:textId="49A4BC46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3,984,000.00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650AD" w14:textId="4FD7987A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1EB4B" w14:textId="1D01725D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20/04/2022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C6C0C" w14:textId="5B8D1ECB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30/11/2024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9CCFF" w14:textId="4FE336C0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14CD" w14:textId="5AB837E5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Vandame Remy Benoit Marie</w:t>
            </w:r>
          </w:p>
        </w:tc>
      </w:tr>
      <w:tr w:rsidR="003E17FE" w:rsidRPr="00451B62" w14:paraId="278858E2" w14:textId="77777777" w:rsidTr="005C2FFC">
        <w:trPr>
          <w:trHeight w:val="47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2D536" w14:textId="6845255B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lastRenderedPageBreak/>
              <w:t>Sistemas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socioecológicos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sustentables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territorios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cafetaleros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del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sureste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México,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segunda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fase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.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69E9" w14:textId="3FB6F3BE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CONACYT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DDBB2" w14:textId="68B19823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6,000,000.00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22384" w14:textId="002667F0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94F5A" w14:textId="5C6E00E8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06/05/2022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605B6" w14:textId="0325B042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30/11/2024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0509" w14:textId="57E78C06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C1617" w14:textId="68F396EC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Soto Pinto Maria Lorena</w:t>
            </w:r>
          </w:p>
        </w:tc>
      </w:tr>
      <w:tr w:rsidR="003E17FE" w:rsidRPr="00451B62" w14:paraId="53A6CC45" w14:textId="77777777" w:rsidTr="005C2FFC">
        <w:trPr>
          <w:trHeight w:val="74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6987D" w14:textId="63F1DD49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Escenarios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riesgo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zoonótico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el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neotrópico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mexicano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uso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modelos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nulos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CAB4" w14:textId="50C31588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CONACYT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12652" w14:textId="671DDE57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679,219.00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7E3D7" w14:textId="7FE7AAEF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C96F5" w14:textId="75959246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18/05/2022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0566" w14:textId="06198696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30/11/2022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41670" w14:textId="1C4CE569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D8E3E" w14:textId="4D09BA78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Lorenzo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Monterrubio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Ana Maria del Consuelo</w:t>
            </w:r>
          </w:p>
        </w:tc>
      </w:tr>
      <w:tr w:rsidR="003E17FE" w:rsidRPr="00451B62" w14:paraId="4487B49E" w14:textId="77777777" w:rsidTr="00AE5C92">
        <w:trPr>
          <w:trHeight w:val="12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548C" w14:textId="094378D2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Manejo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sustentable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polinizadores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estatus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actual,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factores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riesgo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estrategias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para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el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aprovechamiento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las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abejas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meliferas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silvestres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sistemas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agricultura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protegida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cultivos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a campo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abierto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México.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64C2" w14:textId="7C7EC0FD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CONACYT-Fondo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Sectorial </w:t>
            </w:r>
            <w:proofErr w:type="spellStart"/>
            <w:proofErr w:type="gram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SAGARPA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(</w:t>
            </w:r>
            <w:proofErr w:type="gram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UNAM MORELIA)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D67E1" w14:textId="25BEACA9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7,118,000.00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6F0E3" w14:textId="1EF2A7E3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6,883,473.06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41F9D" w14:textId="5E1F76CC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05/04/2018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D9A23" w14:textId="781D46F3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14/03/2021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EEADC" w14:textId="1637C620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D1F7" w14:textId="74B87830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Vandame Remy Benoit Marie</w:t>
            </w:r>
          </w:p>
        </w:tc>
      </w:tr>
      <w:tr w:rsidR="003E17FE" w:rsidRPr="00451B62" w14:paraId="4F7AA0C3" w14:textId="77777777" w:rsidTr="00AE5C92">
        <w:trPr>
          <w:trHeight w:val="15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DA9B" w14:textId="63E7BCFA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Ciclo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doméstico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peridoméstico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silvestre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ecología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enfermedad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Chagas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regiones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focalizadas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Oaxaca y Chiapas, México.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318B" w14:textId="4C49A041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Consejo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Nacional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Ciencia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Tecnología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4750A" w14:textId="3F95CADC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1,378,224.00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AEEC6" w14:textId="70942D50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628,409.61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72294" w14:textId="7F9B5CA1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08/01/2020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68352" w14:textId="063D9563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05/09/2022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8CEDC" w14:textId="0398A50D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46%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A13E" w14:textId="12008C0A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Ochoa Díaz-López Héctor</w:t>
            </w:r>
          </w:p>
        </w:tc>
      </w:tr>
      <w:tr w:rsidR="003E17FE" w:rsidRPr="00451B62" w14:paraId="5E4FCAA6" w14:textId="77777777" w:rsidTr="00AE5C92">
        <w:trPr>
          <w:trHeight w:val="21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3F7E" w14:textId="3A090478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Impacto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del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uso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los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plaguicidas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los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cultivos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genéticamente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modificados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utilizados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agricultura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altamente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tecnificada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sobre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diversidad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insectos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polinizadores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seis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regiones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México.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98C6" w14:textId="06FD4936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CONACYT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SEMARNAT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88CB" w14:textId="3DEE5962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1,322,850.00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7BBAC" w14:textId="7BE7EA5A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440,729.52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8CEE" w14:textId="0B16722A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08/01/2020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638F7" w14:textId="77266549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30/07/2021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1F8A" w14:textId="17088BEC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D9BB" w14:textId="3DEC8D83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Vandame Remy Benoit Marie</w:t>
            </w:r>
          </w:p>
        </w:tc>
      </w:tr>
      <w:tr w:rsidR="003E17FE" w:rsidRPr="00451B62" w14:paraId="7C7349F8" w14:textId="77777777" w:rsidTr="00AE5C92">
        <w:trPr>
          <w:trHeight w:val="9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3BEA" w14:textId="36FDBDF2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proofErr w:type="gram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lastRenderedPageBreak/>
              <w:t>Distribución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 y</w:t>
            </w:r>
            <w:proofErr w:type="gram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dinámica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poblacional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escarabajos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exóticos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invasores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ante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escenarios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cambio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climático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el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sur de México.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5248" w14:textId="3F6CC135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CONACYT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SEMARNAT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A5890" w14:textId="4A3CF55B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955,700.00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4864C" w14:textId="1F9D7B81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284,862.82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0E05B" w14:textId="7797B65D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08/01/2020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BFF98" w14:textId="123BF7F6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30/07/2021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91959" w14:textId="21A45AAE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29%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4ED6" w14:textId="39379589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León Cortés Jorge Leonel</w:t>
            </w:r>
          </w:p>
        </w:tc>
      </w:tr>
      <w:tr w:rsidR="003E17FE" w:rsidRPr="00451B62" w14:paraId="3E075809" w14:textId="77777777" w:rsidTr="005C2FFC">
        <w:trPr>
          <w:trHeight w:val="107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B450" w14:textId="247077D2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Manejo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colonia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cría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masiva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para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aplicación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la TIE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moscas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fruta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del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género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anastrepha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5F9E" w14:textId="09B17EF8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Organismo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Internacional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Energía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Atómica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C024B" w14:textId="7960B519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824,175.81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0E58A" w14:textId="0E108B74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353,897.83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2C75C" w14:textId="2BC28EEC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12/04/2018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6E160" w14:textId="61F1CCE6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11/04/2023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0E842" w14:textId="144E733E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43%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AF149" w14:textId="20A7C347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Liedo Fernández José Pablo</w:t>
            </w:r>
          </w:p>
        </w:tc>
      </w:tr>
      <w:tr w:rsidR="003E17FE" w:rsidRPr="00451B62" w14:paraId="5840CCE0" w14:textId="77777777" w:rsidTr="00AE5C92">
        <w:trPr>
          <w:trHeight w:val="18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14EE" w14:textId="5EFB45A5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Interaction between </w:t>
            </w:r>
            <w:proofErr w:type="gram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orchid 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mycorrizae</w:t>
            </w:r>
            <w:proofErr w:type="spellEnd"/>
            <w:proofErr w:type="gram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lasiodiplodia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sp., fungal pathogen of the endangered, epiphytic orchid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guarianthe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skinneri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bateman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) dressier &amp; we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higgins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, in southwest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mexico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C920" w14:textId="68ABB663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gram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The  American</w:t>
            </w:r>
            <w:proofErr w:type="gram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Orchid Society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4A239" w14:textId="1E80DFF0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157,985.30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03721" w14:textId="511BCA36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157,985.30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FBF55" w14:textId="32295328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06/09/2018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C119F" w14:textId="766801B1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30/03/2021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CD043" w14:textId="0F15CD2E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6978" w14:textId="526D0426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Damon Anne Ashby</w:t>
            </w:r>
          </w:p>
        </w:tc>
      </w:tr>
      <w:tr w:rsidR="003E17FE" w:rsidRPr="00451B62" w14:paraId="59E83D0F" w14:textId="77777777" w:rsidTr="005C2FFC">
        <w:trPr>
          <w:trHeight w:val="73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94A1" w14:textId="3B45069D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Effect of insect domestication on the performance of sterile fruit flies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AEF8" w14:textId="621B8296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Organismo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Internacional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Energía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Atómica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F28B4" w14:textId="546D8E41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297,963.51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353D" w14:textId="09F744AF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132,492.27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C59AD" w14:textId="6E12A4B8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27/01/2021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906A2" w14:textId="5C461B0E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20/01/2023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44F4" w14:textId="0888DDCD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44%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FEC8" w14:textId="05B1C2AA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Toledo Arreola Jorge</w:t>
            </w:r>
          </w:p>
        </w:tc>
      </w:tr>
      <w:tr w:rsidR="003E17FE" w:rsidRPr="00451B62" w14:paraId="0A0D607E" w14:textId="77777777" w:rsidTr="005C2FFC">
        <w:trPr>
          <w:trHeight w:val="99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52C6" w14:textId="0F85A849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gram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Development  and</w:t>
            </w:r>
            <w:proofErr w:type="gram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evaluation of quality control methods for the application of the sit in Aedes Aegypti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461A" w14:textId="1595B8A9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Organismo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Internacional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Energía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Atómica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53AEC" w14:textId="2BD9F174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726,488.75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243A7" w14:textId="6310C29C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40,826.00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484A" w14:textId="1506C1DA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13/04/2020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42AEE" w14:textId="3F47803E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30/06/2025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FC375" w14:textId="350F9F45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6%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0E8E" w14:textId="335DDE41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Dor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Roques Ariane Liliane Jeanne</w:t>
            </w:r>
          </w:p>
        </w:tc>
      </w:tr>
      <w:tr w:rsidR="003E17FE" w:rsidRPr="00451B62" w14:paraId="79F1287D" w14:textId="77777777" w:rsidTr="00AE5C92">
        <w:trPr>
          <w:trHeight w:val="12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66DD" w14:textId="33242254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Cartografias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complejidad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transfronteriza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: Puentes entre Frontera Sur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02C2" w14:textId="0C45CBA2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CONACYT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-UC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MEXUS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4711E" w14:textId="6CA1B488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181,055.09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45EEC" w14:textId="1297A578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45,420.71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A411A" w14:textId="5EB39AF9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01/04/2021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05338" w14:textId="2B4D2D02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30/09/2022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955DD7" w14:textId="4AC46471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DA6B" w14:textId="6B4E1E29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Porraz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Gómez Iván Francisco</w:t>
            </w:r>
          </w:p>
        </w:tc>
      </w:tr>
      <w:tr w:rsidR="003E17FE" w:rsidRPr="00451B62" w14:paraId="4A1E5F0D" w14:textId="77777777" w:rsidTr="00AE5C92">
        <w:trPr>
          <w:trHeight w:val="15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39A6" w14:textId="2EE8064E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lastRenderedPageBreak/>
              <w:t>Evaluación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integral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los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cambios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servicios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ecosistémicos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biodiversidad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medios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vida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esperados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; bajo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distintos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escenarios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cambios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uso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suelo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los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principales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territorios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cafetaleros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México.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60E8" w14:textId="1646981C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Instituto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Ecología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, A.C.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588B0" w14:textId="2D461F5F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462,320.00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98AB4" w14:textId="762E5800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229,386.97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AC8CC" w14:textId="6AF2E5B1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04/10/2021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616CC" w14:textId="0362B483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20/05/2022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55E09" w14:textId="7CB3A6C8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5583" w14:textId="13123268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Barrera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Gaytán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Juan Francisco</w:t>
            </w:r>
          </w:p>
        </w:tc>
      </w:tr>
      <w:tr w:rsidR="003E17FE" w:rsidRPr="00451B62" w14:paraId="1619BB07" w14:textId="77777777" w:rsidTr="005C2FFC">
        <w:trPr>
          <w:trHeight w:val="1138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551C" w14:textId="3C247B0D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Development and optimization of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infochemical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-derived lures for monitoring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anastrepha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fruit files.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CF6B" w14:textId="5E916F32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Organismo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Internacional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Energía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Atómica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3F0D8" w14:textId="0C63CA54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703,229.38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B786B" w14:textId="6B55A0F9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56,008.95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77490" w14:textId="4F0D73F5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24/09/2021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FB466" w14:textId="52264F73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23/10/2026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858BC" w14:textId="22C2D9A1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8%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2086" w14:textId="2823A9B7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Rojas León Julio César</w:t>
            </w:r>
          </w:p>
        </w:tc>
      </w:tr>
      <w:tr w:rsidR="003E17FE" w:rsidRPr="00451B62" w14:paraId="120F1BAF" w14:textId="77777777" w:rsidTr="005C2FFC">
        <w:trPr>
          <w:trHeight w:val="111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8C93E" w14:textId="7B329C1B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Estrategias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control de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mosca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doméstica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(Musca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doméstica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L.)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mediante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semioquímicos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3739" w14:textId="5F9BB4B6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Grupo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Herquesa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, S. A. de C. V.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C6E89" w14:textId="7370A286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464,000.00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935AA" w14:textId="4317EAE9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197,721.99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CA7EE" w14:textId="079BCCC8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14/02/2020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321E2" w14:textId="7F0BC9DA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13/02/2022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7E5CB" w14:textId="024BAF0E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43%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7EFA" w14:textId="2C874D21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Malo Rivera Edi Alvaro</w:t>
            </w:r>
          </w:p>
        </w:tc>
      </w:tr>
      <w:tr w:rsidR="003E17FE" w:rsidRPr="00451B62" w14:paraId="707A410C" w14:textId="77777777" w:rsidTr="005C2FFC">
        <w:trPr>
          <w:trHeight w:val="156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BA66" w14:textId="5DA6C8CD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Efecto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densidad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liberadores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feromona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sexual 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el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mecanismo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comportamental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interrupción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del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apareamiento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los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adultos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del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gusano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cogollero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D33E" w14:textId="62723AD6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Provivi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Pheromones de México, S. A. de C. V.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0B27C" w14:textId="5347FFD4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129,665.96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2B65" w14:textId="0C2E4AED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18,498.15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98E31" w14:textId="66FD1094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30/09/2021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0D919" w14:textId="1571FD99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31/05/2022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5721F" w14:textId="511A8569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14%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C12A" w14:textId="017CFB25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Malo Rivera Edi Alvaro</w:t>
            </w:r>
          </w:p>
        </w:tc>
      </w:tr>
      <w:tr w:rsidR="003E17FE" w:rsidRPr="00451B62" w14:paraId="35DD443A" w14:textId="77777777" w:rsidTr="00AE5C92">
        <w:trPr>
          <w:trHeight w:val="12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4C91" w14:textId="32BB606E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Desarrollo de bases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datos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recursos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bioinformáticos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novedosos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para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el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análisis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metagenómico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masivo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metazoa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más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allá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una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forma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fácil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estudiar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diversidad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alfa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los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bosques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tropicales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México.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1D09" w14:textId="596F3952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CONACYT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-ECOSUR- Instituto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Biología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, UNAM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2AB41" w14:textId="1AF6F092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3,053,061.00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08CF1" w14:textId="0E77D0E2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1,113,290.20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D976" w14:textId="2595184A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20/10/2020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24A87" w14:textId="63D18C79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20/10/2023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1DB89" w14:textId="7906E3A2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36%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DCF9" w14:textId="1857AA5A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Zarza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Franco Guadalupe Eugenia</w:t>
            </w:r>
          </w:p>
        </w:tc>
      </w:tr>
      <w:tr w:rsidR="003E17FE" w:rsidRPr="00451B62" w14:paraId="3B30476A" w14:textId="77777777" w:rsidTr="005C2FFC">
        <w:trPr>
          <w:trHeight w:val="161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4402" w14:textId="762EF2C4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lastRenderedPageBreak/>
              <w:t>Influencia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infección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por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trypanosoma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cruzi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comunicación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intra-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específica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chinches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chagasicas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: un primer paso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hacia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prevención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enfermedad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Chagas      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B987" w14:textId="022452A0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CONACYT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-UNAM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A1761" w14:textId="46827CB2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572,610.00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CBF0" w14:textId="16F697D4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100,859.11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F9F03" w14:textId="0D2B5E5C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23/11/2020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4146C" w14:textId="53CFA7B1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22/11/2023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06760" w14:textId="60611AF3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17%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962F" w14:textId="0853BA77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Cruz López Leopoldo Caridad</w:t>
            </w:r>
          </w:p>
        </w:tc>
      </w:tr>
      <w:tr w:rsidR="003E17FE" w:rsidRPr="00451B62" w14:paraId="70ED6E75" w14:textId="77777777" w:rsidTr="005C2FFC">
        <w:trPr>
          <w:trHeight w:val="1419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8C24" w14:textId="0F252713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Virus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plantas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aguas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residuales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superficiales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: ¿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indicadores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calidad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del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agua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o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amenazas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para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agricultura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?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2ABA" w14:textId="1F58AE17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CONACYT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CFFC2" w14:textId="281B65F3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526,320.00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7551" w14:textId="3E22DA98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D74FA" w14:textId="5A28BF5A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29/04/2022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D586A" w14:textId="6841BA22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30/11/2022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599D2" w14:textId="3C8E8D68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F9C9" w14:textId="43D3AD91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Guillén Navarro Griselda Karina</w:t>
            </w:r>
          </w:p>
        </w:tc>
      </w:tr>
      <w:tr w:rsidR="00451B62" w:rsidRPr="00451B62" w14:paraId="0A3AD446" w14:textId="77777777" w:rsidTr="005C2FFC">
        <w:trPr>
          <w:trHeight w:val="127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618F" w14:textId="2AB664E6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Marcos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normativos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morales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las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prácticas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los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derechos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humanos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atención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a la población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migrante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frontera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sur de México.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89BB" w14:textId="3249A180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CONACYT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AC284" w14:textId="4DC56C16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285,600.00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3E42" w14:textId="29D077DD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25102" w14:textId="3D931408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18/05/2022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A63D6" w14:textId="4E7439F7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30/11/2022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4E5BA" w14:textId="5BE0A85F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FA5E" w14:textId="54A83713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Kuromiya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Aki</w:t>
            </w:r>
          </w:p>
        </w:tc>
      </w:tr>
      <w:tr w:rsidR="003E17FE" w:rsidRPr="00451B62" w14:paraId="661B2936" w14:textId="77777777" w:rsidTr="005C2FFC">
        <w:trPr>
          <w:trHeight w:val="107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3908" w14:textId="5455C9B0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Estudio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ecología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sensorial del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picudo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la soya (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rhyssomatus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nigerrimus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fahraeus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92D8" w14:textId="7A275374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CONACYT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-Instituto Nacional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Investigaciones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Forestales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Agrícolas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Pecuarias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41F04" w14:textId="51B98645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652,630.00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BF48" w14:textId="5560EC18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329,618.51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51D67" w14:textId="024E2532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12/06/2020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5AFA4" w14:textId="0AF5A5CA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15/01/2023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FFB65" w14:textId="0CE5F9D3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51%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4335" w14:textId="6DADCA0A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Cruz López Leopoldo Caridad</w:t>
            </w:r>
          </w:p>
        </w:tc>
      </w:tr>
      <w:tr w:rsidR="003E17FE" w:rsidRPr="00451B62" w14:paraId="46C7D5A7" w14:textId="77777777" w:rsidTr="00AE5C92">
        <w:trPr>
          <w:trHeight w:val="12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D81B" w14:textId="3F2CCDA2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Agua 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vulnerabilidad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sociedades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frágiles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5554" w14:textId="34D9974B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Facultad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Ciencias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Sociales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, Universidad de Helsinki, Finlandia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16954" w14:textId="1A8DF11D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1,029,764.14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B858" w14:textId="5267A958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1,029,764.14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6F955" w14:textId="6DD87D91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01/06/2018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2B57" w14:textId="25561365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01/06/2022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36D04" w14:textId="7232DCEF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0613" w14:textId="2452B576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Ramos Muñoz Dora Elia</w:t>
            </w:r>
          </w:p>
        </w:tc>
      </w:tr>
      <w:tr w:rsidR="003E17FE" w:rsidRPr="00451B62" w14:paraId="2FD4823F" w14:textId="77777777" w:rsidTr="005C2FFC">
        <w:trPr>
          <w:trHeight w:val="118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3DD5" w14:textId="1408346E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From traditional uses to an integrated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valorisation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of sediments in the Usumacinta River Basin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103D" w14:textId="19D01B28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CONACYT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-Centro del Cambio Global y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Sustentabilidad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el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Sureste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A.C.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4B161" w14:textId="5FAE940A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1,287,319.20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59913" w14:textId="47721A8D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1,233,749.45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E48A4" w14:textId="7F7161AB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01/06/2018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59426" w14:textId="3BBCE424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28/02/2021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11DBE" w14:textId="58891F34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96%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D4BE" w14:textId="1F7EFDD6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Van der Wal Johannes Cornelis</w:t>
            </w:r>
          </w:p>
        </w:tc>
      </w:tr>
      <w:tr w:rsidR="003E17FE" w:rsidRPr="00451B62" w14:paraId="4CC14DB8" w14:textId="77777777" w:rsidTr="00AE5C92">
        <w:trPr>
          <w:trHeight w:val="9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8315" w14:textId="65DCBC74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lastRenderedPageBreak/>
              <w:t xml:space="preserve">Resilient People, Resilient Ecosystems </w:t>
            </w:r>
            <w:proofErr w:type="gram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In</w:t>
            </w:r>
            <w:proofErr w:type="gram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Smart Cities (Respires)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6817" w14:textId="60369371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CONACYT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-Universidad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Autónoma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Metropolitana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Unidad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Cuajimalpa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FFB52" w14:textId="28C34612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225,000.00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93EC6" w14:textId="6663E938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143,025.76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FE6E" w14:textId="21F6EA87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16/01/2020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2AD41" w14:textId="18900713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16/11/2022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D9B02" w14:textId="686C290F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64%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9A6E" w14:textId="18701764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Mesa Jurado María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Azahara</w:t>
            </w:r>
            <w:proofErr w:type="spellEnd"/>
          </w:p>
        </w:tc>
      </w:tr>
      <w:tr w:rsidR="003E17FE" w:rsidRPr="00451B62" w14:paraId="10833556" w14:textId="77777777" w:rsidTr="00AE5C92">
        <w:trPr>
          <w:trHeight w:val="12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6AEE" w14:textId="1F3E233C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Metabolismo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del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ecosistema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ríos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tropicales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: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influencia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estacionalidad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hidrológica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y las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presiones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humanas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F331" w14:textId="2DDA6859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CONACYT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- University of Georgia, Sam Houston University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F8AA0" w14:textId="2EE1F6F9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3,150,000.00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5DE37" w14:textId="2DCC83BA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1,436,206.70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A9F67" w14:textId="19E6452C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03/11/2020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1E777" w14:textId="31F87137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03/11/2023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9B126" w14:textId="231C28B8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46%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CE62" w14:textId="0A52D73D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Castillo Uzcanga María Mercedes</w:t>
            </w:r>
          </w:p>
        </w:tc>
      </w:tr>
      <w:tr w:rsidR="003E17FE" w:rsidRPr="00451B62" w14:paraId="5E0323AB" w14:textId="77777777" w:rsidTr="00AE5C92">
        <w:trPr>
          <w:trHeight w:val="12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CC68" w14:textId="27180213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Ensamblaje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anotación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funcional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genomas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los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murciélagos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endémicos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mexicanos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730C" w14:textId="5F144E3E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CONACYT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-Instituto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Politécnico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Nacional y El Colegio de la Frontera Sur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4EDB" w14:textId="290A9B55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659,138.00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2E394" w14:textId="16F5DA8E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114,839.46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16B33" w14:textId="70CE48C8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20/05/2021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A5379" w14:textId="34CB20A3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19/05/2023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141E4" w14:textId="6FAFC9FB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17%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A81D" w14:textId="45E487F0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Castellanos Morales Gabriela</w:t>
            </w:r>
          </w:p>
        </w:tc>
      </w:tr>
      <w:tr w:rsidR="003E17FE" w:rsidRPr="00451B62" w14:paraId="01BA1469" w14:textId="77777777" w:rsidTr="005C2FFC">
        <w:trPr>
          <w:trHeight w:val="150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4DBC" w14:textId="6B3FCF70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Descifrando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el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microbioma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piel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ajolotes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y las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consecuencias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interacción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br w:type="page"/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huésped-microbioma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sobre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una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enfermedad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letal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emergente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ED60" w14:textId="0A05DFF2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CONACYT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-Centro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Ciencias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Genómicas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UNAM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57209" w14:textId="1E6CFBE4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21,000.00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AE57" w14:textId="56081D6A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20,978.32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12F1A" w14:textId="105D3F35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06/01/2021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B6B7" w14:textId="644E839B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06/01/2023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63BC8" w14:textId="331BC9B8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556D" w14:textId="4C166DB6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Castellanos Morales Gabriela</w:t>
            </w:r>
          </w:p>
        </w:tc>
      </w:tr>
      <w:tr w:rsidR="003E17FE" w:rsidRPr="00451B62" w14:paraId="6D3509DE" w14:textId="77777777" w:rsidTr="00AE5C92">
        <w:trPr>
          <w:trHeight w:val="18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C381" w14:textId="137BBF1A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Plataforma multi-actor para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democratización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energética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desde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iniciativas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economía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social 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solidaria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comunidades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rurales-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urbanas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Tabasco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1105" w14:textId="0D5F1613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CONACYT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3BF8A" w14:textId="13DE9146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2,800,000.00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D8FE" w14:textId="5C77F103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62,961.17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C432A" w14:textId="0065DDFB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23/03/2022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9999E" w14:textId="5F018A26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30/11/2022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729E1" w14:textId="591DB4D6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4A4C" w14:textId="63AF6695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Van Der Wal Johannes Cornelis</w:t>
            </w:r>
          </w:p>
        </w:tc>
      </w:tr>
      <w:tr w:rsidR="003E17FE" w:rsidRPr="00451B62" w14:paraId="3FA605EA" w14:textId="77777777" w:rsidTr="005C2FFC">
        <w:trPr>
          <w:trHeight w:val="161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75B2" w14:textId="5AFF5119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lastRenderedPageBreak/>
              <w:t xml:space="preserve">El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impacto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megaproyectos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sistemas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socioecológicos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desde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una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perspectiva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transdisciplinaria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el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programa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desarrollo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integral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los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territorios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del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tren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maya.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04A7" w14:textId="0FD7064D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CONACYT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77674" w14:textId="47195FC2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2,000,000.00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F651" w14:textId="337B80A0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13,096.95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1416B" w14:textId="24024A3A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31/01/2022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75DFF" w14:textId="06E64D38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30/11/2024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B4FC" w14:textId="4C2D0F05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0DF9" w14:textId="77A61D10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Díaz Perera Miguel Ángel</w:t>
            </w:r>
          </w:p>
        </w:tc>
      </w:tr>
      <w:tr w:rsidR="003E17FE" w:rsidRPr="00451B62" w14:paraId="2102746D" w14:textId="77777777" w:rsidTr="005C2FFC">
        <w:trPr>
          <w:trHeight w:val="994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B088" w14:textId="3AB5DE62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Eco 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hidrología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para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sustentabilidad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gobernanza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del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agua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cuencas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para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el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bien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común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3908" w14:textId="6E211AE8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CONACYT-Universidd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Autónoma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Queretaro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AC9C4" w14:textId="07123729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387,660.00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2038" w14:textId="60DAE38E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FF125" w14:textId="48589940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14/01/2022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2C206" w14:textId="09FBFDDA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20/11/2024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591E" w14:textId="23464041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8DD2" w14:textId="591BCFF5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Barba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Macías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Everardo</w:t>
            </w:r>
          </w:p>
        </w:tc>
      </w:tr>
      <w:tr w:rsidR="003E17FE" w:rsidRPr="00451B62" w14:paraId="09FBD7BE" w14:textId="77777777" w:rsidTr="005C2FFC">
        <w:trPr>
          <w:trHeight w:val="69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49D8" w14:textId="1B05DBBF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Atlas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los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humedales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del sur-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sureste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y sus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amenazas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D1EB" w14:textId="4ACBFDE3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CONACYT-Comisión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Nacional del Agua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BCDCE" w14:textId="0ED7BC98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5,471,560.00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42D5" w14:textId="056ABF81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3,358,994.64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7CDE8" w14:textId="6B4178C0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20/12/2019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2FFAB" w14:textId="49C24321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20/12/2021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71A69" w14:textId="3C9619B0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61%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1F6F" w14:textId="65644077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Barba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Macías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Everardo</w:t>
            </w:r>
          </w:p>
        </w:tc>
      </w:tr>
      <w:tr w:rsidR="003E17FE" w:rsidRPr="00451B62" w14:paraId="7364BFB0" w14:textId="77777777" w:rsidTr="00AE5C92">
        <w:trPr>
          <w:trHeight w:val="9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5583" w14:textId="5209F2AA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Estado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Conservación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las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Poblaciones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Manatíes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Quintana Roo y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Conectividad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las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Poblaciones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la Zona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Costera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, 2019-2021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52FD" w14:textId="62AF5100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Calizas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Industriales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del Carmen, S.A. de C.V. (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CALICA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589ED" w14:textId="7AC366C1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3,779,985.00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93704" w14:textId="354A00AF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2,376,279.05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08046" w14:textId="73091C1A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11/07/2019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E5F5" w14:textId="3F880C2E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03/12/2021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3AA64" w14:textId="61480891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63%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959E" w14:textId="237D83EF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Morales Vela José Benjamín</w:t>
            </w:r>
          </w:p>
        </w:tc>
      </w:tr>
      <w:tr w:rsidR="003E17FE" w:rsidRPr="00451B62" w14:paraId="65692057" w14:textId="77777777" w:rsidTr="00AE5C92">
        <w:trPr>
          <w:trHeight w:val="12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B55A" w14:textId="213B38D3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Fortalecimiento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las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Capacidades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Producción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Plantas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Duna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Costera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del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Jardín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Botánico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Dr. Alfredo Barrera Marín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259F" w14:textId="77FFB7B0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The Nature Conservancy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1C34" w14:textId="2836CE41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861,697.30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2CFC2" w14:textId="59935C11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829,985.30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90949" w14:textId="053FEAD2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11/09/2019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61E1F" w14:textId="00202A53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15/02/2020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E549E" w14:textId="6D044FD2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96%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0491" w14:textId="597728CB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Hoil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Villalobos Dalia Luz</w:t>
            </w:r>
          </w:p>
        </w:tc>
      </w:tr>
      <w:tr w:rsidR="003E17FE" w:rsidRPr="00451B62" w14:paraId="3F29DC4F" w14:textId="77777777" w:rsidTr="00AE5C92">
        <w:trPr>
          <w:trHeight w:val="9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9881" w14:textId="4B64E590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Participación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las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comunidades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mediante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acuerdos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participativos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: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puesta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marcha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una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unidad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móvil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intervención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para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facilitar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coexistencia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humano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-jaguar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torno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a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Reserva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Biosfera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Calakmul (México).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39BE" w14:textId="78C79BC7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La Sociedad para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preservación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los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carnívoros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peligro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extinción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su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estudio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ecológico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internacional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S.P.E.C.I.E.S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.).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926A9" w14:textId="1CB012A9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798,885.39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CE5CE" w14:textId="29C8B07E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625,533.91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8E375" w14:textId="1327961C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01/01/2021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ACE40" w14:textId="70B67CD2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31/12/2021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769C8" w14:textId="23DF7D86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78%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F327" w14:textId="4FDF539F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Schmook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Birgit Inge</w:t>
            </w:r>
          </w:p>
        </w:tc>
      </w:tr>
      <w:tr w:rsidR="003E17FE" w:rsidRPr="00451B62" w14:paraId="358180C7" w14:textId="77777777" w:rsidTr="005C2FFC">
        <w:trPr>
          <w:trHeight w:val="104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A4EE" w14:textId="4597E1B7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lastRenderedPageBreak/>
              <w:t xml:space="preserve">Ecology of the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yucatecan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cantil (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agkistrodon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russeolus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gloyd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, 1972) on the Northern Coast of Yucatan, Mexico.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1D52" w14:textId="6EBAF2FC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The Rufford Foundation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2AAFB" w14:textId="15088EA8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150,848.46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63101" w14:textId="04558619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150,848.43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2DAB1" w14:textId="60060FFF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06/01/2021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C7E5C" w14:textId="63A09C33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31/12/2021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862E5" w14:textId="23954651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AC01" w14:textId="30B75995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Cedeño Vázquez José Rogelio</w:t>
            </w:r>
          </w:p>
        </w:tc>
      </w:tr>
      <w:tr w:rsidR="003E17FE" w:rsidRPr="00451B62" w14:paraId="041A2701" w14:textId="77777777" w:rsidTr="005C2FFC">
        <w:trPr>
          <w:trHeight w:val="142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17AD" w14:textId="04F47FE6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Where are the Neotropical otters (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Lontra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longicaudis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)? A study on the ecology of a cryptic mammal across a transboundary basin in Mesoamerica.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72954" w14:textId="32DB5B12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The Rufford Foundation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9616B" w14:textId="24418414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142,504.32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B20E8" w14:textId="0074B222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95,152.88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A58B8" w14:textId="17E2850A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04/10/2021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A6F06" w14:textId="68169D6F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31/10/2022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20D67" w14:textId="46A297A2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67%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E231" w14:textId="669FFE03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Cedeño Vázquez José Rogelio</w:t>
            </w:r>
          </w:p>
        </w:tc>
      </w:tr>
      <w:tr w:rsidR="00451B62" w:rsidRPr="00451B62" w14:paraId="14775230" w14:textId="77777777" w:rsidTr="00AE5C92">
        <w:trPr>
          <w:trHeight w:val="6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037D" w14:textId="22E0A2F7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Exploring marine energy for supplying a stable electrical demand and promoting the economic growth in local communities surrounding the Cozumel Channel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C01A" w14:textId="1ED8AA76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CONACYT-Secretaria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Energia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-Universidad Nacional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Autónoma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México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FA2A7" w14:textId="79102457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961,600.00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FA83A" w14:textId="7B4F15A3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703,329.44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57E74" w14:textId="23FE0E1F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26/07/2018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099F" w14:textId="64707122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25/07/2019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AFEAB" w14:textId="48B11632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73%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9ACB" w14:textId="4CAD44C5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Carrillo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Bibriezca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Laura Elena</w:t>
            </w:r>
          </w:p>
        </w:tc>
      </w:tr>
      <w:tr w:rsidR="003E17FE" w:rsidRPr="00451B62" w14:paraId="291415B1" w14:textId="77777777" w:rsidTr="005C2FFC">
        <w:trPr>
          <w:trHeight w:val="64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B941" w14:textId="2E3413C8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Modelación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Paleoclimática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Península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Yucatán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C6D5" w14:textId="1EE7ADCF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CONACYT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- SEP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B983" w14:textId="3903A2FC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1,820,000.00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0B227" w14:textId="5B906DA5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1,106,598.13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5AA9" w14:textId="4ECB3373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12/07/2019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5CCBB" w14:textId="64819AD1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02/08/2021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BD26A" w14:textId="5B1D2E2C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61%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F3FE" w14:textId="09813D8E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Torrescano Valle Nuria</w:t>
            </w:r>
          </w:p>
        </w:tc>
      </w:tr>
      <w:tr w:rsidR="003E17FE" w:rsidRPr="00451B62" w14:paraId="452C799D" w14:textId="77777777" w:rsidTr="00AE5C92">
        <w:trPr>
          <w:trHeight w:val="150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E68B" w14:textId="3E2335D2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Exclusión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Discriminación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Pobreza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los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Indígenas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Urbanos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México: Segunda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Fase-Continuación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21AA" w14:textId="67D48CD5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CONACYT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- SEP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D2EF6" w14:textId="602BB586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1,500,000.00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F4051" w14:textId="07DFAFF9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468,629.26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32D68" w14:textId="2B6E9237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22/08/2019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1DAC0" w14:textId="4BEC08A5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30/09/2022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1EE35" w14:textId="3914726A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31%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6E33" w14:textId="6076297E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Horbath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Corredor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Jorge Enrique</w:t>
            </w:r>
          </w:p>
        </w:tc>
      </w:tr>
      <w:tr w:rsidR="003E17FE" w:rsidRPr="00451B62" w14:paraId="5C8EDFDB" w14:textId="77777777" w:rsidTr="005C2FFC">
        <w:trPr>
          <w:trHeight w:val="759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42C4" w14:textId="3022B093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Las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selvas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Península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Yucatán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durante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el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Holoceno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Medio 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Tardío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: Una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compleja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interacción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dinámica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resilencia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4506" w14:textId="3DDCBD29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Consejo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Nacional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Ciencia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Tecnología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CDFA2" w14:textId="5851ABDA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2,246,300.00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C0545" w14:textId="503AC1DB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658,366.75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3037A" w14:textId="792BCB77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20/10/2020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9503E" w14:textId="20299D6D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20/10/2023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803BD" w14:textId="7789288C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29%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1963" w14:textId="63E58DC6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Islebe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Gerald Alexander</w:t>
            </w:r>
          </w:p>
        </w:tc>
      </w:tr>
      <w:tr w:rsidR="003E17FE" w:rsidRPr="00451B62" w14:paraId="791F30FB" w14:textId="77777777" w:rsidTr="005C2FFC">
        <w:trPr>
          <w:trHeight w:val="90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D107" w14:textId="787CDC23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Nichos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isotópicos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invertebrados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marinos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clave para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entender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degradación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los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arrecifes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coralinos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del Caribe.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D272" w14:textId="69162A8A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Consejo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Nacional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Ciencia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Tecnología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239ED" w14:textId="126AEBD8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1,394,018.00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52320" w14:textId="2AE66CAD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619,656.33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136EE" w14:textId="64E3ECF5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20/10/2020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4F3B1" w14:textId="1706511E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20/10/2023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5C617" w14:textId="6862A4C4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44%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0C56" w14:textId="2B57EE3D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Cabanillas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Terán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Nancy</w:t>
            </w:r>
          </w:p>
        </w:tc>
      </w:tr>
      <w:tr w:rsidR="003E17FE" w:rsidRPr="00451B62" w14:paraId="03993FD0" w14:textId="77777777" w:rsidTr="00A35EB3">
        <w:trPr>
          <w:trHeight w:val="90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0332" w14:textId="675B5760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lastRenderedPageBreak/>
              <w:t>Estudio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genética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la población de Tapir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Centroamericano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Tapirus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bairdii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la selva maya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2724C" w14:textId="3633E713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Experiencias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Xcaret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Parques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S.A.P.I. de C.V.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C559" w14:textId="00349EA5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123,846.00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AA4FF" w14:textId="7DB6D224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79,415.41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8B747" w14:textId="69A8A3BE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01/10/2021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C2D88" w14:textId="059E9136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30/09/2022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B954C" w14:textId="2F356849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64%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44C0" w14:textId="2EEE7DAE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Machkour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M'Rabet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Salima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Christine</w:t>
            </w:r>
          </w:p>
        </w:tc>
      </w:tr>
      <w:tr w:rsidR="003E17FE" w:rsidRPr="00451B62" w14:paraId="66AFEFE5" w14:textId="77777777" w:rsidTr="00A35EB3">
        <w:trPr>
          <w:trHeight w:val="57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BBAC" w14:textId="0E5848CA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Estancias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posdoctorales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para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mujeres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mexicanas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indígenas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ciencia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tecnología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ingenieríasy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matemáticas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Convocatoria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2019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764B" w14:textId="6BED3948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Centro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Investigación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Estudios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Superiores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Antropología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Social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C2005" w14:textId="06BB7F70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480,897.96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5348F" w14:textId="62149DF6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409,420.96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E3C7F" w14:textId="4BFCE200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01/04/2020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3B936" w14:textId="3F76E89A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31/12/2022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54E19" w14:textId="4FC6242D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85%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C3C3" w14:textId="7F66B014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Pat Fernández Juan Manuel</w:t>
            </w:r>
          </w:p>
        </w:tc>
      </w:tr>
      <w:tr w:rsidR="003E17FE" w:rsidRPr="00451B62" w14:paraId="24D15B2A" w14:textId="77777777" w:rsidTr="00A35EB3">
        <w:trPr>
          <w:trHeight w:val="1028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ACBF" w14:textId="217DF863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Memoria,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conocimiento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y valor social 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partir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del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uso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la flora y fauna medicinal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Ich Ek,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Hopelchén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, Campeche.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1392" w14:textId="78AEB106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CONACYT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9AF5F" w14:textId="60CA22D2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100,000.00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96F22" w14:textId="45A6C501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6,139.20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937DA" w14:textId="29E094BA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18/04/2022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0A87F" w14:textId="27B6637C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18/07/2022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E52E" w14:textId="1B136391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6%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F5C5" w14:textId="51DF6B25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Huicochea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Gomez Laura</w:t>
            </w:r>
          </w:p>
        </w:tc>
      </w:tr>
      <w:tr w:rsidR="003E17FE" w:rsidRPr="00451B62" w14:paraId="45F63E2E" w14:textId="77777777" w:rsidTr="00A35EB3">
        <w:trPr>
          <w:trHeight w:val="98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1082" w14:textId="031E507F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desafiante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coexistencia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los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sistemas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socio-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ecológicos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acoplados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; las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industrias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pesca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petróleo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en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la </w:t>
            </w: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sonda</w:t>
            </w:r>
            <w:proofErr w:type="spellEnd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de Campeche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1230" w14:textId="3D02DAC0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CONACYT-FORDECYT-PRONACES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F6F71" w14:textId="318EBD96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3,080,490.00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2F7C7" w14:textId="4C0BF90F" w:rsidR="003E17FE" w:rsidRPr="00451B62" w:rsidRDefault="003E17FE" w:rsidP="003E17FE">
            <w:pPr>
              <w:autoSpaceDE/>
              <w:autoSpaceDN/>
              <w:jc w:val="right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755,452.90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849D5" w14:textId="025E9EED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20/10/2020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56797" w14:textId="0303A1D9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19/10/2022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3E552" w14:textId="3D64BAB5" w:rsidR="003E17FE" w:rsidRPr="00451B62" w:rsidRDefault="003E17FE" w:rsidP="003E17FE">
            <w:pPr>
              <w:autoSpaceDE/>
              <w:autoSpaceDN/>
              <w:jc w:val="center"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4FFC" w14:textId="5C5B770E" w:rsidR="003E17FE" w:rsidRPr="00451B62" w:rsidRDefault="003E17FE" w:rsidP="003E17FE">
            <w:pPr>
              <w:autoSpaceDE/>
              <w:autoSpaceDN/>
              <w:rPr>
                <w:rFonts w:ascii="Montserrat" w:hAnsi="Montserrat"/>
                <w:sz w:val="18"/>
                <w:szCs w:val="18"/>
                <w:lang w:val="es-MX" w:eastAsia="es-MX"/>
              </w:rPr>
            </w:pPr>
            <w:r w:rsidRPr="00451B62">
              <w:rPr>
                <w:rFonts w:ascii="Montserrat" w:hAnsi="Montserrat" w:cs="Calibri"/>
                <w:color w:val="000000"/>
                <w:sz w:val="18"/>
                <w:szCs w:val="18"/>
              </w:rPr>
              <w:t>Espinoza Tenorio Alejandro</w:t>
            </w:r>
          </w:p>
        </w:tc>
      </w:tr>
    </w:tbl>
    <w:p w14:paraId="00A5C4B6" w14:textId="77777777" w:rsidR="00477920" w:rsidRDefault="00477920" w:rsidP="00EF3F60">
      <w:pPr>
        <w:tabs>
          <w:tab w:val="left" w:pos="4155"/>
        </w:tabs>
        <w:rPr>
          <w:rFonts w:ascii="Montserrata" w:hAnsi="Montserrata"/>
          <w:sz w:val="22"/>
          <w:szCs w:val="22"/>
          <w:lang w:val="es-ES"/>
        </w:rPr>
      </w:pPr>
    </w:p>
    <w:p w14:paraId="2CBBFAE1" w14:textId="77777777" w:rsidR="0081702D" w:rsidRDefault="0081702D" w:rsidP="00EF3F60">
      <w:pPr>
        <w:tabs>
          <w:tab w:val="left" w:pos="4155"/>
        </w:tabs>
        <w:rPr>
          <w:rFonts w:ascii="Montserrata" w:hAnsi="Montserrata"/>
          <w:sz w:val="22"/>
          <w:szCs w:val="22"/>
          <w:lang w:val="es-ES"/>
        </w:rPr>
      </w:pPr>
    </w:p>
    <w:p w14:paraId="4B9918F6" w14:textId="366339B0" w:rsidR="0081702D" w:rsidRPr="0081702D" w:rsidRDefault="0081702D" w:rsidP="0081702D">
      <w:pPr>
        <w:pStyle w:val="Prrafodelista"/>
        <w:numPr>
          <w:ilvl w:val="0"/>
          <w:numId w:val="5"/>
        </w:numPr>
        <w:tabs>
          <w:tab w:val="left" w:pos="4155"/>
        </w:tabs>
        <w:rPr>
          <w:rFonts w:ascii="Montserrata" w:hAnsi="Montserrata"/>
          <w:sz w:val="22"/>
          <w:szCs w:val="22"/>
        </w:rPr>
      </w:pPr>
      <w:r w:rsidRPr="0081702D">
        <w:rPr>
          <w:rFonts w:ascii="Montserrata" w:hAnsi="Montserrata"/>
          <w:b/>
          <w:sz w:val="22"/>
          <w:szCs w:val="22"/>
        </w:rPr>
        <w:t>Relación de Proyectos Sustantivos apoyados concluidos</w:t>
      </w:r>
    </w:p>
    <w:p w14:paraId="4B5F7892" w14:textId="77777777" w:rsidR="0081702D" w:rsidRDefault="0081702D" w:rsidP="00EF3F60">
      <w:pPr>
        <w:tabs>
          <w:tab w:val="left" w:pos="4155"/>
        </w:tabs>
        <w:rPr>
          <w:rFonts w:ascii="Montserrata" w:hAnsi="Montserrata"/>
          <w:sz w:val="22"/>
          <w:szCs w:val="22"/>
          <w:lang w:val="es-ES"/>
        </w:rPr>
      </w:pPr>
    </w:p>
    <w:p w14:paraId="71C219E3" w14:textId="77777777" w:rsidR="0081702D" w:rsidRDefault="0081702D" w:rsidP="00EF3F60">
      <w:pPr>
        <w:tabs>
          <w:tab w:val="left" w:pos="4155"/>
        </w:tabs>
        <w:rPr>
          <w:rFonts w:ascii="Montserrata" w:hAnsi="Montserrata"/>
          <w:sz w:val="22"/>
          <w:szCs w:val="22"/>
          <w:lang w:val="es-ES"/>
        </w:rPr>
      </w:pPr>
    </w:p>
    <w:tbl>
      <w:tblPr>
        <w:tblW w:w="504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8"/>
        <w:gridCol w:w="1832"/>
        <w:gridCol w:w="1446"/>
        <w:gridCol w:w="1446"/>
        <w:gridCol w:w="4797"/>
        <w:gridCol w:w="1380"/>
        <w:gridCol w:w="1840"/>
      </w:tblGrid>
      <w:tr w:rsidR="0099756E" w:rsidRPr="004355EF" w14:paraId="65E3A749" w14:textId="77777777" w:rsidTr="00FC4F9B">
        <w:trPr>
          <w:trHeight w:val="1065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37FE85B4" w14:textId="77777777" w:rsidR="0081702D" w:rsidRPr="004355EF" w:rsidRDefault="0081702D" w:rsidP="00C160DD">
            <w:pPr>
              <w:jc w:val="center"/>
              <w:rPr>
                <w:rFonts w:ascii="Montserrat" w:hAnsi="Montserrat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4355EF">
              <w:rPr>
                <w:rFonts w:ascii="Montserrat" w:hAnsi="Montserrat"/>
                <w:b/>
                <w:bCs/>
                <w:color w:val="FFFFFF"/>
                <w:sz w:val="18"/>
                <w:szCs w:val="18"/>
              </w:rPr>
              <w:t>NOMBRE</w:t>
            </w:r>
            <w:proofErr w:type="spellEnd"/>
            <w:r w:rsidRPr="004355EF">
              <w:rPr>
                <w:rFonts w:ascii="Montserrat" w:hAnsi="Montserrat"/>
                <w:b/>
                <w:bCs/>
                <w:color w:val="FFFFFF"/>
                <w:sz w:val="18"/>
                <w:szCs w:val="18"/>
              </w:rPr>
              <w:t xml:space="preserve"> DEL PROYECTO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3A5C1745" w14:textId="77777777" w:rsidR="0081702D" w:rsidRPr="004355EF" w:rsidRDefault="0081702D" w:rsidP="00C160DD">
            <w:pPr>
              <w:jc w:val="center"/>
              <w:rPr>
                <w:rFonts w:ascii="Montserrat" w:hAnsi="Montserrat"/>
                <w:b/>
                <w:bCs/>
                <w:color w:val="FFFFFF"/>
                <w:sz w:val="18"/>
                <w:szCs w:val="18"/>
              </w:rPr>
            </w:pPr>
            <w:r w:rsidRPr="004355EF">
              <w:rPr>
                <w:rFonts w:ascii="Montserrat" w:hAnsi="Montserrat"/>
                <w:b/>
                <w:bCs/>
                <w:color w:val="FFFFFF"/>
                <w:sz w:val="18"/>
                <w:szCs w:val="18"/>
              </w:rPr>
              <w:t xml:space="preserve">FUENTE DE </w:t>
            </w:r>
            <w:proofErr w:type="spellStart"/>
            <w:r w:rsidRPr="004355EF">
              <w:rPr>
                <w:rFonts w:ascii="Montserrat" w:hAnsi="Montserrat"/>
                <w:b/>
                <w:bCs/>
                <w:color w:val="FFFFFF"/>
                <w:sz w:val="18"/>
                <w:szCs w:val="18"/>
              </w:rPr>
              <w:t>FINANCIAMIENTO</w:t>
            </w:r>
            <w:proofErr w:type="spellEnd"/>
            <w:r w:rsidRPr="004355EF">
              <w:rPr>
                <w:rFonts w:ascii="Montserrat" w:hAnsi="Montserrat"/>
                <w:b/>
                <w:bCs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79F5737A" w14:textId="77777777" w:rsidR="0081702D" w:rsidRPr="004355EF" w:rsidRDefault="0081702D" w:rsidP="00C160DD">
            <w:pPr>
              <w:jc w:val="center"/>
              <w:rPr>
                <w:rFonts w:ascii="Montserrat" w:hAnsi="Montserrat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4355EF">
              <w:rPr>
                <w:rFonts w:ascii="Montserrat" w:hAnsi="Montserrat"/>
                <w:b/>
                <w:bCs/>
                <w:color w:val="FFFFFF"/>
                <w:sz w:val="18"/>
                <w:szCs w:val="18"/>
              </w:rPr>
              <w:t>RECURSOS</w:t>
            </w:r>
            <w:proofErr w:type="spellEnd"/>
            <w:r w:rsidRPr="004355EF">
              <w:rPr>
                <w:rFonts w:ascii="Montserrat" w:hAnsi="Montserrat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4355EF">
              <w:rPr>
                <w:rFonts w:ascii="Montserrat" w:hAnsi="Montserrat"/>
                <w:b/>
                <w:bCs/>
                <w:color w:val="FFFFFF"/>
                <w:sz w:val="18"/>
                <w:szCs w:val="18"/>
              </w:rPr>
              <w:t>RECIBIDOS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585BFF1D" w14:textId="77777777" w:rsidR="0081702D" w:rsidRPr="004355EF" w:rsidRDefault="0081702D" w:rsidP="00C160DD">
            <w:pPr>
              <w:jc w:val="center"/>
              <w:rPr>
                <w:rFonts w:ascii="Montserrat" w:hAnsi="Montserrat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4355EF">
              <w:rPr>
                <w:rFonts w:ascii="Montserrat" w:hAnsi="Montserrat"/>
                <w:b/>
                <w:bCs/>
                <w:color w:val="FFFFFF"/>
                <w:sz w:val="18"/>
                <w:szCs w:val="18"/>
              </w:rPr>
              <w:t>RECURSOS</w:t>
            </w:r>
            <w:proofErr w:type="spellEnd"/>
            <w:r w:rsidRPr="004355EF">
              <w:rPr>
                <w:rFonts w:ascii="Montserrat" w:hAnsi="Montserrat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4355EF">
              <w:rPr>
                <w:rFonts w:ascii="Montserrat" w:hAnsi="Montserrat"/>
                <w:b/>
                <w:bCs/>
                <w:color w:val="FFFFFF"/>
                <w:sz w:val="18"/>
                <w:szCs w:val="18"/>
              </w:rPr>
              <w:t>EJERCIDOS</w:t>
            </w:r>
            <w:proofErr w:type="spellEnd"/>
          </w:p>
        </w:tc>
        <w:tc>
          <w:tcPr>
            <w:tcW w:w="1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5C56D5AC" w14:textId="77777777" w:rsidR="0081702D" w:rsidRPr="004355EF" w:rsidRDefault="0081702D" w:rsidP="00C160DD">
            <w:pPr>
              <w:jc w:val="center"/>
              <w:rPr>
                <w:rFonts w:ascii="Montserrat" w:hAnsi="Montserrat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4355EF">
              <w:rPr>
                <w:rFonts w:ascii="Montserrat" w:hAnsi="Montserrat"/>
                <w:b/>
                <w:bCs/>
                <w:color w:val="FFFFFF"/>
                <w:sz w:val="18"/>
                <w:szCs w:val="18"/>
              </w:rPr>
              <w:t>RESULTADOS</w:t>
            </w:r>
            <w:proofErr w:type="spellEnd"/>
            <w:r w:rsidRPr="004355EF">
              <w:rPr>
                <w:rFonts w:ascii="Montserrat" w:hAnsi="Montserrat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4355EF">
              <w:rPr>
                <w:rFonts w:ascii="Montserrat" w:hAnsi="Montserrat"/>
                <w:b/>
                <w:bCs/>
                <w:color w:val="FFFFFF"/>
                <w:sz w:val="18"/>
                <w:szCs w:val="18"/>
              </w:rPr>
              <w:t>OBTENIDOS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0A501508" w14:textId="77777777" w:rsidR="0081702D" w:rsidRPr="004355EF" w:rsidRDefault="0081702D" w:rsidP="00C160DD">
            <w:pPr>
              <w:jc w:val="center"/>
              <w:rPr>
                <w:rFonts w:ascii="Montserrat" w:hAnsi="Montserrat"/>
                <w:b/>
                <w:bCs/>
                <w:color w:val="FFFFFF"/>
                <w:sz w:val="18"/>
                <w:szCs w:val="18"/>
                <w:lang w:val="es-MX"/>
              </w:rPr>
            </w:pPr>
            <w:r w:rsidRPr="004355EF">
              <w:rPr>
                <w:rFonts w:ascii="Montserrat" w:hAnsi="Montserrat"/>
                <w:b/>
                <w:bCs/>
                <w:color w:val="FFFFFF"/>
                <w:sz w:val="18"/>
                <w:szCs w:val="18"/>
                <w:lang w:val="es-MX"/>
              </w:rPr>
              <w:t xml:space="preserve">FECHAS DE </w:t>
            </w:r>
            <w:proofErr w:type="spellStart"/>
            <w:r w:rsidRPr="004355EF">
              <w:rPr>
                <w:rFonts w:ascii="Montserrat" w:hAnsi="Montserrat"/>
                <w:b/>
                <w:bCs/>
                <w:color w:val="FFFFFF"/>
                <w:sz w:val="18"/>
                <w:szCs w:val="18"/>
                <w:lang w:val="es-MX"/>
              </w:rPr>
              <w:t>INCIO</w:t>
            </w:r>
            <w:proofErr w:type="spellEnd"/>
            <w:r w:rsidRPr="004355EF">
              <w:rPr>
                <w:rFonts w:ascii="Montserrat" w:hAnsi="Montserrat"/>
                <w:b/>
                <w:bCs/>
                <w:color w:val="FFFFFF"/>
                <w:sz w:val="18"/>
                <w:szCs w:val="18"/>
                <w:lang w:val="es-MX"/>
              </w:rPr>
              <w:t xml:space="preserve"> Y FIN DEL PROYECTO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8E5D"/>
            <w:vAlign w:val="center"/>
            <w:hideMark/>
          </w:tcPr>
          <w:p w14:paraId="3D439CD0" w14:textId="77777777" w:rsidR="0081702D" w:rsidRPr="004355EF" w:rsidRDefault="0081702D" w:rsidP="00C160DD">
            <w:pPr>
              <w:jc w:val="center"/>
              <w:rPr>
                <w:rFonts w:ascii="Montserrat" w:hAnsi="Montserrat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4355EF">
              <w:rPr>
                <w:rFonts w:ascii="Montserrat" w:hAnsi="Montserrat"/>
                <w:b/>
                <w:bCs/>
                <w:color w:val="FFFFFF"/>
                <w:sz w:val="18"/>
                <w:szCs w:val="18"/>
              </w:rPr>
              <w:t>RESPONSABLE</w:t>
            </w:r>
            <w:proofErr w:type="spellEnd"/>
          </w:p>
        </w:tc>
      </w:tr>
      <w:tr w:rsidR="004355EF" w:rsidRPr="004355EF" w14:paraId="0AB374B8" w14:textId="77777777" w:rsidTr="00180271">
        <w:trPr>
          <w:trHeight w:val="1485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7F8C" w14:textId="0E430D93" w:rsidR="004355EF" w:rsidRPr="004355EF" w:rsidRDefault="004355EF" w:rsidP="004355EF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Chanul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Pom: El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mundo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abeja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como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espacio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formación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comunidades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rurales de Chiapas.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0A82" w14:textId="3D6C7364" w:rsidR="004355EF" w:rsidRPr="004355EF" w:rsidRDefault="004355EF" w:rsidP="004355EF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W.K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. Kellogg Foundation (WKKF).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DF3E" w14:textId="0493A141" w:rsidR="004355EF" w:rsidRPr="004355EF" w:rsidRDefault="004355EF" w:rsidP="004355E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                  7,169,685.35 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01F8" w14:textId="2E9DF535" w:rsidR="004355EF" w:rsidRPr="004355EF" w:rsidRDefault="004355EF" w:rsidP="004355E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                  7,052,859.21 </w:t>
            </w:r>
          </w:p>
        </w:tc>
        <w:tc>
          <w:tcPr>
            <w:tcW w:w="1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B686" w14:textId="7CD4CDBD" w:rsidR="004355EF" w:rsidRPr="004355EF" w:rsidRDefault="004355EF" w:rsidP="004355EF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Mejor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contribución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al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equilibrio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socio-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ambiental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torno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a las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abejas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las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comunidades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campesinas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5954" w14:textId="0EB3BDEA" w:rsidR="004355EF" w:rsidRPr="004355EF" w:rsidRDefault="006E73F3" w:rsidP="004355EF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01/01/2017 – 31-12-2019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E1C1" w14:textId="62A9BC62" w:rsidR="004355EF" w:rsidRPr="004355EF" w:rsidRDefault="004355EF" w:rsidP="004355EF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Vandame Remy Benoit Marie</w:t>
            </w:r>
          </w:p>
        </w:tc>
      </w:tr>
      <w:tr w:rsidR="004355EF" w:rsidRPr="004355EF" w14:paraId="0BE06391" w14:textId="77777777" w:rsidTr="00A35EB3">
        <w:trPr>
          <w:trHeight w:val="2319"/>
        </w:trPr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74E3" w14:textId="0AE5C38D" w:rsidR="004355EF" w:rsidRPr="004355EF" w:rsidRDefault="004355EF" w:rsidP="004355EF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lastRenderedPageBreak/>
              <w:t>Respuesta del tapir (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Tapirus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bairdii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) y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pecarí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labios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blancos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(Tayassu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pecari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) al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cambio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climático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fragmentación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del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hábitat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bosque maya.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EB39" w14:textId="2B8B9D50" w:rsidR="004355EF" w:rsidRPr="004355EF" w:rsidRDefault="004355EF" w:rsidP="004355EF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The Rufford Foundation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E3D7" w14:textId="261EDC88" w:rsidR="004355EF" w:rsidRPr="004355EF" w:rsidRDefault="004355EF" w:rsidP="004355E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                      156,065.93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8BCA" w14:textId="08FF186A" w:rsidR="004355EF" w:rsidRPr="004355EF" w:rsidRDefault="004355EF" w:rsidP="004355E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                      156,052.51 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B8AC" w14:textId="3D58472A" w:rsidR="004355EF" w:rsidRPr="004355EF" w:rsidRDefault="004355EF" w:rsidP="004355EF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información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generada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será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útil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para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identificar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las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áreas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mayor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conflicto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para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los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desplazamientos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(y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por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lo tanto para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conservación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) de las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especies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focales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otros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vertebrados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grandes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peligro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extinción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sureste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México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y 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general para la Selva Maya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compartida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por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Belice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Guatemala y México.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dichas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áreas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conflicto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será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necesario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reforzar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las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medidas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protección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del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hábitat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ya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existentes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por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ejemplo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las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áreas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naturales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protegidas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) y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generar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nuevas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iniciativas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con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participación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sociedad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para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evitar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lo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posible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deforestación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fragmentación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de 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los</w:t>
            </w:r>
            <w:proofErr w:type="spellEnd"/>
            <w:proofErr w:type="gram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ecosistemas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regionales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principalmente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bosques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tropicales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),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cacería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sin control, y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aislamiento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gradual de las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poblaciones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fauna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silvestre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sensible.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E007" w14:textId="2AA2C3AC" w:rsidR="004355EF" w:rsidRPr="004355EF" w:rsidRDefault="006E73F3" w:rsidP="004355EF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01/02/2020 – 28/02/2022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724B" w14:textId="24ACE1A9" w:rsidR="004355EF" w:rsidRPr="004355EF" w:rsidRDefault="004355EF" w:rsidP="004355EF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Naranjo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Piñera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Eduardo Jorge</w:t>
            </w:r>
          </w:p>
        </w:tc>
      </w:tr>
      <w:tr w:rsidR="004355EF" w:rsidRPr="004355EF" w14:paraId="5ED2D6EA" w14:textId="77777777" w:rsidTr="00180271">
        <w:trPr>
          <w:trHeight w:val="1975"/>
        </w:trPr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6D9E" w14:textId="7EAEF9FC" w:rsidR="004355EF" w:rsidRPr="004355EF" w:rsidRDefault="004355EF" w:rsidP="004355EF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Impacto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pandemia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covid-19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percepción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mamíferos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con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énfasis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murciélagos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y </w:t>
            </w:r>
            <w:proofErr w:type="gram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plan</w:t>
            </w:r>
            <w:proofErr w:type="gram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acción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para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su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conservación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Oaxaca, México.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2C39" w14:textId="19B92FAF" w:rsidR="004355EF" w:rsidRPr="004355EF" w:rsidRDefault="004355EF" w:rsidP="004355EF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The Rufford Foundation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8124" w14:textId="70671F38" w:rsidR="004355EF" w:rsidRPr="004355EF" w:rsidRDefault="004355EF" w:rsidP="004355E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                      159,992.98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1447" w14:textId="3F258E98" w:rsidR="004355EF" w:rsidRPr="004355EF" w:rsidRDefault="004355EF" w:rsidP="004355E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                      159,882.39 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A53D" w14:textId="1EDC42C0" w:rsidR="004355EF" w:rsidRPr="004355EF" w:rsidRDefault="004355EF" w:rsidP="004355EF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El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involucramiento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niños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niñas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jovenes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personas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adultas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durante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desarrollo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las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actividades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del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proyecto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permitió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generar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interés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las personas,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aprender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lo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desconocido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desarrollar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las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capacidades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las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actividades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que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implica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monitoreo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fauna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silvestre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para que,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un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futuro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cercano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puedan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generarse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comités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monitoreo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comunitarios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que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ayuden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a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conservación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especies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murciélagos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la zona.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C689" w14:textId="647C507B" w:rsidR="004355EF" w:rsidRPr="004355EF" w:rsidRDefault="006E73F3" w:rsidP="004355EF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01/02/2021 – 29/01/2022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6A82" w14:textId="1759C3A6" w:rsidR="004355EF" w:rsidRPr="004355EF" w:rsidRDefault="004355EF" w:rsidP="004355EF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Lorenzo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Monterrubio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Ana María del Consuelo</w:t>
            </w:r>
          </w:p>
        </w:tc>
      </w:tr>
      <w:tr w:rsidR="004355EF" w:rsidRPr="004355EF" w14:paraId="1C95E2BA" w14:textId="77777777" w:rsidTr="00180271">
        <w:trPr>
          <w:trHeight w:val="1412"/>
        </w:trPr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B91B" w14:textId="02F977F3" w:rsidR="004355EF" w:rsidRPr="004355EF" w:rsidRDefault="004355EF" w:rsidP="004355EF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Mejoramiento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la Técnica del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Insecto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Estéril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para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manejo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las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moscas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fruta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Efecto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selección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por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tamaño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desempeño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los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machos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estériles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2270" w14:textId="377B6198" w:rsidR="004355EF" w:rsidRPr="004355EF" w:rsidRDefault="004355EF" w:rsidP="004355EF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Consejo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Nacional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Ciencia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Tecnología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1686" w14:textId="135BE688" w:rsidR="004355EF" w:rsidRPr="004355EF" w:rsidRDefault="004355EF" w:rsidP="004355E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                  1,808,000.00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0BD6" w14:textId="47A79F83" w:rsidR="004355EF" w:rsidRPr="004355EF" w:rsidRDefault="004355EF" w:rsidP="004355E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                  1,807,623.24 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0601" w14:textId="049F2F99" w:rsidR="004355EF" w:rsidRPr="004355EF" w:rsidRDefault="004355EF" w:rsidP="004355EF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Este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fue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un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proyecto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marco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convocatoria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ciencia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básica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por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lo que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su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principal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impacto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es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generación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conocimiento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.  Sin embargo,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este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conocimiento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puede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contribuir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mejorar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técnica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del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insecto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estéril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lo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cual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resultará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producción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fruta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sana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calidad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para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mercado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nacional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los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mercados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exportación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3879" w14:textId="704A418C" w:rsidR="004355EF" w:rsidRPr="004355EF" w:rsidRDefault="006E73F3" w:rsidP="004355EF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14/08/2018 – 13/02/2021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20D8" w14:textId="69B37412" w:rsidR="004355EF" w:rsidRPr="004355EF" w:rsidRDefault="004355EF" w:rsidP="004355EF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Liedo Fernández José Pablo</w:t>
            </w:r>
          </w:p>
        </w:tc>
      </w:tr>
      <w:tr w:rsidR="004355EF" w:rsidRPr="004355EF" w14:paraId="6950361F" w14:textId="77777777" w:rsidTr="00180271">
        <w:trPr>
          <w:trHeight w:val="2175"/>
        </w:trPr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18B" w14:textId="69F1AD3D" w:rsidR="004355EF" w:rsidRPr="004355EF" w:rsidRDefault="004355EF" w:rsidP="004355EF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lastRenderedPageBreak/>
              <w:t>Jardín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etnobiológico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las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selvas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del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Soconusco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Propuesta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del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Jardín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Botánico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Regional del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Soconusco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(ECO-TAP-JB) y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Herbario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(ECO-TA-H)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E26A" w14:textId="778FE0E3" w:rsidR="004355EF" w:rsidRPr="004355EF" w:rsidRDefault="004355EF" w:rsidP="004355EF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Consejo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Nacional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Ciencia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Tecnología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CC28" w14:textId="65B35B99" w:rsidR="004355EF" w:rsidRPr="004355EF" w:rsidRDefault="004355EF" w:rsidP="004355E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                  1,980,247.00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F799" w14:textId="2CCDF598" w:rsidR="004355EF" w:rsidRPr="004355EF" w:rsidRDefault="004355EF" w:rsidP="004355E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                  1,931,543.62 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4C9F" w14:textId="7453891B" w:rsidR="004355EF" w:rsidRPr="004355EF" w:rsidRDefault="004355EF" w:rsidP="004355EF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región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del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Soconusco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está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riesgo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perder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su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patrimonio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natural,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identidad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cultural, y las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posibilidades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para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los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comunitarios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mantener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un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sustento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digno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independiente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a largo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plazo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.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experiencia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conocimientos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empíricos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se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ignoran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se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desprecian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por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las olas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programas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para la “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modernización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” y la “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tecnificación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” de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producción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agrícola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que se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trata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productos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ajenos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a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región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cuya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comercialización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solo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favorezca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las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caras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anónimas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compañías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transnacionales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. El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Jardín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Etnobiológico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las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Selvas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del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Soconusco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(JESS)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ahora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representa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un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puente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para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reconectar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entorno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trayectoria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ecológico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ambiental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cultural de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región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con las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poblaciones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modernas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actuales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que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sufren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pérdida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identidad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un grave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deterioro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su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salud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físico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mental y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procesos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educativos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mediocres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hasta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irrelevantes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para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poder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enfrentar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los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retos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crisis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este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siglo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. Nos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vinculamos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con las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comunidades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rurales, las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poblaciones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urbanas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sector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educativo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agrupaciones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personas con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metas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educativas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sociales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ambientales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o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culturales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particulares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Ofrecemos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capacitación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experiencias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prácticas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asesorías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acompañamiento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acceso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a las bases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datos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las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otras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fuentes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informativas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publicaciones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folletos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manuales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etc.).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Actualmente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estamos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aprovechando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las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vías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modernas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las redes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sociales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los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cortometrajes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y las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opciones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enseñanzas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participaciones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línea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para extender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los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alcances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nuestros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conocimientos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actividades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propuestas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57C4" w14:textId="2F957051" w:rsidR="004355EF" w:rsidRPr="004355EF" w:rsidRDefault="006E73F3" w:rsidP="004355EF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09/07/2020 – 12/07/2021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B22D" w14:textId="2478BC4B" w:rsidR="004355EF" w:rsidRPr="004355EF" w:rsidRDefault="004355EF" w:rsidP="004355EF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Damon Anne Ashby</w:t>
            </w:r>
          </w:p>
        </w:tc>
      </w:tr>
      <w:tr w:rsidR="004355EF" w:rsidRPr="004355EF" w14:paraId="61A05F29" w14:textId="77777777" w:rsidTr="00180271">
        <w:trPr>
          <w:trHeight w:val="2175"/>
        </w:trPr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31EE" w14:textId="43BFB630" w:rsidR="004355EF" w:rsidRPr="004355EF" w:rsidRDefault="004355EF" w:rsidP="004355EF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Alternativas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biorracionales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para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manejo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mosca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fruta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sin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agrotóxicos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su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interacción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con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residuos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glifosato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región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del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soconusco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, Chiapas.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5C2A" w14:textId="2CBD2023" w:rsidR="004355EF" w:rsidRPr="004355EF" w:rsidRDefault="004355EF" w:rsidP="004355EF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CONACYT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95E4" w14:textId="6E86AA3D" w:rsidR="004355EF" w:rsidRPr="004355EF" w:rsidRDefault="004355EF" w:rsidP="004355E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                  1,750,000.00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357B" w14:textId="3F3DE9F6" w:rsidR="004355EF" w:rsidRPr="004355EF" w:rsidRDefault="004355EF" w:rsidP="004355E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                  1,721,152.61 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6781" w14:textId="45454953" w:rsidR="004355EF" w:rsidRPr="004355EF" w:rsidRDefault="004355EF" w:rsidP="004355EF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(1) La Técnica del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Insecto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Estéril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(TIE) es un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método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control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plagas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amigable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con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ambiente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que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representa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una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alternativa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para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uso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agrotóxicos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caso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mosca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fruta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Anastrepha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obliqua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se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conocerá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comparará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la microbiota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asociada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moscas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silvestres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estériles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. 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partir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esta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comparación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se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identificarán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especies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con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potencial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ser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usadas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como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probióticos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para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mejorar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desempeño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los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insectos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estériles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. </w:t>
            </w: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br/>
              <w:t xml:space="preserve">(2)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Varios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aislados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los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hongos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entomopatógenos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Beauveria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bassiana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Metarhizium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anisopliae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han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resultado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eficaces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para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infectar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causar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muerte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moscas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fruta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. Para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mosca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mexicana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fruta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Anastrepha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ludens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se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conocerá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comparará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eficacia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lastRenderedPageBreak/>
              <w:t xml:space="preserve">del control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moscas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silvestres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utilizando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dispositivos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infección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con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esporas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del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hongo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entomopatógeno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B.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bassiana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poblaciones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silvestres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plaga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También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se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determinará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densidad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óptima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dispositivos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/ha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huertos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mango cv. “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Ataulfo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” para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hacer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un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manejo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eficaz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plaga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libre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agrotóxicos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.</w:t>
            </w: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br/>
              <w:t xml:space="preserve">(3) 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pesar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que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glifosato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se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considera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altamente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específico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para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control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arvenses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se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han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observado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efectos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indeseados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microorganismos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animales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. Se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cuantificará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concentración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glifosato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cuerpos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agua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suelo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y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los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microorganismos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los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puntos 1 y 2 se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someterán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pruebas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susceptibilidad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a las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concentraciones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glifosato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detectadas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.</w:t>
            </w: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br/>
              <w:t xml:space="preserve">(4)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Estos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resultados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permitirán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mejorar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las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técnicas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control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moscas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fruta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región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A610" w14:textId="034946DE" w:rsidR="004355EF" w:rsidRPr="004355EF" w:rsidRDefault="006E73F3" w:rsidP="004355EF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lastRenderedPageBreak/>
              <w:t>23/07/2021 – 30/11/2021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AAB9" w14:textId="46DC5659" w:rsidR="004355EF" w:rsidRPr="004355EF" w:rsidRDefault="004355EF" w:rsidP="004355EF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Sánchez Guillén Daniel</w:t>
            </w:r>
          </w:p>
        </w:tc>
      </w:tr>
      <w:tr w:rsidR="004355EF" w:rsidRPr="004355EF" w14:paraId="79CB8FAD" w14:textId="77777777" w:rsidTr="00180271">
        <w:trPr>
          <w:trHeight w:val="2175"/>
        </w:trPr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8D92" w14:textId="0E1ACF85" w:rsidR="004355EF" w:rsidRPr="004355EF" w:rsidRDefault="004355EF" w:rsidP="004355EF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Desarrollo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protocolo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para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degradación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glifosato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suelos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agua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empleando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microorganismos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enzimas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con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capacidades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ligninolíticas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inmovilizados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diversos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soportes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0689" w14:textId="3597D70A" w:rsidR="004355EF" w:rsidRPr="004355EF" w:rsidRDefault="004355EF" w:rsidP="004355EF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CONACYT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9035" w14:textId="1D217D8A" w:rsidR="004355EF" w:rsidRPr="004355EF" w:rsidRDefault="004355EF" w:rsidP="004355E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                  1,750,000.00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2450" w14:textId="28D9E7FB" w:rsidR="004355EF" w:rsidRPr="004355EF" w:rsidRDefault="004355EF" w:rsidP="004355E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                  1,656,982.53 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C97D" w14:textId="4AA561A6" w:rsidR="004355EF" w:rsidRPr="004355EF" w:rsidRDefault="004355EF" w:rsidP="004355EF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Si se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obtienen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los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resultados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esperados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esta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tecnología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podría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ser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empleada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suelos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agua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contaminada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provocando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una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disminución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del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impacto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ambiental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biodiversidad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se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vería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menos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impactada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así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como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también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se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eliminarían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problemas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salud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humana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animal al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estar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menos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expuestos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</w:t>
            </w:r>
            <w:proofErr w:type="gram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este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herbicida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.</w:t>
            </w: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br/>
              <w:t xml:space="preserve">Los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beneficios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sería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nivel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local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pero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que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también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pueden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ser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extrapolables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nivel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nacional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o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mundial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ya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que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glifosato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distribuido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todo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planeta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. Si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tecnología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desarrollada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logra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obtener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buenos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niveles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degradación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del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glifosato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se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podrían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realizar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una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segunda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etapa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para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escalar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los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procesos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que se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obtengan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esta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primer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etapa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posteriormente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se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podrían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realizar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transferencias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tecnología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obtener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patentes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realizar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desarrollo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tecnológico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para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obtener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un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producto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innovación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tecnológica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que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pueda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ser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comercializado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un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futuro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mediano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largo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plazo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6B45" w14:textId="31658B97" w:rsidR="004355EF" w:rsidRPr="004355EF" w:rsidRDefault="006E73F3" w:rsidP="004355EF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26/07/2021 – 30/11/2021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0C02" w14:textId="0DE96AA7" w:rsidR="004355EF" w:rsidRPr="004355EF" w:rsidRDefault="004355EF" w:rsidP="004355EF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Calixto Romo María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los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Angeles</w:t>
            </w:r>
          </w:p>
        </w:tc>
      </w:tr>
      <w:tr w:rsidR="004355EF" w:rsidRPr="004355EF" w14:paraId="333CEE41" w14:textId="77777777" w:rsidTr="00180271">
        <w:trPr>
          <w:trHeight w:val="2175"/>
        </w:trPr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9760" w14:textId="459FF280" w:rsidR="004355EF" w:rsidRPr="004355EF" w:rsidRDefault="004355EF" w:rsidP="004355EF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lastRenderedPageBreak/>
              <w:t>Generación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conocimiento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transferencia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tecnología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para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control,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manejo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erradicación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mosca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del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mediterráneo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moscas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fruta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México;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así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como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estrategias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control para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manejo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y/o control del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gusano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cogollero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cultivo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maíz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14DF" w14:textId="2426E022" w:rsidR="004355EF" w:rsidRPr="004355EF" w:rsidRDefault="004355EF" w:rsidP="004355EF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Servicio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Nacional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Sanidad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Inocuidad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Calidad </w:t>
            </w:r>
            <w:proofErr w:type="spellStart"/>
            <w:proofErr w:type="gram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Agroalimentaria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 (</w:t>
            </w:r>
            <w:proofErr w:type="spellStart"/>
            <w:proofErr w:type="gram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SENASICA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5E12" w14:textId="027144B5" w:rsidR="004355EF" w:rsidRPr="004355EF" w:rsidRDefault="004355EF" w:rsidP="004355E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                  2,500,000.00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8EB6" w14:textId="4E658AC0" w:rsidR="004355EF" w:rsidRPr="004355EF" w:rsidRDefault="004355EF" w:rsidP="004355E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                  2,500,000.00 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C279" w14:textId="2888CE08" w:rsidR="004355EF" w:rsidRPr="004355EF" w:rsidRDefault="004355EF" w:rsidP="004355EF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Algunos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los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resultados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obtenidos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son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utilidad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inmediata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para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Programa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Moscas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Fruta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SENASICA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y para las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acciones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para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minimizar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daño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ocasionado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por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gusano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cogollero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maíz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Otros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resultados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representan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avances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investigación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que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un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futuro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podrán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representar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alternativas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mejora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las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acciones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estrategias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manejo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estas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plagas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6278" w14:textId="6E79CE7A" w:rsidR="004355EF" w:rsidRPr="004355EF" w:rsidRDefault="006E73F3" w:rsidP="004355EF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24/09/2021 </w:t>
            </w:r>
            <w:r w:rsidR="002769F5">
              <w:rPr>
                <w:rFonts w:ascii="Montserrat" w:hAnsi="Montserrat" w:cs="Calibri"/>
                <w:color w:val="000000"/>
                <w:sz w:val="16"/>
                <w:szCs w:val="16"/>
              </w:rPr>
              <w:t>–</w:t>
            </w: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31</w:t>
            </w:r>
            <w:r w:rsidR="002769F5">
              <w:rPr>
                <w:rFonts w:ascii="Montserrat" w:hAnsi="Montserrat" w:cs="Calibri"/>
                <w:color w:val="000000"/>
                <w:sz w:val="16"/>
                <w:szCs w:val="16"/>
              </w:rPr>
              <w:t>/</w:t>
            </w: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12</w:t>
            </w:r>
            <w:r w:rsidR="002769F5">
              <w:rPr>
                <w:rFonts w:ascii="Montserrat" w:hAnsi="Montserrat" w:cs="Calibri"/>
                <w:color w:val="000000"/>
                <w:sz w:val="16"/>
                <w:szCs w:val="16"/>
              </w:rPr>
              <w:t>/</w:t>
            </w: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4625" w14:textId="4EAD45BC" w:rsidR="004355EF" w:rsidRPr="004355EF" w:rsidRDefault="004355EF" w:rsidP="004355EF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Liedo Fernández José Pablo</w:t>
            </w:r>
          </w:p>
        </w:tc>
      </w:tr>
      <w:tr w:rsidR="004355EF" w:rsidRPr="004355EF" w14:paraId="334B38D9" w14:textId="77777777" w:rsidTr="00180271">
        <w:trPr>
          <w:trHeight w:val="2175"/>
        </w:trPr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1459" w14:textId="2354D110" w:rsidR="004355EF" w:rsidRPr="004355EF" w:rsidRDefault="004355EF" w:rsidP="004355EF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Pesca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artesanal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Soberanía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Alimentaria: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Nichos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Innovación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para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promover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consumo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ampliar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distribución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productos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pesqueros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Península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Yucatán.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60EB" w14:textId="07E52995" w:rsidR="004355EF" w:rsidRPr="004355EF" w:rsidRDefault="004355EF" w:rsidP="004355EF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CONACYT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CEE4" w14:textId="7D78F9A4" w:rsidR="004355EF" w:rsidRPr="004355EF" w:rsidRDefault="004355EF" w:rsidP="004355E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                      100,000.00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F186" w14:textId="250DF17B" w:rsidR="004355EF" w:rsidRPr="004355EF" w:rsidRDefault="004355EF" w:rsidP="004355E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                        10,881.41 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5C5A" w14:textId="22F5BA8D" w:rsidR="004355EF" w:rsidRPr="004355EF" w:rsidRDefault="004355EF" w:rsidP="004355EF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El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proyecto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es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una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primera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fase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que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comprendió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elaboración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una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propuesta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extenso.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esta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forma, no hay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impacto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dado que no se ha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realizado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propuesta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entregada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CONACYT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A4CA" w14:textId="36FB9883" w:rsidR="004355EF" w:rsidRPr="004355EF" w:rsidRDefault="002769F5" w:rsidP="004355EF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19/08/2021 – 30/11/2021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A6CA" w14:textId="6859188F" w:rsidR="004355EF" w:rsidRPr="004355EF" w:rsidRDefault="004355EF" w:rsidP="004355EF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Arce Ibarra Ana Minerva</w:t>
            </w:r>
          </w:p>
        </w:tc>
      </w:tr>
      <w:tr w:rsidR="004355EF" w:rsidRPr="004355EF" w14:paraId="2ECC1897" w14:textId="77777777" w:rsidTr="00A35EB3">
        <w:trPr>
          <w:trHeight w:val="1468"/>
        </w:trPr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AFC7" w14:textId="480275E9" w:rsidR="004355EF" w:rsidRPr="004355EF" w:rsidRDefault="004355EF" w:rsidP="004355EF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proofErr w:type="gram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Estancias 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Posdoctorales</w:t>
            </w:r>
            <w:proofErr w:type="spellEnd"/>
            <w:proofErr w:type="gram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 para 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Mujeres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Mexicanas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Indígenas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Ciencia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Tecnología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Ingenierías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Matemáticas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Convocatoria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2018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420E" w14:textId="21723873" w:rsidR="004355EF" w:rsidRPr="004355EF" w:rsidRDefault="004355EF" w:rsidP="004355EF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Centro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Investigaciones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Estudios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Superiores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Antropología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Social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E7FA" w14:textId="35EC4E39" w:rsidR="004355EF" w:rsidRPr="004355EF" w:rsidRDefault="004355EF" w:rsidP="004355E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                      471,500.00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5A4E" w14:textId="4581AE42" w:rsidR="004355EF" w:rsidRPr="004355EF" w:rsidRDefault="004355EF" w:rsidP="004355E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                      471,500.00 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3F2C" w14:textId="1B06F3BE" w:rsidR="004355EF" w:rsidRPr="00A35EB3" w:rsidRDefault="004355EF" w:rsidP="004355EF">
            <w:pPr>
              <w:rPr>
                <w:rFonts w:ascii="Montserrat" w:hAnsi="Montserrat" w:cs="Calibri"/>
                <w:color w:val="000000"/>
                <w:sz w:val="14"/>
                <w:szCs w:val="14"/>
                <w:lang w:val="es-MX"/>
              </w:rPr>
            </w:pPr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Se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generó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investigación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cualitativa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y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cuantitativa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, para la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comprensión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y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generación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de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estrategias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de turismo</w:t>
            </w:r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br/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comunitario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y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sustentable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para la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región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mixteca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de Oaxaca. Se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emplearon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técnicas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de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investigación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acción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br/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participativa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para la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construcción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de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capacidades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de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detección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internalización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y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transformación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.</w:t>
            </w:r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br/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En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Asunción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Nochixtlán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, se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trabajó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con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artesanas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de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palma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, para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evidenciar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mejorar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los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procesos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y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buscar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br/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alternativas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de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comercialización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En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Santiago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Suchilquitongo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se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trabajaron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en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dos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vertientes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: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medidas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para un ~</w:t>
            </w:r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br/>
              <w:t xml:space="preserve">turismo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sustentable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que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incluyeron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el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saneamiento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de la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comunidad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y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disposición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eficiente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de la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basura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; y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el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br/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conocimiento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del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patrimonio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cultural; para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ello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se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formó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el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Colectivo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""Amor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por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Suchil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"".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En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San Pedro y San</w:t>
            </w:r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br/>
              <w:t xml:space="preserve">Pablo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Teposcolula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se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investigó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y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divulgó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sobre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el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patrimonio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intangible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en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concreto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sobre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la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gastronomía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, y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en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el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impacto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del COVID-19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en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el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turismo de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este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pueblo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mágico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En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Villa de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Etla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se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trabajó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en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los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inicios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de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una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br/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lastRenderedPageBreak/>
              <w:t>ruta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turística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que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integrará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diferentes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puntos de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esta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parte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de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los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Valles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Centrales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. Y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en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San Andrés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lxtlahuaca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br/>
              <w:t xml:space="preserve">se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continuó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con la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puesta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en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marcha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de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su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centro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de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Cultura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Ambiental y de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Agroturismo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Estos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desarrollos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de</w:t>
            </w:r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br/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capacidades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en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las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comunidades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han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quedado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en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manos de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actores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sociales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y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gubernamentales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a fin de</w:t>
            </w:r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br/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darles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continuidad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Finalmente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cabe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señalar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que las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actividades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se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difundieron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en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publicaciones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académicas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y</w:t>
            </w:r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br/>
              <w:t xml:space="preserve">de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divulgación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así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como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en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 xml:space="preserve"> redes </w:t>
            </w:r>
            <w:proofErr w:type="spellStart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sociales</w:t>
            </w:r>
            <w:proofErr w:type="spellEnd"/>
            <w:r w:rsidRPr="00A35EB3">
              <w:rPr>
                <w:rFonts w:ascii="Montserrat" w:hAnsi="Montserrat" w:cs="Calibri"/>
                <w:color w:val="000000"/>
                <w:sz w:val="14"/>
                <w:szCs w:val="14"/>
              </w:rPr>
              <w:t>.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56DA" w14:textId="43DD0BF2" w:rsidR="004355EF" w:rsidRPr="004355EF" w:rsidRDefault="002769F5" w:rsidP="004355EF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lastRenderedPageBreak/>
              <w:t>24/04/2019 – 30/09/2021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90D6" w14:textId="3D1008EE" w:rsidR="004355EF" w:rsidRPr="004355EF" w:rsidRDefault="004355EF" w:rsidP="004355EF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Molina Rosales Dolores Ofelia</w:t>
            </w:r>
          </w:p>
        </w:tc>
      </w:tr>
      <w:tr w:rsidR="004355EF" w:rsidRPr="004355EF" w14:paraId="11A282B7" w14:textId="77777777" w:rsidTr="00180271">
        <w:trPr>
          <w:trHeight w:val="2175"/>
        </w:trPr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A8A8" w14:textId="74C18AB9" w:rsidR="004355EF" w:rsidRPr="004355EF" w:rsidRDefault="004355EF" w:rsidP="004355EF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Mujeres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convocación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científica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segunda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edición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1204" w14:textId="3FF3DF15" w:rsidR="004355EF" w:rsidRPr="004355EF" w:rsidRDefault="004355EF" w:rsidP="004355EF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CONACYT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0D40" w14:textId="09C1F67C" w:rsidR="004355EF" w:rsidRPr="004355EF" w:rsidRDefault="004355EF" w:rsidP="004355E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                        75,874.56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3C5F" w14:textId="71199BF4" w:rsidR="004355EF" w:rsidRPr="004355EF" w:rsidRDefault="004355EF" w:rsidP="004355EF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                        75,874.56 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E68B" w14:textId="7E80E695" w:rsidR="004355EF" w:rsidRPr="004355EF" w:rsidRDefault="004355EF" w:rsidP="004355EF">
            <w:pPr>
              <w:rPr>
                <w:rFonts w:ascii="Montserrat" w:hAnsi="Montserrat" w:cs="Calibri"/>
                <w:color w:val="000000"/>
                <w:sz w:val="16"/>
                <w:szCs w:val="16"/>
                <w:lang w:val="es-MX"/>
              </w:rPr>
            </w:pP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El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proyecto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está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dirigido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jóvenes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con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preparatoria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terminada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que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estén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cursando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algún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grado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educación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superior o que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estén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cursando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algún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posgrado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los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primeros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dos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casos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buscamos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fomentar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vocación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científica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jóvenes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que no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tengan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certeza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que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esta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puede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ser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una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vía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desarrollo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personal. Las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estudiantes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posgrado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nos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ayudan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motivar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con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su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ejemplo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a las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más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jóvenes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pero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también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esperamos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potenciar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ellas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posibilidad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no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desertar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esta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carrera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poder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seguir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aprendiendo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enseñando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a las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nuevas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generaciones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.</w:t>
            </w: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br/>
              <w:t xml:space="preserve">Se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contó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con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registro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90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estudiantes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sin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posgrado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117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realizando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algún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posgrado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o con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posgrado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terminado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(207 personas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alcanzadas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para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registro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total). Es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decir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superamos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expectativa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que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tuvimos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al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diseñar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proyecto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para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este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año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Dentro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primer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grupo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estudiantes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sin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posgrado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39%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ya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estaban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graduadas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55%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estaban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cursando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algún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grado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educación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superior y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6% solo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tenía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preparatoria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terminada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.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este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grupo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22% se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adscribe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</w:t>
            </w:r>
            <w:proofErr w:type="gram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algún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grupo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indígena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del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país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. El 34%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estaba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viendo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foro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desde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algún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estado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dentro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del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área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influencia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ECOSUR y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66% restante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estaba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alguna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otra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parte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del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país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contando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con dos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estudiantes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del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extranjero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Canadá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Ecuador).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grupo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personas con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posgrado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o con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algún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grado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posgrado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tuvimos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registro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60%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investigadoras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y 40%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estudiantes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posgrado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. La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edad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las</w:t>
            </w: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br/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estudiantes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educación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superior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registradas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fue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entre 18 y 25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años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.</w:t>
            </w: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br/>
              <w:t xml:space="preserve">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este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total de personas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registradas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solo se les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dio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constancia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asistencia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al 66% de las personas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registradas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puesto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que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fueron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quienes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permanecieron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el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foro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dos días o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tres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días, o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porque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tuvieron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algún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tipo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participación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mandando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video o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como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tutoras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). </w:t>
            </w: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lastRenderedPageBreak/>
              <w:t xml:space="preserve">El 44% restante solo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entró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esporádicamente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al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foro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o </w:t>
            </w:r>
            <w:proofErr w:type="spellStart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durante</w:t>
            </w:r>
            <w:proofErr w:type="spellEnd"/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un día.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6120" w14:textId="615BFE1C" w:rsidR="004355EF" w:rsidRPr="004355EF" w:rsidRDefault="002769F5" w:rsidP="004355EF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lastRenderedPageBreak/>
              <w:t>30/08/2021 – 30/11/2021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E169" w14:textId="2B336A47" w:rsidR="004355EF" w:rsidRPr="004355EF" w:rsidRDefault="004355EF" w:rsidP="004355EF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4355EF">
              <w:rPr>
                <w:rFonts w:ascii="Montserrat" w:hAnsi="Montserrat" w:cs="Calibri"/>
                <w:color w:val="000000"/>
                <w:sz w:val="16"/>
                <w:szCs w:val="16"/>
              </w:rPr>
              <w:t>Molina Rosales Dolores Ofelia</w:t>
            </w:r>
          </w:p>
        </w:tc>
      </w:tr>
    </w:tbl>
    <w:p w14:paraId="3E6807C2" w14:textId="77777777" w:rsidR="0081702D" w:rsidRPr="00477920" w:rsidRDefault="0081702D" w:rsidP="00EF3F60">
      <w:pPr>
        <w:tabs>
          <w:tab w:val="left" w:pos="4155"/>
        </w:tabs>
        <w:rPr>
          <w:rFonts w:ascii="Montserrata" w:hAnsi="Montserrata"/>
          <w:sz w:val="22"/>
          <w:szCs w:val="22"/>
          <w:lang w:val="es-ES"/>
        </w:rPr>
      </w:pPr>
    </w:p>
    <w:sectPr w:rsidR="0081702D" w:rsidRPr="00477920" w:rsidSect="006848F3">
      <w:headerReference w:type="default" r:id="rId8"/>
      <w:footerReference w:type="default" r:id="rId9"/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641C9" w14:textId="77777777" w:rsidR="00477920" w:rsidRDefault="00477920" w:rsidP="00711955">
      <w:r>
        <w:separator/>
      </w:r>
    </w:p>
  </w:endnote>
  <w:endnote w:type="continuationSeparator" w:id="0">
    <w:p w14:paraId="7549A852" w14:textId="77777777" w:rsidR="00477920" w:rsidRDefault="00477920" w:rsidP="0071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a">
    <w:altName w:val="Cambria"/>
    <w:panose1 w:val="00000000000000000000"/>
    <w:charset w:val="00"/>
    <w:family w:val="roman"/>
    <w:notTrueType/>
    <w:pitch w:val="default"/>
  </w:font>
  <w:font w:name="Monserra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ndara" w:hAnsi="Candara"/>
        <w:color w:val="A6A6A6" w:themeColor="background1" w:themeShade="A6"/>
        <w:sz w:val="18"/>
        <w:szCs w:val="18"/>
      </w:rPr>
      <w:id w:val="1850222632"/>
      <w:docPartObj>
        <w:docPartGallery w:val="Page Numbers (Bottom of Page)"/>
        <w:docPartUnique/>
      </w:docPartObj>
    </w:sdtPr>
    <w:sdtEndPr/>
    <w:sdtContent>
      <w:p w14:paraId="48956AF0" w14:textId="77777777" w:rsidR="00477920" w:rsidRPr="009B69B7" w:rsidRDefault="00477920" w:rsidP="005F47DD">
        <w:pPr>
          <w:pStyle w:val="Piedepgina"/>
          <w:jc w:val="center"/>
          <w:rPr>
            <w:rFonts w:ascii="Montserrat" w:hAnsi="Montserrat"/>
            <w:color w:val="A6A6A6" w:themeColor="background1" w:themeShade="A6"/>
            <w:sz w:val="18"/>
            <w:szCs w:val="18"/>
          </w:rPr>
        </w:pPr>
      </w:p>
      <w:p w14:paraId="27344B16" w14:textId="1845F497" w:rsidR="00477920" w:rsidRPr="009B69B7" w:rsidRDefault="00F449D7" w:rsidP="00EF3F60">
        <w:pPr>
          <w:pStyle w:val="Piedepgina"/>
          <w:jc w:val="center"/>
          <w:rPr>
            <w:rFonts w:ascii="Montserrat" w:eastAsia="Batang" w:hAnsi="Montserrat"/>
            <w:b/>
            <w:i/>
            <w:color w:val="A6A6A6" w:themeColor="background1" w:themeShade="A6"/>
            <w:sz w:val="18"/>
            <w:szCs w:val="18"/>
          </w:rPr>
        </w:pPr>
        <w:r w:rsidRPr="00F449D7">
          <w:rPr>
            <w:rFonts w:ascii="Montserrat" w:eastAsia="Batang" w:hAnsi="Montserrat"/>
            <w:b/>
            <w:i/>
            <w:color w:val="A6A6A6" w:themeColor="background1" w:themeShade="A6"/>
            <w:sz w:val="18"/>
            <w:szCs w:val="18"/>
          </w:rPr>
          <w:t>Segunda Sesión Ordinaria de la Junta de Gobierno 2022</w:t>
        </w:r>
      </w:p>
      <w:p w14:paraId="1C3152ED" w14:textId="0052D307" w:rsidR="00477920" w:rsidRPr="001837E9" w:rsidRDefault="00477920" w:rsidP="00EF3F60">
        <w:pPr>
          <w:pStyle w:val="Piedepgina"/>
          <w:jc w:val="right"/>
          <w:rPr>
            <w:rFonts w:ascii="Candara" w:hAnsi="Candara"/>
            <w:color w:val="A6A6A6" w:themeColor="background1" w:themeShade="A6"/>
            <w:sz w:val="18"/>
            <w:szCs w:val="18"/>
          </w:rPr>
        </w:pPr>
        <w:r w:rsidRPr="009B69B7">
          <w:rPr>
            <w:rFonts w:ascii="Montserrat" w:eastAsia="Batang" w:hAnsi="Montserrat"/>
            <w:b/>
            <w:color w:val="A6A6A6" w:themeColor="background1" w:themeShade="A6"/>
            <w:sz w:val="18"/>
            <w:szCs w:val="18"/>
          </w:rPr>
          <w:t xml:space="preserve"> </w:t>
        </w:r>
        <w:r w:rsidRPr="009B69B7">
          <w:rPr>
            <w:rFonts w:ascii="Montserrat" w:hAnsi="Montserrat"/>
            <w:color w:val="A6A6A6" w:themeColor="background1" w:themeShade="A6"/>
            <w:sz w:val="18"/>
            <w:szCs w:val="18"/>
          </w:rPr>
          <w:fldChar w:fldCharType="begin"/>
        </w:r>
        <w:r w:rsidRPr="009B69B7">
          <w:rPr>
            <w:rFonts w:ascii="Montserrat" w:hAnsi="Montserrat"/>
            <w:color w:val="A6A6A6" w:themeColor="background1" w:themeShade="A6"/>
            <w:sz w:val="18"/>
            <w:szCs w:val="18"/>
          </w:rPr>
          <w:instrText>PAGE   \* MERGEFORMAT</w:instrText>
        </w:r>
        <w:r w:rsidRPr="009B69B7">
          <w:rPr>
            <w:rFonts w:ascii="Montserrat" w:hAnsi="Montserrat"/>
            <w:color w:val="A6A6A6" w:themeColor="background1" w:themeShade="A6"/>
            <w:sz w:val="18"/>
            <w:szCs w:val="18"/>
          </w:rPr>
          <w:fldChar w:fldCharType="separate"/>
        </w:r>
        <w:r w:rsidR="0057019E">
          <w:rPr>
            <w:rFonts w:ascii="Montserrat" w:hAnsi="Montserrat"/>
            <w:noProof/>
            <w:color w:val="A6A6A6" w:themeColor="background1" w:themeShade="A6"/>
            <w:sz w:val="18"/>
            <w:szCs w:val="18"/>
          </w:rPr>
          <w:t>8</w:t>
        </w:r>
        <w:r w:rsidRPr="009B69B7">
          <w:rPr>
            <w:rFonts w:ascii="Montserrat" w:hAnsi="Montserrat"/>
            <w:color w:val="A6A6A6" w:themeColor="background1" w:themeShade="A6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F6791" w14:textId="77777777" w:rsidR="00477920" w:rsidRDefault="00477920" w:rsidP="00711955">
      <w:r>
        <w:separator/>
      </w:r>
    </w:p>
  </w:footnote>
  <w:footnote w:type="continuationSeparator" w:id="0">
    <w:p w14:paraId="2313641D" w14:textId="77777777" w:rsidR="00477920" w:rsidRDefault="00477920" w:rsidP="00711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B104A" w14:textId="4AA5EA7B" w:rsidR="00477920" w:rsidRDefault="00F449D7" w:rsidP="00F449D7">
    <w:pPr>
      <w:pStyle w:val="Encabezado"/>
      <w:tabs>
        <w:tab w:val="left" w:pos="9072"/>
      </w:tabs>
      <w:jc w:val="center"/>
    </w:pPr>
    <w:r>
      <w:rPr>
        <w:noProof/>
      </w:rPr>
      <w:drawing>
        <wp:inline distT="0" distB="0" distL="0" distR="0" wp14:anchorId="1CAD23F2" wp14:editId="6EB5AC75">
          <wp:extent cx="5828030" cy="1048385"/>
          <wp:effectExtent l="0" t="0" r="127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03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E970CB" w14:textId="77777777" w:rsidR="00477920" w:rsidRDefault="00477920" w:rsidP="005C38DC">
    <w:pPr>
      <w:pStyle w:val="Encabezado"/>
      <w:tabs>
        <w:tab w:val="lef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6C91"/>
    <w:multiLevelType w:val="hybridMultilevel"/>
    <w:tmpl w:val="2F50882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B6659EB"/>
    <w:multiLevelType w:val="hybridMultilevel"/>
    <w:tmpl w:val="AAC4A8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7374F"/>
    <w:multiLevelType w:val="hybridMultilevel"/>
    <w:tmpl w:val="442A6F5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A5432"/>
    <w:multiLevelType w:val="hybridMultilevel"/>
    <w:tmpl w:val="AB7419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B745E"/>
    <w:multiLevelType w:val="hybridMultilevel"/>
    <w:tmpl w:val="21DAF5E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389286">
    <w:abstractNumId w:val="2"/>
  </w:num>
  <w:num w:numId="2" w16cid:durableId="1901668126">
    <w:abstractNumId w:val="1"/>
  </w:num>
  <w:num w:numId="3" w16cid:durableId="92290567">
    <w:abstractNumId w:val="3"/>
  </w:num>
  <w:num w:numId="4" w16cid:durableId="1778914562">
    <w:abstractNumId w:val="4"/>
  </w:num>
  <w:num w:numId="5" w16cid:durableId="8423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955"/>
    <w:rsid w:val="00017031"/>
    <w:rsid w:val="000309C1"/>
    <w:rsid w:val="000A2858"/>
    <w:rsid w:val="000D037E"/>
    <w:rsid w:val="00105D79"/>
    <w:rsid w:val="001404F1"/>
    <w:rsid w:val="001468D7"/>
    <w:rsid w:val="001522EE"/>
    <w:rsid w:val="001837E9"/>
    <w:rsid w:val="002005F5"/>
    <w:rsid w:val="00236F2A"/>
    <w:rsid w:val="00274C1D"/>
    <w:rsid w:val="002769F5"/>
    <w:rsid w:val="00276BA0"/>
    <w:rsid w:val="002B41A5"/>
    <w:rsid w:val="002B4649"/>
    <w:rsid w:val="002E33B7"/>
    <w:rsid w:val="003270D1"/>
    <w:rsid w:val="00357D19"/>
    <w:rsid w:val="00393BA7"/>
    <w:rsid w:val="003B07CC"/>
    <w:rsid w:val="003B0EE0"/>
    <w:rsid w:val="003B75E8"/>
    <w:rsid w:val="003C0D6F"/>
    <w:rsid w:val="003C27D5"/>
    <w:rsid w:val="003C621E"/>
    <w:rsid w:val="003E17FE"/>
    <w:rsid w:val="00416607"/>
    <w:rsid w:val="004310B0"/>
    <w:rsid w:val="004355EF"/>
    <w:rsid w:val="00451B62"/>
    <w:rsid w:val="00477920"/>
    <w:rsid w:val="00497DEE"/>
    <w:rsid w:val="005105EF"/>
    <w:rsid w:val="00527379"/>
    <w:rsid w:val="00555255"/>
    <w:rsid w:val="00555C52"/>
    <w:rsid w:val="0057019E"/>
    <w:rsid w:val="00584007"/>
    <w:rsid w:val="005A7F1F"/>
    <w:rsid w:val="005B63E3"/>
    <w:rsid w:val="005C1AE3"/>
    <w:rsid w:val="005C2FFC"/>
    <w:rsid w:val="005C38DC"/>
    <w:rsid w:val="005C6457"/>
    <w:rsid w:val="005C6DF8"/>
    <w:rsid w:val="005E649B"/>
    <w:rsid w:val="005E7B5F"/>
    <w:rsid w:val="005F47DD"/>
    <w:rsid w:val="00602ABC"/>
    <w:rsid w:val="00605230"/>
    <w:rsid w:val="00661FF3"/>
    <w:rsid w:val="006642C5"/>
    <w:rsid w:val="006848F3"/>
    <w:rsid w:val="0069493B"/>
    <w:rsid w:val="006A40B9"/>
    <w:rsid w:val="006D506D"/>
    <w:rsid w:val="006E73F3"/>
    <w:rsid w:val="006F6174"/>
    <w:rsid w:val="00711955"/>
    <w:rsid w:val="007524C4"/>
    <w:rsid w:val="00753F64"/>
    <w:rsid w:val="007610AC"/>
    <w:rsid w:val="007626D1"/>
    <w:rsid w:val="00762B4D"/>
    <w:rsid w:val="00773523"/>
    <w:rsid w:val="007E67D1"/>
    <w:rsid w:val="008001DF"/>
    <w:rsid w:val="0081702D"/>
    <w:rsid w:val="008268D3"/>
    <w:rsid w:val="00833551"/>
    <w:rsid w:val="00854FF0"/>
    <w:rsid w:val="008660E7"/>
    <w:rsid w:val="00867968"/>
    <w:rsid w:val="008A6134"/>
    <w:rsid w:val="008C16EF"/>
    <w:rsid w:val="008D3AFD"/>
    <w:rsid w:val="008D6305"/>
    <w:rsid w:val="008E079A"/>
    <w:rsid w:val="008E6343"/>
    <w:rsid w:val="008F33E2"/>
    <w:rsid w:val="00925C68"/>
    <w:rsid w:val="00957650"/>
    <w:rsid w:val="00974E8A"/>
    <w:rsid w:val="0099756E"/>
    <w:rsid w:val="009B69B7"/>
    <w:rsid w:val="009E73E1"/>
    <w:rsid w:val="00A02A37"/>
    <w:rsid w:val="00A16267"/>
    <w:rsid w:val="00A168B4"/>
    <w:rsid w:val="00A2069D"/>
    <w:rsid w:val="00A35EB3"/>
    <w:rsid w:val="00A773FD"/>
    <w:rsid w:val="00AB690B"/>
    <w:rsid w:val="00AD08A6"/>
    <w:rsid w:val="00AD1045"/>
    <w:rsid w:val="00B253AC"/>
    <w:rsid w:val="00B27D13"/>
    <w:rsid w:val="00B36746"/>
    <w:rsid w:val="00B57E61"/>
    <w:rsid w:val="00B62FD1"/>
    <w:rsid w:val="00B80FC0"/>
    <w:rsid w:val="00B938BA"/>
    <w:rsid w:val="00B94851"/>
    <w:rsid w:val="00BA21E3"/>
    <w:rsid w:val="00BB7C65"/>
    <w:rsid w:val="00BD3102"/>
    <w:rsid w:val="00BE7717"/>
    <w:rsid w:val="00C102F6"/>
    <w:rsid w:val="00CA6E5E"/>
    <w:rsid w:val="00CB3976"/>
    <w:rsid w:val="00CB6949"/>
    <w:rsid w:val="00CE79C2"/>
    <w:rsid w:val="00D57F7D"/>
    <w:rsid w:val="00D87501"/>
    <w:rsid w:val="00DC34D6"/>
    <w:rsid w:val="00DD10A8"/>
    <w:rsid w:val="00DE3732"/>
    <w:rsid w:val="00E13F84"/>
    <w:rsid w:val="00E23DBA"/>
    <w:rsid w:val="00E77E8B"/>
    <w:rsid w:val="00EC473A"/>
    <w:rsid w:val="00ED2DC5"/>
    <w:rsid w:val="00EE6203"/>
    <w:rsid w:val="00EF3F60"/>
    <w:rsid w:val="00F449D7"/>
    <w:rsid w:val="00F64F09"/>
    <w:rsid w:val="00F724FB"/>
    <w:rsid w:val="00F72EBD"/>
    <w:rsid w:val="00F85029"/>
    <w:rsid w:val="00F92DB6"/>
    <w:rsid w:val="00FC4F9B"/>
    <w:rsid w:val="00FD1798"/>
    <w:rsid w:val="00F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4DC8C22"/>
  <w15:docId w15:val="{70C89830-C591-41BF-83F6-8BE7B617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9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1955"/>
    <w:pPr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11955"/>
  </w:style>
  <w:style w:type="paragraph" w:styleId="Piedepgina">
    <w:name w:val="footer"/>
    <w:basedOn w:val="Normal"/>
    <w:link w:val="PiedepginaCar"/>
    <w:uiPriority w:val="99"/>
    <w:unhideWhenUsed/>
    <w:rsid w:val="00711955"/>
    <w:pPr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1955"/>
  </w:style>
  <w:style w:type="paragraph" w:styleId="Textodeglobo">
    <w:name w:val="Balloon Text"/>
    <w:basedOn w:val="Normal"/>
    <w:link w:val="TextodegloboCar"/>
    <w:uiPriority w:val="99"/>
    <w:semiHidden/>
    <w:unhideWhenUsed/>
    <w:rsid w:val="009E73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3E1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80FC0"/>
    <w:pPr>
      <w:autoSpaceDE/>
      <w:autoSpaceDN/>
    </w:pPr>
    <w:rPr>
      <w:rFonts w:asciiTheme="minorHAnsi" w:eastAsiaTheme="minorHAnsi" w:hAnsiTheme="minorHAnsi" w:cstheme="minorBidi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80FC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80FC0"/>
    <w:rPr>
      <w:vertAlign w:val="superscript"/>
    </w:rPr>
  </w:style>
  <w:style w:type="paragraph" w:customStyle="1" w:styleId="TEXTONORMAL">
    <w:name w:val="TEXTO_NORMAL"/>
    <w:basedOn w:val="Normal"/>
    <w:qFormat/>
    <w:rsid w:val="003B0EE0"/>
    <w:pPr>
      <w:autoSpaceDE/>
      <w:autoSpaceDN/>
      <w:spacing w:after="120" w:line="250" w:lineRule="exact"/>
      <w:jc w:val="both"/>
    </w:pPr>
    <w:rPr>
      <w:rFonts w:ascii="Soberana Sans Light" w:eastAsia="Calibri" w:hAnsi="Soberana Sans Light"/>
      <w:sz w:val="18"/>
      <w:szCs w:val="18"/>
      <w:lang w:val="es-ES" w:eastAsia="en-US"/>
    </w:rPr>
  </w:style>
  <w:style w:type="paragraph" w:customStyle="1" w:styleId="ENTEPUBLICO">
    <w:name w:val="ENTE_PUBLICO"/>
    <w:basedOn w:val="Normal"/>
    <w:next w:val="TEXTONORMAL"/>
    <w:qFormat/>
    <w:rsid w:val="003B0EE0"/>
    <w:pPr>
      <w:autoSpaceDE/>
      <w:autoSpaceDN/>
      <w:spacing w:after="120" w:line="250" w:lineRule="exact"/>
      <w:jc w:val="center"/>
    </w:pPr>
    <w:rPr>
      <w:rFonts w:ascii="Soberana Sans Light" w:eastAsia="Calibri" w:hAnsi="Soberana Sans Light"/>
      <w:b/>
      <w:lang w:val="es-MX" w:eastAsia="en-US"/>
    </w:rPr>
  </w:style>
  <w:style w:type="paragraph" w:customStyle="1" w:styleId="TITULOREPORTE">
    <w:name w:val="TITULO_REPORTE"/>
    <w:basedOn w:val="Normal"/>
    <w:next w:val="TEXTONORMAL"/>
    <w:qFormat/>
    <w:rsid w:val="003B0EE0"/>
    <w:pPr>
      <w:autoSpaceDE/>
      <w:autoSpaceDN/>
      <w:spacing w:after="120" w:line="250" w:lineRule="exact"/>
      <w:jc w:val="center"/>
    </w:pPr>
    <w:rPr>
      <w:rFonts w:ascii="Soberana Sans Light" w:eastAsia="Calibri" w:hAnsi="Soberana Sans Light"/>
      <w:b/>
      <w:lang w:val="es-MX" w:eastAsia="en-US"/>
    </w:rPr>
  </w:style>
  <w:style w:type="paragraph" w:customStyle="1" w:styleId="Sinespaciado1">
    <w:name w:val="Sin espaciado1"/>
    <w:uiPriority w:val="99"/>
    <w:rsid w:val="003B0EE0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Sinespaciado">
    <w:name w:val="No Spacing"/>
    <w:uiPriority w:val="1"/>
    <w:qFormat/>
    <w:rsid w:val="00753F64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rsid w:val="0047792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7920"/>
    <w:pPr>
      <w:autoSpaceDE/>
      <w:autoSpaceDN/>
      <w:ind w:left="720"/>
      <w:contextualSpacing/>
    </w:pPr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606EF-2EE9-4CCB-A1C8-549B7964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23</Pages>
  <Words>5403</Words>
  <Characters>29719</Characters>
  <Application>Microsoft Office Word</Application>
  <DocSecurity>0</DocSecurity>
  <Lines>247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Elizabeth Torres Suarez</cp:lastModifiedBy>
  <cp:revision>13</cp:revision>
  <cp:lastPrinted>2022-09-27T23:27:00Z</cp:lastPrinted>
  <dcterms:created xsi:type="dcterms:W3CDTF">2021-09-10T16:42:00Z</dcterms:created>
  <dcterms:modified xsi:type="dcterms:W3CDTF">2022-09-27T23:43:00Z</dcterms:modified>
</cp:coreProperties>
</file>