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D403" w14:textId="77777777" w:rsidR="009136EB" w:rsidRPr="00322AA9" w:rsidRDefault="009136EB" w:rsidP="001F3482">
      <w:pPr>
        <w:pStyle w:val="Default"/>
        <w:rPr>
          <w:rFonts w:cstheme="minorHAnsi"/>
          <w:sz w:val="22"/>
          <w:szCs w:val="22"/>
        </w:rPr>
      </w:pPr>
      <w:r w:rsidRPr="00322AA9">
        <w:rPr>
          <w:rFonts w:cstheme="minorHAnsi"/>
          <w:b/>
          <w:bCs/>
          <w:i/>
          <w:iCs/>
          <w:sz w:val="22"/>
          <w:szCs w:val="22"/>
        </w:rPr>
        <w:t xml:space="preserve">5.18. Ley Federal de Transparencia y Acceso a la Información Pública y Ley General de Transparencia y acceso a la Información Pública. </w:t>
      </w:r>
    </w:p>
    <w:p w14:paraId="605FA1DA" w14:textId="77777777" w:rsidR="003F39BE" w:rsidRPr="00833005" w:rsidRDefault="003F39BE" w:rsidP="002D4A24">
      <w:pPr>
        <w:autoSpaceDE w:val="0"/>
        <w:autoSpaceDN w:val="0"/>
        <w:adjustRightInd w:val="0"/>
        <w:jc w:val="both"/>
        <w:rPr>
          <w:rFonts w:cstheme="minorHAnsi"/>
          <w:b/>
          <w:bCs/>
        </w:rPr>
      </w:pPr>
    </w:p>
    <w:p w14:paraId="4FD11597" w14:textId="037A50FF" w:rsidR="003F39BE" w:rsidRPr="001F3482" w:rsidRDefault="003F39BE" w:rsidP="002D4A24">
      <w:pPr>
        <w:widowControl w:val="0"/>
        <w:suppressAutoHyphens/>
        <w:jc w:val="both"/>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En cumplimiento de las disposiciones establecidas en la Ley General y Ley Federal de Transparencia y Acceso a la Información Pública y demás ordenamientos relativos, la Unidad de Transparencia de ECOSUR durante el primer semestre de 202</w:t>
      </w:r>
      <w:r w:rsidR="009136EB" w:rsidRPr="001F3482">
        <w:rPr>
          <w:rFonts w:ascii="Montserrat" w:eastAsia="SimSun" w:hAnsi="Montserrat" w:cstheme="minorHAnsi"/>
          <w:kern w:val="1"/>
          <w:sz w:val="22"/>
          <w:szCs w:val="22"/>
          <w:lang w:eastAsia="hi-IN" w:bidi="hi-IN"/>
        </w:rPr>
        <w:t>2</w:t>
      </w:r>
      <w:r w:rsidRPr="001F3482">
        <w:rPr>
          <w:rFonts w:ascii="Montserrat" w:eastAsia="SimSun" w:hAnsi="Montserrat" w:cstheme="minorHAnsi"/>
          <w:kern w:val="1"/>
          <w:sz w:val="22"/>
          <w:szCs w:val="22"/>
          <w:lang w:eastAsia="hi-IN" w:bidi="hi-IN"/>
        </w:rPr>
        <w:t xml:space="preserve"> llevó a cabo las siguientes actividades:</w:t>
      </w:r>
    </w:p>
    <w:p w14:paraId="23362330" w14:textId="77777777" w:rsidR="003F39BE" w:rsidRPr="001F3482" w:rsidRDefault="003F39BE" w:rsidP="002D4A24">
      <w:pPr>
        <w:widowControl w:val="0"/>
        <w:suppressAutoHyphens/>
        <w:jc w:val="both"/>
        <w:rPr>
          <w:rFonts w:ascii="Montserrat" w:eastAsia="SimSun" w:hAnsi="Montserrat" w:cstheme="minorHAnsi"/>
          <w:kern w:val="1"/>
          <w:sz w:val="22"/>
          <w:szCs w:val="22"/>
          <w:lang w:eastAsia="hi-IN" w:bidi="hi-IN"/>
        </w:rPr>
      </w:pPr>
    </w:p>
    <w:p w14:paraId="6EF0C067" w14:textId="77777777" w:rsidR="003F39BE" w:rsidRPr="001F3482" w:rsidRDefault="003F39BE" w:rsidP="002D4A24">
      <w:pPr>
        <w:widowControl w:val="0"/>
        <w:numPr>
          <w:ilvl w:val="0"/>
          <w:numId w:val="6"/>
        </w:numPr>
        <w:suppressAutoHyphens/>
        <w:autoSpaceDE w:val="0"/>
        <w:autoSpaceDN w:val="0"/>
        <w:adjustRightInd w:val="0"/>
        <w:ind w:left="714" w:hanging="357"/>
        <w:jc w:val="both"/>
        <w:rPr>
          <w:rFonts w:ascii="Montserrat" w:eastAsia="Calibri" w:hAnsi="Montserrat" w:cstheme="minorHAnsi"/>
          <w:b/>
          <w:sz w:val="22"/>
          <w:szCs w:val="22"/>
          <w:u w:val="single"/>
          <w:lang w:val="es-ES" w:eastAsia="es-ES"/>
        </w:rPr>
      </w:pPr>
      <w:r w:rsidRPr="001F3482">
        <w:rPr>
          <w:rFonts w:ascii="Montserrat" w:eastAsia="Calibri" w:hAnsi="Montserrat" w:cstheme="minorHAnsi"/>
          <w:b/>
          <w:sz w:val="22"/>
          <w:szCs w:val="22"/>
          <w:u w:val="single"/>
          <w:lang w:val="es-ES" w:eastAsia="es-ES"/>
        </w:rPr>
        <w:t>Atención a Solicitudes de Información:</w:t>
      </w:r>
    </w:p>
    <w:p w14:paraId="475DE031" w14:textId="77777777" w:rsidR="00A563EC" w:rsidRPr="001F3482" w:rsidRDefault="00A563EC" w:rsidP="002D4A24">
      <w:pPr>
        <w:pStyle w:val="Prrafodelista"/>
        <w:widowControl w:val="0"/>
        <w:suppressAutoHyphens/>
        <w:contextualSpacing w:val="0"/>
        <w:jc w:val="both"/>
        <w:rPr>
          <w:rFonts w:ascii="Montserrat" w:eastAsia="SimSun" w:hAnsi="Montserrat" w:cstheme="minorHAnsi"/>
          <w:kern w:val="1"/>
          <w:sz w:val="22"/>
          <w:szCs w:val="22"/>
          <w:lang w:eastAsia="hi-IN" w:bidi="hi-IN"/>
        </w:rPr>
      </w:pPr>
    </w:p>
    <w:tbl>
      <w:tblPr>
        <w:tblStyle w:val="Tablaconcuadrcula"/>
        <w:tblW w:w="0" w:type="auto"/>
        <w:jc w:val="center"/>
        <w:tblLook w:val="04A0" w:firstRow="1" w:lastRow="0" w:firstColumn="1" w:lastColumn="0" w:noHBand="0" w:noVBand="1"/>
      </w:tblPr>
      <w:tblGrid>
        <w:gridCol w:w="1544"/>
        <w:gridCol w:w="1757"/>
        <w:gridCol w:w="1757"/>
        <w:gridCol w:w="1757"/>
        <w:gridCol w:w="1757"/>
      </w:tblGrid>
      <w:tr w:rsidR="00A563EC" w:rsidRPr="001F3482" w14:paraId="7A4AD6A9" w14:textId="77777777" w:rsidTr="008C43E8">
        <w:trPr>
          <w:trHeight w:val="57"/>
          <w:jc w:val="center"/>
        </w:trPr>
        <w:tc>
          <w:tcPr>
            <w:tcW w:w="1544" w:type="dxa"/>
            <w:shd w:val="clear" w:color="auto" w:fill="D9D9D9" w:themeFill="background1" w:themeFillShade="D9"/>
            <w:vAlign w:val="center"/>
          </w:tcPr>
          <w:p w14:paraId="776E98FB" w14:textId="77777777" w:rsidR="00A563EC" w:rsidRPr="001F3482" w:rsidRDefault="00A563EC" w:rsidP="002D4A24">
            <w:pPr>
              <w:jc w:val="center"/>
              <w:rPr>
                <w:rFonts w:ascii="Montserrat" w:hAnsi="Montserrat" w:cstheme="minorHAnsi"/>
                <w:b/>
                <w:color w:val="000000" w:themeColor="text1"/>
                <w:sz w:val="22"/>
                <w:szCs w:val="22"/>
              </w:rPr>
            </w:pPr>
            <w:r w:rsidRPr="001F3482">
              <w:rPr>
                <w:rFonts w:ascii="Montserrat" w:hAnsi="Montserrat" w:cstheme="minorHAnsi"/>
                <w:b/>
                <w:color w:val="000000" w:themeColor="text1"/>
                <w:sz w:val="22"/>
                <w:szCs w:val="22"/>
              </w:rPr>
              <w:t>Sujeto Obligado</w:t>
            </w:r>
          </w:p>
        </w:tc>
        <w:tc>
          <w:tcPr>
            <w:tcW w:w="1757" w:type="dxa"/>
            <w:shd w:val="clear" w:color="auto" w:fill="D9D9D9" w:themeFill="background1" w:themeFillShade="D9"/>
            <w:vAlign w:val="center"/>
            <w:hideMark/>
          </w:tcPr>
          <w:p w14:paraId="68EFC593" w14:textId="77777777" w:rsidR="00A563EC" w:rsidRPr="001F3482" w:rsidRDefault="00A563EC" w:rsidP="002D4A24">
            <w:pPr>
              <w:jc w:val="center"/>
              <w:rPr>
                <w:rFonts w:ascii="Montserrat" w:hAnsi="Montserrat" w:cstheme="minorHAnsi"/>
                <w:b/>
                <w:color w:val="000000" w:themeColor="text1"/>
                <w:sz w:val="22"/>
                <w:szCs w:val="22"/>
              </w:rPr>
            </w:pPr>
            <w:r w:rsidRPr="001F3482">
              <w:rPr>
                <w:rFonts w:ascii="Montserrat" w:hAnsi="Montserrat" w:cstheme="minorHAnsi"/>
                <w:b/>
                <w:color w:val="000000" w:themeColor="text1"/>
                <w:sz w:val="22"/>
                <w:szCs w:val="22"/>
              </w:rPr>
              <w:t>Solicitudes de acceso a la información recibidas en el periodo</w:t>
            </w:r>
          </w:p>
        </w:tc>
        <w:tc>
          <w:tcPr>
            <w:tcW w:w="1757" w:type="dxa"/>
            <w:shd w:val="clear" w:color="auto" w:fill="D9D9D9" w:themeFill="background1" w:themeFillShade="D9"/>
            <w:vAlign w:val="center"/>
            <w:hideMark/>
          </w:tcPr>
          <w:p w14:paraId="517B83EC" w14:textId="77777777" w:rsidR="00A563EC" w:rsidRPr="001F3482" w:rsidRDefault="00A563EC" w:rsidP="002D4A24">
            <w:pPr>
              <w:jc w:val="center"/>
              <w:rPr>
                <w:rFonts w:ascii="Montserrat" w:hAnsi="Montserrat" w:cstheme="minorHAnsi"/>
                <w:b/>
                <w:color w:val="000000" w:themeColor="text1"/>
                <w:sz w:val="22"/>
                <w:szCs w:val="22"/>
              </w:rPr>
            </w:pPr>
            <w:r w:rsidRPr="001F3482">
              <w:rPr>
                <w:rFonts w:ascii="Montserrat" w:hAnsi="Montserrat" w:cstheme="minorHAnsi"/>
                <w:b/>
                <w:color w:val="000000" w:themeColor="text1"/>
                <w:sz w:val="22"/>
                <w:szCs w:val="22"/>
              </w:rPr>
              <w:t>Solicitudes de acceso a la información atendidas</w:t>
            </w:r>
          </w:p>
        </w:tc>
        <w:tc>
          <w:tcPr>
            <w:tcW w:w="1757" w:type="dxa"/>
            <w:shd w:val="clear" w:color="auto" w:fill="D9D9D9" w:themeFill="background1" w:themeFillShade="D9"/>
            <w:vAlign w:val="center"/>
            <w:hideMark/>
          </w:tcPr>
          <w:p w14:paraId="0A80E7AE" w14:textId="77777777" w:rsidR="00A563EC" w:rsidRPr="001F3482" w:rsidRDefault="00A563EC" w:rsidP="002D4A24">
            <w:pPr>
              <w:jc w:val="center"/>
              <w:rPr>
                <w:rFonts w:ascii="Montserrat" w:hAnsi="Montserrat" w:cstheme="minorHAnsi"/>
                <w:b/>
                <w:color w:val="000000" w:themeColor="text1"/>
                <w:sz w:val="22"/>
                <w:szCs w:val="22"/>
              </w:rPr>
            </w:pPr>
            <w:r w:rsidRPr="001F3482">
              <w:rPr>
                <w:rFonts w:ascii="Montserrat" w:hAnsi="Montserrat" w:cstheme="minorHAnsi"/>
                <w:b/>
                <w:color w:val="000000" w:themeColor="text1"/>
                <w:sz w:val="22"/>
                <w:szCs w:val="22"/>
              </w:rPr>
              <w:t>Recursos de revisión interpuestos en contra ante el INAI</w:t>
            </w:r>
          </w:p>
        </w:tc>
        <w:tc>
          <w:tcPr>
            <w:tcW w:w="1757" w:type="dxa"/>
            <w:shd w:val="clear" w:color="auto" w:fill="D9D9D9" w:themeFill="background1" w:themeFillShade="D9"/>
            <w:vAlign w:val="center"/>
            <w:hideMark/>
          </w:tcPr>
          <w:p w14:paraId="0E44A3C1" w14:textId="77777777" w:rsidR="00A563EC" w:rsidRPr="001F3482" w:rsidRDefault="00A563EC" w:rsidP="002D4A24">
            <w:pPr>
              <w:jc w:val="center"/>
              <w:rPr>
                <w:rFonts w:ascii="Montserrat" w:hAnsi="Montserrat" w:cstheme="minorHAnsi"/>
                <w:b/>
                <w:color w:val="000000" w:themeColor="text1"/>
                <w:sz w:val="22"/>
                <w:szCs w:val="22"/>
              </w:rPr>
            </w:pPr>
            <w:r w:rsidRPr="001F3482">
              <w:rPr>
                <w:rFonts w:ascii="Montserrat" w:hAnsi="Montserrat" w:cstheme="minorHAnsi"/>
                <w:b/>
                <w:color w:val="000000" w:themeColor="text1"/>
                <w:sz w:val="22"/>
                <w:szCs w:val="22"/>
              </w:rPr>
              <w:t>Resoluciones emitidas por el INAI</w:t>
            </w:r>
          </w:p>
        </w:tc>
      </w:tr>
      <w:tr w:rsidR="00A563EC" w:rsidRPr="001F3482" w14:paraId="3DA54484" w14:textId="77777777" w:rsidTr="001F3482">
        <w:trPr>
          <w:trHeight w:val="212"/>
          <w:jc w:val="center"/>
        </w:trPr>
        <w:tc>
          <w:tcPr>
            <w:tcW w:w="1544" w:type="dxa"/>
            <w:vAlign w:val="center"/>
          </w:tcPr>
          <w:p w14:paraId="241A1066" w14:textId="77777777" w:rsidR="00A563EC" w:rsidRPr="001F3482" w:rsidRDefault="00A563EC" w:rsidP="002D4A24">
            <w:pPr>
              <w:jc w:val="both"/>
              <w:rPr>
                <w:rFonts w:ascii="Montserrat" w:hAnsi="Montserrat" w:cstheme="minorHAnsi"/>
                <w:sz w:val="22"/>
                <w:szCs w:val="22"/>
              </w:rPr>
            </w:pPr>
            <w:r w:rsidRPr="001F3482">
              <w:rPr>
                <w:rFonts w:ascii="Montserrat" w:hAnsi="Montserrat" w:cstheme="minorHAnsi"/>
                <w:sz w:val="22"/>
                <w:szCs w:val="22"/>
              </w:rPr>
              <w:t>ECOSUR</w:t>
            </w:r>
          </w:p>
        </w:tc>
        <w:tc>
          <w:tcPr>
            <w:tcW w:w="1757" w:type="dxa"/>
            <w:vAlign w:val="center"/>
          </w:tcPr>
          <w:p w14:paraId="16F3EE67" w14:textId="77777777" w:rsidR="00A563EC" w:rsidRPr="001F3482" w:rsidRDefault="00A563EC" w:rsidP="002D4A24">
            <w:pPr>
              <w:jc w:val="center"/>
              <w:rPr>
                <w:rFonts w:ascii="Montserrat" w:hAnsi="Montserrat" w:cstheme="minorHAnsi"/>
                <w:sz w:val="22"/>
                <w:szCs w:val="22"/>
              </w:rPr>
            </w:pPr>
            <w:r w:rsidRPr="001F3482">
              <w:rPr>
                <w:rFonts w:ascii="Montserrat" w:hAnsi="Montserrat" w:cstheme="minorHAnsi"/>
                <w:sz w:val="22"/>
                <w:szCs w:val="22"/>
              </w:rPr>
              <w:t>37</w:t>
            </w:r>
          </w:p>
        </w:tc>
        <w:tc>
          <w:tcPr>
            <w:tcW w:w="1757" w:type="dxa"/>
            <w:vAlign w:val="center"/>
          </w:tcPr>
          <w:p w14:paraId="270D94A0" w14:textId="77777777" w:rsidR="00A563EC" w:rsidRPr="001F3482" w:rsidRDefault="00A563EC" w:rsidP="002D4A24">
            <w:pPr>
              <w:jc w:val="center"/>
              <w:rPr>
                <w:rFonts w:ascii="Montserrat" w:hAnsi="Montserrat" w:cstheme="minorHAnsi"/>
                <w:sz w:val="22"/>
                <w:szCs w:val="22"/>
              </w:rPr>
            </w:pPr>
            <w:r w:rsidRPr="001F3482">
              <w:rPr>
                <w:rFonts w:ascii="Montserrat" w:hAnsi="Montserrat" w:cstheme="minorHAnsi"/>
                <w:sz w:val="22"/>
                <w:szCs w:val="22"/>
              </w:rPr>
              <w:t>37</w:t>
            </w:r>
          </w:p>
        </w:tc>
        <w:tc>
          <w:tcPr>
            <w:tcW w:w="1757" w:type="dxa"/>
            <w:vAlign w:val="center"/>
          </w:tcPr>
          <w:p w14:paraId="4F0B823C" w14:textId="77777777" w:rsidR="00A563EC" w:rsidRPr="001F3482" w:rsidRDefault="00A563EC" w:rsidP="002D4A24">
            <w:pPr>
              <w:jc w:val="center"/>
              <w:rPr>
                <w:rFonts w:ascii="Montserrat" w:hAnsi="Montserrat" w:cstheme="minorHAnsi"/>
                <w:sz w:val="22"/>
                <w:szCs w:val="22"/>
              </w:rPr>
            </w:pPr>
            <w:r w:rsidRPr="001F3482">
              <w:rPr>
                <w:rFonts w:ascii="Montserrat" w:hAnsi="Montserrat" w:cstheme="minorHAnsi"/>
                <w:sz w:val="22"/>
                <w:szCs w:val="22"/>
              </w:rPr>
              <w:t>0</w:t>
            </w:r>
          </w:p>
        </w:tc>
        <w:tc>
          <w:tcPr>
            <w:tcW w:w="1757" w:type="dxa"/>
            <w:vAlign w:val="center"/>
          </w:tcPr>
          <w:p w14:paraId="079015E9" w14:textId="77777777" w:rsidR="00A563EC" w:rsidRPr="001F3482" w:rsidRDefault="00A563EC" w:rsidP="002D4A24">
            <w:pPr>
              <w:jc w:val="center"/>
              <w:rPr>
                <w:rFonts w:ascii="Montserrat" w:hAnsi="Montserrat" w:cstheme="minorHAnsi"/>
                <w:sz w:val="22"/>
                <w:szCs w:val="22"/>
              </w:rPr>
            </w:pPr>
            <w:r w:rsidRPr="001F3482">
              <w:rPr>
                <w:rFonts w:ascii="Montserrat" w:hAnsi="Montserrat" w:cstheme="minorHAnsi"/>
                <w:sz w:val="22"/>
                <w:szCs w:val="22"/>
              </w:rPr>
              <w:t>0</w:t>
            </w:r>
          </w:p>
        </w:tc>
      </w:tr>
      <w:tr w:rsidR="00A563EC" w:rsidRPr="001F3482" w14:paraId="11306D66" w14:textId="77777777" w:rsidTr="008C43E8">
        <w:trPr>
          <w:trHeight w:val="57"/>
          <w:jc w:val="center"/>
        </w:trPr>
        <w:tc>
          <w:tcPr>
            <w:tcW w:w="1544" w:type="dxa"/>
            <w:vAlign w:val="center"/>
          </w:tcPr>
          <w:p w14:paraId="084250A0" w14:textId="77777777" w:rsidR="00A563EC" w:rsidRPr="001F3482" w:rsidRDefault="00A563EC" w:rsidP="002D4A24">
            <w:pPr>
              <w:jc w:val="both"/>
              <w:rPr>
                <w:rFonts w:ascii="Montserrat" w:hAnsi="Montserrat" w:cstheme="minorHAnsi"/>
                <w:sz w:val="22"/>
                <w:szCs w:val="22"/>
              </w:rPr>
            </w:pPr>
            <w:r w:rsidRPr="001F3482">
              <w:rPr>
                <w:rFonts w:ascii="Montserrat" w:hAnsi="Montserrat" w:cstheme="minorHAnsi"/>
                <w:sz w:val="22"/>
                <w:szCs w:val="22"/>
              </w:rPr>
              <w:t>FID. 784</w:t>
            </w:r>
          </w:p>
        </w:tc>
        <w:tc>
          <w:tcPr>
            <w:tcW w:w="1757" w:type="dxa"/>
            <w:vAlign w:val="center"/>
          </w:tcPr>
          <w:p w14:paraId="731BC757" w14:textId="77777777" w:rsidR="00A563EC" w:rsidRPr="001F3482" w:rsidRDefault="00A563EC" w:rsidP="002D4A24">
            <w:pPr>
              <w:jc w:val="center"/>
              <w:rPr>
                <w:rFonts w:ascii="Montserrat" w:hAnsi="Montserrat" w:cstheme="minorHAnsi"/>
                <w:sz w:val="22"/>
                <w:szCs w:val="22"/>
              </w:rPr>
            </w:pPr>
            <w:r w:rsidRPr="001F3482">
              <w:rPr>
                <w:rFonts w:ascii="Montserrat" w:hAnsi="Montserrat" w:cstheme="minorHAnsi"/>
                <w:sz w:val="22"/>
                <w:szCs w:val="22"/>
              </w:rPr>
              <w:t>3</w:t>
            </w:r>
          </w:p>
        </w:tc>
        <w:tc>
          <w:tcPr>
            <w:tcW w:w="1757" w:type="dxa"/>
            <w:vAlign w:val="center"/>
          </w:tcPr>
          <w:p w14:paraId="0BBB3DCF" w14:textId="77777777" w:rsidR="00A563EC" w:rsidRPr="001F3482" w:rsidRDefault="00A563EC" w:rsidP="002D4A24">
            <w:pPr>
              <w:jc w:val="center"/>
              <w:rPr>
                <w:rFonts w:ascii="Montserrat" w:hAnsi="Montserrat" w:cstheme="minorHAnsi"/>
                <w:sz w:val="22"/>
                <w:szCs w:val="22"/>
              </w:rPr>
            </w:pPr>
            <w:r w:rsidRPr="001F3482">
              <w:rPr>
                <w:rFonts w:ascii="Montserrat" w:hAnsi="Montserrat" w:cstheme="minorHAnsi"/>
                <w:sz w:val="22"/>
                <w:szCs w:val="22"/>
              </w:rPr>
              <w:t>3</w:t>
            </w:r>
          </w:p>
        </w:tc>
        <w:tc>
          <w:tcPr>
            <w:tcW w:w="1757" w:type="dxa"/>
            <w:vAlign w:val="center"/>
          </w:tcPr>
          <w:p w14:paraId="293EE293" w14:textId="77777777" w:rsidR="00A563EC" w:rsidRPr="001F3482" w:rsidRDefault="00A563EC" w:rsidP="002D4A24">
            <w:pPr>
              <w:jc w:val="center"/>
              <w:rPr>
                <w:rFonts w:ascii="Montserrat" w:hAnsi="Montserrat" w:cstheme="minorHAnsi"/>
                <w:sz w:val="22"/>
                <w:szCs w:val="22"/>
              </w:rPr>
            </w:pPr>
            <w:r w:rsidRPr="001F3482">
              <w:rPr>
                <w:rFonts w:ascii="Montserrat" w:hAnsi="Montserrat" w:cstheme="minorHAnsi"/>
                <w:sz w:val="22"/>
                <w:szCs w:val="22"/>
              </w:rPr>
              <w:t>0</w:t>
            </w:r>
          </w:p>
        </w:tc>
        <w:tc>
          <w:tcPr>
            <w:tcW w:w="1757" w:type="dxa"/>
            <w:vAlign w:val="center"/>
          </w:tcPr>
          <w:p w14:paraId="6C86F9F7" w14:textId="77777777" w:rsidR="00A563EC" w:rsidRPr="001F3482" w:rsidRDefault="00A563EC" w:rsidP="002D4A24">
            <w:pPr>
              <w:jc w:val="center"/>
              <w:rPr>
                <w:rFonts w:ascii="Montserrat" w:hAnsi="Montserrat" w:cstheme="minorHAnsi"/>
                <w:sz w:val="22"/>
                <w:szCs w:val="22"/>
              </w:rPr>
            </w:pPr>
            <w:r w:rsidRPr="001F3482">
              <w:rPr>
                <w:rFonts w:ascii="Montserrat" w:hAnsi="Montserrat" w:cstheme="minorHAnsi"/>
                <w:sz w:val="22"/>
                <w:szCs w:val="22"/>
              </w:rPr>
              <w:t>0</w:t>
            </w:r>
          </w:p>
        </w:tc>
      </w:tr>
    </w:tbl>
    <w:p w14:paraId="09E18E7E" w14:textId="77777777" w:rsidR="00A563EC" w:rsidRPr="001F3482" w:rsidRDefault="00A563EC" w:rsidP="002D4A24">
      <w:pPr>
        <w:pStyle w:val="Prrafodelista"/>
        <w:widowControl w:val="0"/>
        <w:autoSpaceDE w:val="0"/>
        <w:autoSpaceDN w:val="0"/>
        <w:adjustRightInd w:val="0"/>
        <w:contextualSpacing w:val="0"/>
        <w:jc w:val="both"/>
        <w:rPr>
          <w:rFonts w:ascii="Montserrat" w:eastAsia="Calibri" w:hAnsi="Montserrat" w:cstheme="minorHAnsi"/>
          <w:b/>
          <w:sz w:val="22"/>
          <w:szCs w:val="22"/>
          <w:u w:val="single"/>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183"/>
        <w:gridCol w:w="1134"/>
      </w:tblGrid>
      <w:tr w:rsidR="00A563EC" w:rsidRPr="001F3482" w14:paraId="41E6B2B5" w14:textId="77777777" w:rsidTr="008C43E8">
        <w:trPr>
          <w:jc w:val="center"/>
        </w:trPr>
        <w:tc>
          <w:tcPr>
            <w:tcW w:w="5244" w:type="dxa"/>
            <w:shd w:val="clear" w:color="auto" w:fill="D9D9D9" w:themeFill="background1" w:themeFillShade="D9"/>
          </w:tcPr>
          <w:p w14:paraId="5DF57AEE" w14:textId="77777777" w:rsidR="00A563EC" w:rsidRPr="001F3482" w:rsidRDefault="00A563EC" w:rsidP="002D4A24">
            <w:pPr>
              <w:widowControl w:val="0"/>
              <w:suppressAutoHyphens/>
              <w:jc w:val="both"/>
              <w:rPr>
                <w:rFonts w:ascii="Montserrat" w:eastAsia="SimSun" w:hAnsi="Montserrat" w:cstheme="minorHAnsi"/>
                <w:b/>
                <w:kern w:val="1"/>
                <w:sz w:val="22"/>
                <w:szCs w:val="22"/>
                <w:lang w:eastAsia="hi-IN" w:bidi="hi-IN"/>
              </w:rPr>
            </w:pPr>
            <w:r w:rsidRPr="001F3482">
              <w:rPr>
                <w:rFonts w:ascii="Montserrat" w:eastAsia="Calibri" w:hAnsi="Montserrat" w:cstheme="minorHAnsi"/>
                <w:b/>
                <w:sz w:val="22"/>
                <w:szCs w:val="22"/>
                <w:lang w:val="es-ES" w:eastAsia="es-ES"/>
              </w:rPr>
              <w:t>Modalidad de respuestas</w:t>
            </w:r>
          </w:p>
        </w:tc>
        <w:tc>
          <w:tcPr>
            <w:tcW w:w="1134" w:type="dxa"/>
            <w:shd w:val="clear" w:color="auto" w:fill="D9D9D9" w:themeFill="background1" w:themeFillShade="D9"/>
          </w:tcPr>
          <w:p w14:paraId="2D79F433" w14:textId="77777777" w:rsidR="00A563EC" w:rsidRPr="001F3482" w:rsidRDefault="00A563EC" w:rsidP="002D4A24">
            <w:pPr>
              <w:widowControl w:val="0"/>
              <w:suppressAutoHyphens/>
              <w:jc w:val="both"/>
              <w:rPr>
                <w:rFonts w:ascii="Montserrat" w:eastAsia="SimSun" w:hAnsi="Montserrat" w:cstheme="minorHAnsi"/>
                <w:b/>
                <w:kern w:val="1"/>
                <w:sz w:val="22"/>
                <w:szCs w:val="22"/>
                <w:lang w:eastAsia="hi-IN" w:bidi="hi-IN"/>
              </w:rPr>
            </w:pPr>
            <w:r w:rsidRPr="001F3482">
              <w:rPr>
                <w:rFonts w:ascii="Montserrat" w:eastAsia="SimSun" w:hAnsi="Montserrat" w:cstheme="minorHAnsi"/>
                <w:b/>
                <w:kern w:val="1"/>
                <w:sz w:val="22"/>
                <w:szCs w:val="22"/>
                <w:lang w:eastAsia="hi-IN" w:bidi="hi-IN"/>
              </w:rPr>
              <w:t>ECOSUR</w:t>
            </w:r>
          </w:p>
        </w:tc>
        <w:tc>
          <w:tcPr>
            <w:tcW w:w="1134" w:type="dxa"/>
            <w:shd w:val="clear" w:color="auto" w:fill="D9D9D9" w:themeFill="background1" w:themeFillShade="D9"/>
          </w:tcPr>
          <w:p w14:paraId="3A9A060B" w14:textId="77777777" w:rsidR="00A563EC" w:rsidRPr="001F3482" w:rsidRDefault="00A563EC" w:rsidP="002D4A24">
            <w:pPr>
              <w:widowControl w:val="0"/>
              <w:suppressAutoHyphens/>
              <w:jc w:val="both"/>
              <w:rPr>
                <w:rFonts w:ascii="Montserrat" w:eastAsia="SimSun" w:hAnsi="Montserrat" w:cstheme="minorHAnsi"/>
                <w:b/>
                <w:kern w:val="1"/>
                <w:sz w:val="22"/>
                <w:szCs w:val="22"/>
                <w:lang w:eastAsia="hi-IN" w:bidi="hi-IN"/>
              </w:rPr>
            </w:pPr>
            <w:r w:rsidRPr="001F3482">
              <w:rPr>
                <w:rFonts w:ascii="Montserrat" w:eastAsia="SimSun" w:hAnsi="Montserrat" w:cstheme="minorHAnsi"/>
                <w:b/>
                <w:kern w:val="1"/>
                <w:sz w:val="22"/>
                <w:szCs w:val="22"/>
                <w:lang w:eastAsia="hi-IN" w:bidi="hi-IN"/>
              </w:rPr>
              <w:t>FID.784</w:t>
            </w:r>
          </w:p>
        </w:tc>
      </w:tr>
      <w:tr w:rsidR="00A563EC" w:rsidRPr="001F3482" w14:paraId="22300365" w14:textId="77777777" w:rsidTr="008C43E8">
        <w:trPr>
          <w:jc w:val="center"/>
        </w:trPr>
        <w:tc>
          <w:tcPr>
            <w:tcW w:w="5244" w:type="dxa"/>
          </w:tcPr>
          <w:p w14:paraId="4A629402" w14:textId="77777777" w:rsidR="00A563EC" w:rsidRPr="001F3482" w:rsidRDefault="00A563EC" w:rsidP="002D4A24">
            <w:pPr>
              <w:widowControl w:val="0"/>
              <w:suppressAutoHyphens/>
              <w:jc w:val="both"/>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Entrega de información en medio electrónico</w:t>
            </w:r>
          </w:p>
        </w:tc>
        <w:tc>
          <w:tcPr>
            <w:tcW w:w="1134" w:type="dxa"/>
          </w:tcPr>
          <w:p w14:paraId="42D4EACA" w14:textId="77777777" w:rsidR="00A563EC" w:rsidRPr="001F3482" w:rsidRDefault="00A563EC" w:rsidP="002D4A24">
            <w:pPr>
              <w:widowControl w:val="0"/>
              <w:suppressAutoHyphens/>
              <w:jc w:val="center"/>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32</w:t>
            </w:r>
          </w:p>
        </w:tc>
        <w:tc>
          <w:tcPr>
            <w:tcW w:w="1134" w:type="dxa"/>
          </w:tcPr>
          <w:p w14:paraId="7D402DF5" w14:textId="77777777" w:rsidR="00A563EC" w:rsidRPr="001F3482" w:rsidRDefault="00A563EC" w:rsidP="002D4A24">
            <w:pPr>
              <w:widowControl w:val="0"/>
              <w:suppressAutoHyphens/>
              <w:jc w:val="center"/>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3</w:t>
            </w:r>
          </w:p>
        </w:tc>
      </w:tr>
      <w:tr w:rsidR="00A563EC" w:rsidRPr="001F3482" w14:paraId="0BC700DF" w14:textId="77777777" w:rsidTr="008C43E8">
        <w:trPr>
          <w:jc w:val="center"/>
        </w:trPr>
        <w:tc>
          <w:tcPr>
            <w:tcW w:w="5244" w:type="dxa"/>
          </w:tcPr>
          <w:p w14:paraId="26FF090B" w14:textId="77777777" w:rsidR="00A563EC" w:rsidRPr="001F3482" w:rsidRDefault="00A563EC" w:rsidP="002D4A24">
            <w:pPr>
              <w:widowControl w:val="0"/>
              <w:suppressAutoHyphens/>
              <w:jc w:val="both"/>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Información confidencial</w:t>
            </w:r>
          </w:p>
        </w:tc>
        <w:tc>
          <w:tcPr>
            <w:tcW w:w="1134" w:type="dxa"/>
          </w:tcPr>
          <w:p w14:paraId="210AAC30" w14:textId="77777777" w:rsidR="00A563EC" w:rsidRPr="001F3482" w:rsidRDefault="00A563EC" w:rsidP="002D4A24">
            <w:pPr>
              <w:widowControl w:val="0"/>
              <w:suppressAutoHyphens/>
              <w:jc w:val="center"/>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2</w:t>
            </w:r>
          </w:p>
        </w:tc>
        <w:tc>
          <w:tcPr>
            <w:tcW w:w="1134" w:type="dxa"/>
          </w:tcPr>
          <w:p w14:paraId="317C61F7" w14:textId="77777777" w:rsidR="00A563EC" w:rsidRPr="001F3482" w:rsidRDefault="00A563EC" w:rsidP="002D4A24">
            <w:pPr>
              <w:widowControl w:val="0"/>
              <w:suppressAutoHyphens/>
              <w:jc w:val="center"/>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0</w:t>
            </w:r>
          </w:p>
        </w:tc>
      </w:tr>
      <w:tr w:rsidR="00A563EC" w:rsidRPr="001F3482" w14:paraId="4356EE12" w14:textId="77777777" w:rsidTr="008C43E8">
        <w:trPr>
          <w:jc w:val="center"/>
        </w:trPr>
        <w:tc>
          <w:tcPr>
            <w:tcW w:w="5244" w:type="dxa"/>
          </w:tcPr>
          <w:p w14:paraId="6C793111" w14:textId="77777777" w:rsidR="00A563EC" w:rsidRPr="001F3482" w:rsidRDefault="00A563EC" w:rsidP="002D4A24">
            <w:pPr>
              <w:widowControl w:val="0"/>
              <w:suppressAutoHyphens/>
              <w:jc w:val="both"/>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Notoria incompetencia</w:t>
            </w:r>
          </w:p>
        </w:tc>
        <w:tc>
          <w:tcPr>
            <w:tcW w:w="1134" w:type="dxa"/>
          </w:tcPr>
          <w:p w14:paraId="005C5303" w14:textId="77777777" w:rsidR="00A563EC" w:rsidRPr="001F3482" w:rsidRDefault="00A563EC" w:rsidP="002D4A24">
            <w:pPr>
              <w:widowControl w:val="0"/>
              <w:suppressAutoHyphens/>
              <w:jc w:val="center"/>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2</w:t>
            </w:r>
          </w:p>
        </w:tc>
        <w:tc>
          <w:tcPr>
            <w:tcW w:w="1134" w:type="dxa"/>
          </w:tcPr>
          <w:p w14:paraId="70E95B0D" w14:textId="77777777" w:rsidR="00A563EC" w:rsidRPr="001F3482" w:rsidRDefault="00A563EC" w:rsidP="002D4A24">
            <w:pPr>
              <w:widowControl w:val="0"/>
              <w:suppressAutoHyphens/>
              <w:jc w:val="center"/>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0</w:t>
            </w:r>
          </w:p>
        </w:tc>
      </w:tr>
      <w:tr w:rsidR="00A563EC" w:rsidRPr="001F3482" w14:paraId="25007256" w14:textId="77777777" w:rsidTr="008C43E8">
        <w:trPr>
          <w:jc w:val="center"/>
        </w:trPr>
        <w:tc>
          <w:tcPr>
            <w:tcW w:w="5244" w:type="dxa"/>
          </w:tcPr>
          <w:p w14:paraId="78F8036D" w14:textId="77777777" w:rsidR="00A563EC" w:rsidRPr="001F3482" w:rsidRDefault="00A563EC" w:rsidP="002D4A24">
            <w:pPr>
              <w:widowControl w:val="0"/>
              <w:suppressAutoHyphens/>
              <w:jc w:val="both"/>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Disponibilidad de la Información</w:t>
            </w:r>
          </w:p>
        </w:tc>
        <w:tc>
          <w:tcPr>
            <w:tcW w:w="1134" w:type="dxa"/>
          </w:tcPr>
          <w:p w14:paraId="5DA85319" w14:textId="77777777" w:rsidR="00A563EC" w:rsidRPr="001F3482" w:rsidRDefault="00A563EC" w:rsidP="002D4A24">
            <w:pPr>
              <w:widowControl w:val="0"/>
              <w:suppressAutoHyphens/>
              <w:jc w:val="center"/>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1</w:t>
            </w:r>
          </w:p>
        </w:tc>
        <w:tc>
          <w:tcPr>
            <w:tcW w:w="1134" w:type="dxa"/>
          </w:tcPr>
          <w:p w14:paraId="1D88D281" w14:textId="77777777" w:rsidR="00A563EC" w:rsidRPr="001F3482" w:rsidRDefault="00A563EC" w:rsidP="002D4A24">
            <w:pPr>
              <w:widowControl w:val="0"/>
              <w:suppressAutoHyphens/>
              <w:jc w:val="center"/>
              <w:rPr>
                <w:rFonts w:ascii="Montserrat" w:eastAsia="SimSun" w:hAnsi="Montserrat" w:cstheme="minorHAnsi"/>
                <w:kern w:val="1"/>
                <w:sz w:val="22"/>
                <w:szCs w:val="22"/>
                <w:lang w:eastAsia="hi-IN" w:bidi="hi-IN"/>
              </w:rPr>
            </w:pPr>
            <w:r w:rsidRPr="001F3482">
              <w:rPr>
                <w:rFonts w:ascii="Montserrat" w:eastAsia="SimSun" w:hAnsi="Montserrat" w:cstheme="minorHAnsi"/>
                <w:kern w:val="1"/>
                <w:sz w:val="22"/>
                <w:szCs w:val="22"/>
                <w:lang w:eastAsia="hi-IN" w:bidi="hi-IN"/>
              </w:rPr>
              <w:t>0</w:t>
            </w:r>
          </w:p>
        </w:tc>
      </w:tr>
      <w:tr w:rsidR="00A563EC" w:rsidRPr="001F3482" w14:paraId="235FC34A" w14:textId="77777777" w:rsidTr="008C43E8">
        <w:trPr>
          <w:jc w:val="center"/>
        </w:trPr>
        <w:tc>
          <w:tcPr>
            <w:tcW w:w="5244" w:type="dxa"/>
          </w:tcPr>
          <w:p w14:paraId="1D2F0E0F" w14:textId="77777777" w:rsidR="00A563EC" w:rsidRPr="001F3482" w:rsidRDefault="00A563EC" w:rsidP="002D4A24">
            <w:pPr>
              <w:widowControl w:val="0"/>
              <w:suppressAutoHyphens/>
              <w:jc w:val="both"/>
              <w:rPr>
                <w:rFonts w:ascii="Montserrat" w:eastAsia="SimSun" w:hAnsi="Montserrat" w:cstheme="minorHAnsi"/>
                <w:b/>
                <w:kern w:val="1"/>
                <w:sz w:val="22"/>
                <w:szCs w:val="22"/>
                <w:lang w:eastAsia="hi-IN" w:bidi="hi-IN"/>
              </w:rPr>
            </w:pPr>
            <w:r w:rsidRPr="001F3482">
              <w:rPr>
                <w:rFonts w:ascii="Montserrat" w:eastAsia="SimSun" w:hAnsi="Montserrat" w:cstheme="minorHAnsi"/>
                <w:b/>
                <w:kern w:val="1"/>
                <w:sz w:val="22"/>
                <w:szCs w:val="22"/>
                <w:lang w:eastAsia="hi-IN" w:bidi="hi-IN"/>
              </w:rPr>
              <w:t>Totales:</w:t>
            </w:r>
          </w:p>
        </w:tc>
        <w:tc>
          <w:tcPr>
            <w:tcW w:w="1134" w:type="dxa"/>
          </w:tcPr>
          <w:p w14:paraId="313B0D7F" w14:textId="77777777" w:rsidR="00A563EC" w:rsidRPr="001F3482" w:rsidRDefault="00A563EC" w:rsidP="002D4A24">
            <w:pPr>
              <w:widowControl w:val="0"/>
              <w:suppressAutoHyphens/>
              <w:jc w:val="center"/>
              <w:rPr>
                <w:rFonts w:ascii="Montserrat" w:eastAsia="SimSun" w:hAnsi="Montserrat" w:cstheme="minorHAnsi"/>
                <w:b/>
                <w:kern w:val="1"/>
                <w:sz w:val="22"/>
                <w:szCs w:val="22"/>
                <w:lang w:eastAsia="hi-IN" w:bidi="hi-IN"/>
              </w:rPr>
            </w:pPr>
            <w:r w:rsidRPr="001F3482">
              <w:rPr>
                <w:rFonts w:ascii="Montserrat" w:eastAsia="SimSun" w:hAnsi="Montserrat" w:cstheme="minorHAnsi"/>
                <w:b/>
                <w:kern w:val="1"/>
                <w:sz w:val="22"/>
                <w:szCs w:val="22"/>
                <w:lang w:eastAsia="hi-IN" w:bidi="hi-IN"/>
              </w:rPr>
              <w:t>37</w:t>
            </w:r>
          </w:p>
        </w:tc>
        <w:tc>
          <w:tcPr>
            <w:tcW w:w="1134" w:type="dxa"/>
          </w:tcPr>
          <w:p w14:paraId="418195E1" w14:textId="77777777" w:rsidR="00A563EC" w:rsidRPr="001F3482" w:rsidRDefault="00A563EC" w:rsidP="002D4A24">
            <w:pPr>
              <w:widowControl w:val="0"/>
              <w:suppressAutoHyphens/>
              <w:jc w:val="center"/>
              <w:rPr>
                <w:rFonts w:ascii="Montserrat" w:eastAsia="SimSun" w:hAnsi="Montserrat" w:cstheme="minorHAnsi"/>
                <w:b/>
                <w:kern w:val="1"/>
                <w:sz w:val="22"/>
                <w:szCs w:val="22"/>
                <w:lang w:eastAsia="hi-IN" w:bidi="hi-IN"/>
              </w:rPr>
            </w:pPr>
            <w:r w:rsidRPr="001F3482">
              <w:rPr>
                <w:rFonts w:ascii="Montserrat" w:eastAsia="SimSun" w:hAnsi="Montserrat" w:cstheme="minorHAnsi"/>
                <w:b/>
                <w:kern w:val="1"/>
                <w:sz w:val="22"/>
                <w:szCs w:val="22"/>
                <w:lang w:eastAsia="hi-IN" w:bidi="hi-IN"/>
              </w:rPr>
              <w:t>3</w:t>
            </w:r>
          </w:p>
        </w:tc>
      </w:tr>
    </w:tbl>
    <w:p w14:paraId="3A10E60F" w14:textId="77777777" w:rsidR="003F39BE" w:rsidRPr="001F3482" w:rsidRDefault="003F39BE" w:rsidP="002D4A24">
      <w:pPr>
        <w:widowControl w:val="0"/>
        <w:suppressAutoHyphens/>
        <w:jc w:val="both"/>
        <w:rPr>
          <w:rFonts w:ascii="Montserrat" w:eastAsia="SimSun" w:hAnsi="Montserrat" w:cstheme="minorHAnsi"/>
          <w:kern w:val="1"/>
          <w:sz w:val="22"/>
          <w:szCs w:val="22"/>
          <w:lang w:eastAsia="hi-IN" w:bidi="hi-IN"/>
        </w:rPr>
      </w:pPr>
    </w:p>
    <w:p w14:paraId="3556A99D" w14:textId="77777777" w:rsidR="003F39BE" w:rsidRPr="001F3482" w:rsidRDefault="003F39BE" w:rsidP="002D4A24">
      <w:pPr>
        <w:widowControl w:val="0"/>
        <w:suppressAutoHyphens/>
        <w:jc w:val="both"/>
        <w:rPr>
          <w:rFonts w:ascii="Montserrat" w:eastAsia="SimSun" w:hAnsi="Montserrat" w:cstheme="minorHAnsi"/>
          <w:kern w:val="1"/>
          <w:sz w:val="22"/>
          <w:szCs w:val="22"/>
          <w:lang w:eastAsia="hi-IN" w:bidi="hi-IN"/>
        </w:rPr>
      </w:pPr>
    </w:p>
    <w:p w14:paraId="58B5AF8B" w14:textId="77777777" w:rsidR="003F39BE" w:rsidRPr="001F3482" w:rsidRDefault="003F39BE" w:rsidP="002D4A24">
      <w:pPr>
        <w:widowControl w:val="0"/>
        <w:numPr>
          <w:ilvl w:val="0"/>
          <w:numId w:val="6"/>
        </w:numPr>
        <w:suppressAutoHyphens/>
        <w:autoSpaceDE w:val="0"/>
        <w:autoSpaceDN w:val="0"/>
        <w:adjustRightInd w:val="0"/>
        <w:jc w:val="both"/>
        <w:rPr>
          <w:rFonts w:ascii="Montserrat" w:eastAsia="Calibri" w:hAnsi="Montserrat" w:cstheme="minorHAnsi"/>
          <w:b/>
          <w:sz w:val="22"/>
          <w:szCs w:val="22"/>
          <w:u w:val="single"/>
          <w:lang w:val="es-ES" w:eastAsia="es-ES"/>
        </w:rPr>
      </w:pPr>
      <w:r w:rsidRPr="001F3482">
        <w:rPr>
          <w:rFonts w:ascii="Montserrat" w:eastAsia="Calibri" w:hAnsi="Montserrat" w:cstheme="minorHAnsi"/>
          <w:b/>
          <w:sz w:val="22"/>
          <w:szCs w:val="22"/>
          <w:u w:val="single"/>
          <w:lang w:val="es-ES" w:eastAsia="es-ES"/>
        </w:rPr>
        <w:t>Calificaciones del INAI al cierre del periodo, comparadas con las del año anterior.</w:t>
      </w:r>
    </w:p>
    <w:p w14:paraId="1B1BD08E" w14:textId="77777777" w:rsidR="00351294" w:rsidRDefault="00351294" w:rsidP="002D4A24">
      <w:pPr>
        <w:widowControl w:val="0"/>
        <w:suppressAutoHyphens/>
        <w:autoSpaceDE w:val="0"/>
        <w:autoSpaceDN w:val="0"/>
        <w:adjustRightInd w:val="0"/>
        <w:jc w:val="both"/>
        <w:rPr>
          <w:rFonts w:ascii="Montserrat" w:eastAsia="Calibri" w:hAnsi="Montserrat" w:cstheme="minorHAnsi"/>
          <w:sz w:val="22"/>
          <w:szCs w:val="22"/>
          <w:lang w:val="es-ES" w:eastAsia="es-ES"/>
        </w:rPr>
      </w:pPr>
    </w:p>
    <w:p w14:paraId="3A3821A4" w14:textId="52380C40" w:rsidR="00474F26" w:rsidRPr="001F3482" w:rsidRDefault="00474F26" w:rsidP="002D4A24">
      <w:pPr>
        <w:widowControl w:val="0"/>
        <w:suppressAutoHyphens/>
        <w:autoSpaceDE w:val="0"/>
        <w:autoSpaceDN w:val="0"/>
        <w:adjustRightInd w:val="0"/>
        <w:jc w:val="both"/>
        <w:rPr>
          <w:rFonts w:ascii="Montserrat" w:hAnsi="Montserrat" w:cstheme="minorHAnsi"/>
          <w:sz w:val="22"/>
          <w:szCs w:val="22"/>
          <w:lang w:val="es-ES"/>
        </w:rPr>
      </w:pPr>
      <w:r w:rsidRPr="001F3482">
        <w:rPr>
          <w:rFonts w:ascii="Montserrat" w:eastAsia="Calibri" w:hAnsi="Montserrat" w:cstheme="minorHAnsi"/>
          <w:sz w:val="22"/>
          <w:szCs w:val="22"/>
          <w:lang w:val="es-ES" w:eastAsia="es-ES"/>
        </w:rPr>
        <w:t xml:space="preserve">Se hace del conocimiento que </w:t>
      </w:r>
      <w:r w:rsidR="00CB5DD2" w:rsidRPr="001F3482">
        <w:rPr>
          <w:rFonts w:ascii="Montserrat" w:eastAsia="Calibri" w:hAnsi="Montserrat" w:cstheme="minorHAnsi"/>
          <w:sz w:val="22"/>
          <w:szCs w:val="22"/>
          <w:lang w:val="es-ES" w:eastAsia="es-ES"/>
        </w:rPr>
        <w:t>el INAI</w:t>
      </w:r>
      <w:r w:rsidRPr="001F3482">
        <w:rPr>
          <w:rFonts w:ascii="Montserrat" w:hAnsi="Montserrat" w:cstheme="minorHAnsi"/>
          <w:sz w:val="22"/>
          <w:szCs w:val="22"/>
          <w:lang w:val="es-ES"/>
        </w:rPr>
        <w:t xml:space="preserve"> </w:t>
      </w:r>
      <w:r w:rsidR="00AC6CA6" w:rsidRPr="001F3482">
        <w:rPr>
          <w:rFonts w:ascii="Montserrat" w:hAnsi="Montserrat" w:cstheme="minorHAnsi"/>
          <w:sz w:val="22"/>
          <w:szCs w:val="22"/>
          <w:lang w:val="es-ES"/>
        </w:rPr>
        <w:t>lleva a cabo la verificación</w:t>
      </w:r>
      <w:r w:rsidR="0054348A" w:rsidRPr="001F3482">
        <w:rPr>
          <w:rFonts w:ascii="Montserrat" w:hAnsi="Montserrat" w:cstheme="minorHAnsi"/>
          <w:sz w:val="22"/>
          <w:szCs w:val="22"/>
          <w:lang w:val="es-ES"/>
        </w:rPr>
        <w:t xml:space="preserve"> </w:t>
      </w:r>
      <w:r w:rsidR="003C0F56">
        <w:rPr>
          <w:rFonts w:ascii="Montserrat" w:hAnsi="Montserrat" w:cstheme="minorHAnsi"/>
          <w:sz w:val="22"/>
          <w:szCs w:val="22"/>
          <w:lang w:val="es-ES"/>
        </w:rPr>
        <w:t xml:space="preserve">al Sistema de Portales de Obligaciones de Transparencia (SIPOT) </w:t>
      </w:r>
      <w:r w:rsidRPr="001F3482">
        <w:rPr>
          <w:rFonts w:ascii="Montserrat" w:hAnsi="Montserrat" w:cstheme="minorHAnsi"/>
          <w:sz w:val="22"/>
          <w:szCs w:val="22"/>
          <w:lang w:val="es-ES"/>
        </w:rPr>
        <w:t>de forma muestral, es decir</w:t>
      </w:r>
      <w:r w:rsidR="0054348A" w:rsidRPr="001F3482">
        <w:rPr>
          <w:rFonts w:ascii="Montserrat" w:hAnsi="Montserrat" w:cstheme="minorHAnsi"/>
          <w:sz w:val="22"/>
          <w:szCs w:val="22"/>
          <w:lang w:val="es-ES"/>
        </w:rPr>
        <w:t>,</w:t>
      </w:r>
      <w:r w:rsidRPr="001F3482">
        <w:rPr>
          <w:rFonts w:ascii="Montserrat" w:hAnsi="Montserrat" w:cstheme="minorHAnsi"/>
          <w:sz w:val="22"/>
          <w:szCs w:val="22"/>
          <w:lang w:val="es-ES"/>
        </w:rPr>
        <w:t xml:space="preserve"> no todos los sujetos son elegidos para ser verificados</w:t>
      </w:r>
      <w:r w:rsidR="002D4A24" w:rsidRPr="001F3482">
        <w:rPr>
          <w:rFonts w:ascii="Montserrat" w:hAnsi="Montserrat" w:cstheme="minorHAnsi"/>
          <w:sz w:val="22"/>
          <w:szCs w:val="22"/>
          <w:lang w:val="es-ES"/>
        </w:rPr>
        <w:t>.</w:t>
      </w:r>
      <w:r w:rsidR="003C0F56">
        <w:rPr>
          <w:rFonts w:ascii="Montserrat" w:hAnsi="Montserrat" w:cstheme="minorHAnsi"/>
          <w:sz w:val="22"/>
          <w:szCs w:val="22"/>
          <w:lang w:val="es-ES"/>
        </w:rPr>
        <w:t xml:space="preserve"> </w:t>
      </w:r>
      <w:r w:rsidR="002D4A24" w:rsidRPr="001F3482">
        <w:rPr>
          <w:rFonts w:ascii="Montserrat" w:hAnsi="Montserrat" w:cstheme="minorHAnsi"/>
          <w:sz w:val="22"/>
          <w:szCs w:val="22"/>
          <w:lang w:val="es-ES"/>
        </w:rPr>
        <w:t>D</w:t>
      </w:r>
      <w:r w:rsidRPr="001F3482">
        <w:rPr>
          <w:rFonts w:ascii="Montserrat" w:hAnsi="Montserrat" w:cstheme="minorHAnsi"/>
          <w:sz w:val="22"/>
          <w:szCs w:val="22"/>
          <w:lang w:val="es-ES"/>
        </w:rPr>
        <w:t xml:space="preserve">erivado de lo anterior, </w:t>
      </w:r>
      <w:r w:rsidR="00BF7AC2">
        <w:rPr>
          <w:rFonts w:ascii="Montserrat" w:hAnsi="Montserrat" w:cstheme="minorHAnsi"/>
          <w:sz w:val="22"/>
          <w:szCs w:val="22"/>
          <w:lang w:val="es-ES"/>
        </w:rPr>
        <w:t xml:space="preserve">ECOSUR no fue </w:t>
      </w:r>
      <w:r w:rsidRPr="001F3482">
        <w:rPr>
          <w:rFonts w:ascii="Montserrat" w:hAnsi="Montserrat" w:cstheme="minorHAnsi"/>
          <w:sz w:val="22"/>
          <w:szCs w:val="22"/>
          <w:lang w:val="es-ES"/>
        </w:rPr>
        <w:t xml:space="preserve">considerado para entrar en la muestra de </w:t>
      </w:r>
      <w:r w:rsidR="001E665A" w:rsidRPr="001F3482">
        <w:rPr>
          <w:rFonts w:ascii="Montserrat" w:hAnsi="Montserrat" w:cstheme="minorHAnsi"/>
          <w:sz w:val="22"/>
          <w:szCs w:val="22"/>
          <w:lang w:val="es-ES"/>
        </w:rPr>
        <w:t xml:space="preserve">verificación </w:t>
      </w:r>
      <w:r w:rsidR="002D4A24" w:rsidRPr="001F3482">
        <w:rPr>
          <w:rFonts w:ascii="Montserrat" w:hAnsi="Montserrat" w:cstheme="minorHAnsi"/>
          <w:sz w:val="22"/>
          <w:szCs w:val="22"/>
          <w:lang w:val="es-ES"/>
        </w:rPr>
        <w:t>durante los ejercicios 2021 y 2022</w:t>
      </w:r>
      <w:r w:rsidRPr="001F3482">
        <w:rPr>
          <w:rFonts w:ascii="Montserrat" w:hAnsi="Montserrat" w:cstheme="minorHAnsi"/>
          <w:sz w:val="22"/>
          <w:szCs w:val="22"/>
          <w:lang w:val="es-ES"/>
        </w:rPr>
        <w:t>.</w:t>
      </w:r>
    </w:p>
    <w:p w14:paraId="7F3856D1" w14:textId="28C07D1B" w:rsidR="00202E09" w:rsidRDefault="00202E09" w:rsidP="002D4A24">
      <w:pPr>
        <w:widowControl w:val="0"/>
        <w:suppressAutoHyphens/>
        <w:autoSpaceDE w:val="0"/>
        <w:autoSpaceDN w:val="0"/>
        <w:adjustRightInd w:val="0"/>
        <w:jc w:val="both"/>
        <w:rPr>
          <w:rFonts w:ascii="Montserrat" w:hAnsi="Montserrat" w:cstheme="minorHAnsi"/>
          <w:sz w:val="22"/>
          <w:szCs w:val="22"/>
          <w:lang w:val="es-ES"/>
        </w:rPr>
      </w:pPr>
    </w:p>
    <w:tbl>
      <w:tblPr>
        <w:tblStyle w:val="Tablaconcuadrcula"/>
        <w:tblW w:w="8958" w:type="dxa"/>
        <w:jc w:val="center"/>
        <w:tblLook w:val="04A0" w:firstRow="1" w:lastRow="0" w:firstColumn="1" w:lastColumn="0" w:noHBand="0" w:noVBand="1"/>
      </w:tblPr>
      <w:tblGrid>
        <w:gridCol w:w="5102"/>
        <w:gridCol w:w="1928"/>
        <w:gridCol w:w="1928"/>
      </w:tblGrid>
      <w:tr w:rsidR="00876082" w:rsidRPr="00876082" w14:paraId="382692E3" w14:textId="77777777" w:rsidTr="00A4463E">
        <w:trPr>
          <w:jc w:val="center"/>
        </w:trPr>
        <w:tc>
          <w:tcPr>
            <w:tcW w:w="5102" w:type="dxa"/>
            <w:shd w:val="clear" w:color="auto" w:fill="BFBFBF" w:themeFill="background1" w:themeFillShade="BF"/>
          </w:tcPr>
          <w:p w14:paraId="737C44E2" w14:textId="1057A81D" w:rsidR="00876082" w:rsidRPr="00876082" w:rsidRDefault="00876082" w:rsidP="00876082">
            <w:pPr>
              <w:widowControl w:val="0"/>
              <w:suppressAutoHyphens/>
              <w:autoSpaceDE w:val="0"/>
              <w:autoSpaceDN w:val="0"/>
              <w:adjustRightInd w:val="0"/>
              <w:jc w:val="center"/>
              <w:rPr>
                <w:rFonts w:ascii="Montserrat" w:hAnsi="Montserrat" w:cstheme="minorHAnsi"/>
                <w:b/>
                <w:bCs/>
                <w:sz w:val="22"/>
                <w:szCs w:val="22"/>
                <w:lang w:val="es-ES"/>
              </w:rPr>
            </w:pPr>
            <w:r w:rsidRPr="00876082">
              <w:rPr>
                <w:rFonts w:ascii="Montserrat" w:hAnsi="Montserrat" w:cstheme="minorHAnsi"/>
                <w:b/>
                <w:bCs/>
                <w:sz w:val="22"/>
                <w:szCs w:val="22"/>
                <w:lang w:val="es-ES"/>
              </w:rPr>
              <w:t>Dimensión evaluada</w:t>
            </w:r>
          </w:p>
        </w:tc>
        <w:tc>
          <w:tcPr>
            <w:tcW w:w="1928" w:type="dxa"/>
            <w:shd w:val="clear" w:color="auto" w:fill="BFBFBF" w:themeFill="background1" w:themeFillShade="BF"/>
          </w:tcPr>
          <w:p w14:paraId="016B795B" w14:textId="090C3872" w:rsidR="00876082" w:rsidRPr="00876082" w:rsidRDefault="00876082" w:rsidP="00876082">
            <w:pPr>
              <w:widowControl w:val="0"/>
              <w:suppressAutoHyphens/>
              <w:autoSpaceDE w:val="0"/>
              <w:autoSpaceDN w:val="0"/>
              <w:adjustRightInd w:val="0"/>
              <w:jc w:val="center"/>
              <w:rPr>
                <w:rFonts w:ascii="Montserrat" w:hAnsi="Montserrat" w:cstheme="minorHAnsi"/>
                <w:b/>
                <w:bCs/>
                <w:sz w:val="22"/>
                <w:szCs w:val="22"/>
                <w:lang w:val="es-ES"/>
              </w:rPr>
            </w:pPr>
            <w:r w:rsidRPr="00876082">
              <w:rPr>
                <w:rFonts w:ascii="Montserrat" w:hAnsi="Montserrat" w:cstheme="minorHAnsi"/>
                <w:b/>
                <w:bCs/>
                <w:sz w:val="22"/>
                <w:szCs w:val="22"/>
                <w:lang w:val="es-ES"/>
              </w:rPr>
              <w:t>2020</w:t>
            </w:r>
          </w:p>
        </w:tc>
        <w:tc>
          <w:tcPr>
            <w:tcW w:w="1928" w:type="dxa"/>
            <w:shd w:val="clear" w:color="auto" w:fill="BFBFBF" w:themeFill="background1" w:themeFillShade="BF"/>
          </w:tcPr>
          <w:p w14:paraId="131B573A" w14:textId="08B132B2" w:rsidR="00876082" w:rsidRPr="00876082" w:rsidRDefault="00876082" w:rsidP="00876082">
            <w:pPr>
              <w:widowControl w:val="0"/>
              <w:suppressAutoHyphens/>
              <w:autoSpaceDE w:val="0"/>
              <w:autoSpaceDN w:val="0"/>
              <w:adjustRightInd w:val="0"/>
              <w:jc w:val="center"/>
              <w:rPr>
                <w:rFonts w:ascii="Montserrat" w:hAnsi="Montserrat" w:cstheme="minorHAnsi"/>
                <w:b/>
                <w:bCs/>
                <w:sz w:val="22"/>
                <w:szCs w:val="22"/>
                <w:lang w:val="es-ES"/>
              </w:rPr>
            </w:pPr>
            <w:r w:rsidRPr="00876082">
              <w:rPr>
                <w:rFonts w:ascii="Montserrat" w:hAnsi="Montserrat" w:cstheme="minorHAnsi"/>
                <w:b/>
                <w:bCs/>
                <w:sz w:val="22"/>
                <w:szCs w:val="22"/>
                <w:lang w:val="es-ES"/>
              </w:rPr>
              <w:t>2021</w:t>
            </w:r>
          </w:p>
        </w:tc>
      </w:tr>
      <w:tr w:rsidR="00876082" w14:paraId="7237DC8E" w14:textId="77777777" w:rsidTr="00BF7AC2">
        <w:trPr>
          <w:jc w:val="center"/>
        </w:trPr>
        <w:tc>
          <w:tcPr>
            <w:tcW w:w="5102" w:type="dxa"/>
          </w:tcPr>
          <w:p w14:paraId="3ADDD90E" w14:textId="370FE419" w:rsidR="00876082" w:rsidRPr="00876082" w:rsidRDefault="00876082" w:rsidP="00876082">
            <w:pPr>
              <w:widowControl w:val="0"/>
              <w:suppressAutoHyphens/>
              <w:autoSpaceDE w:val="0"/>
              <w:autoSpaceDN w:val="0"/>
              <w:adjustRightInd w:val="0"/>
              <w:rPr>
                <w:rFonts w:ascii="Montserrat" w:hAnsi="Montserrat" w:cstheme="minorHAnsi"/>
                <w:sz w:val="22"/>
                <w:szCs w:val="22"/>
                <w:lang w:val="es-ES"/>
              </w:rPr>
            </w:pPr>
            <w:r w:rsidRPr="00876082">
              <w:rPr>
                <w:rFonts w:ascii="Montserrat" w:hAnsi="Montserrat" w:cstheme="minorHAnsi"/>
                <w:sz w:val="22"/>
                <w:szCs w:val="22"/>
                <w:lang w:val="es-ES" w:eastAsia="es-ES"/>
              </w:rPr>
              <w:t>Resultado de la verificación a la Dimensión Atención a Solicitudes de Información</w:t>
            </w:r>
          </w:p>
        </w:tc>
        <w:tc>
          <w:tcPr>
            <w:tcW w:w="1928" w:type="dxa"/>
            <w:vAlign w:val="center"/>
          </w:tcPr>
          <w:p w14:paraId="6BDCD449" w14:textId="3095A0D4" w:rsidR="00876082" w:rsidRDefault="00876082" w:rsidP="00876082">
            <w:pPr>
              <w:widowControl w:val="0"/>
              <w:suppressAutoHyphens/>
              <w:autoSpaceDE w:val="0"/>
              <w:autoSpaceDN w:val="0"/>
              <w:adjustRightInd w:val="0"/>
              <w:jc w:val="center"/>
              <w:rPr>
                <w:rFonts w:ascii="Montserrat" w:hAnsi="Montserrat" w:cstheme="minorHAnsi"/>
                <w:sz w:val="22"/>
                <w:szCs w:val="22"/>
                <w:lang w:val="es-ES"/>
              </w:rPr>
            </w:pPr>
            <w:r>
              <w:rPr>
                <w:rFonts w:ascii="Montserrat" w:hAnsi="Montserrat" w:cstheme="minorHAnsi"/>
                <w:sz w:val="22"/>
                <w:szCs w:val="22"/>
                <w:lang w:val="es-ES"/>
              </w:rPr>
              <w:t>94.44</w:t>
            </w:r>
            <w:r w:rsidR="00BF7AC2">
              <w:rPr>
                <w:rFonts w:ascii="Montserrat" w:hAnsi="Montserrat" w:cstheme="minorHAnsi"/>
                <w:sz w:val="22"/>
                <w:szCs w:val="22"/>
                <w:lang w:val="es-ES"/>
              </w:rPr>
              <w:t>%</w:t>
            </w:r>
          </w:p>
        </w:tc>
        <w:tc>
          <w:tcPr>
            <w:tcW w:w="1928" w:type="dxa"/>
            <w:vAlign w:val="center"/>
          </w:tcPr>
          <w:p w14:paraId="11C8EB6F" w14:textId="7747B689" w:rsidR="00876082" w:rsidRDefault="00876082" w:rsidP="00876082">
            <w:pPr>
              <w:widowControl w:val="0"/>
              <w:suppressAutoHyphens/>
              <w:autoSpaceDE w:val="0"/>
              <w:autoSpaceDN w:val="0"/>
              <w:adjustRightInd w:val="0"/>
              <w:jc w:val="center"/>
              <w:rPr>
                <w:rFonts w:ascii="Montserrat" w:hAnsi="Montserrat" w:cstheme="minorHAnsi"/>
                <w:sz w:val="22"/>
                <w:szCs w:val="22"/>
                <w:lang w:val="es-ES"/>
              </w:rPr>
            </w:pPr>
            <w:r>
              <w:rPr>
                <w:rFonts w:ascii="Montserrat" w:hAnsi="Montserrat" w:cstheme="minorHAnsi"/>
                <w:sz w:val="22"/>
                <w:szCs w:val="22"/>
                <w:lang w:val="es-ES"/>
              </w:rPr>
              <w:t>93.83</w:t>
            </w:r>
            <w:r w:rsidR="00BF7AC2">
              <w:rPr>
                <w:rFonts w:ascii="Montserrat" w:hAnsi="Montserrat" w:cstheme="minorHAnsi"/>
                <w:sz w:val="22"/>
                <w:szCs w:val="22"/>
                <w:lang w:val="es-ES"/>
              </w:rPr>
              <w:t>%</w:t>
            </w:r>
          </w:p>
        </w:tc>
      </w:tr>
    </w:tbl>
    <w:p w14:paraId="67EC4E9D" w14:textId="09D14D29" w:rsidR="00AC6CA6" w:rsidRPr="001F3482" w:rsidRDefault="00AC6CA6" w:rsidP="002D4A24">
      <w:pPr>
        <w:autoSpaceDE w:val="0"/>
        <w:autoSpaceDN w:val="0"/>
        <w:adjustRightInd w:val="0"/>
        <w:jc w:val="both"/>
        <w:rPr>
          <w:rFonts w:ascii="Montserrat" w:hAnsi="Montserrat" w:cstheme="minorHAnsi"/>
          <w:sz w:val="22"/>
          <w:szCs w:val="22"/>
        </w:rPr>
      </w:pPr>
      <w:r w:rsidRPr="001F3482">
        <w:rPr>
          <w:rFonts w:ascii="Montserrat" w:hAnsi="Montserrat" w:cstheme="minorHAnsi"/>
          <w:sz w:val="22"/>
          <w:szCs w:val="22"/>
        </w:rPr>
        <w:t xml:space="preserve">Asimismo, se hace del conocimiento que con fecha 8 de abril de 2022, la Unidad de Transparencia fue notificada sobre el dictamen de baja con número </w:t>
      </w:r>
      <w:r w:rsidRPr="001F3482">
        <w:rPr>
          <w:rFonts w:ascii="Montserrat" w:hAnsi="Montserrat" w:cstheme="minorHAnsi"/>
          <w:color w:val="171717"/>
          <w:sz w:val="22"/>
          <w:szCs w:val="22"/>
          <w:lang w:val="es-419"/>
        </w:rPr>
        <w:lastRenderedPageBreak/>
        <w:t>BAJA</w:t>
      </w:r>
      <w:r w:rsidR="007718A4" w:rsidRPr="001F3482">
        <w:rPr>
          <w:rFonts w:ascii="Montserrat" w:hAnsi="Montserrat" w:cstheme="minorHAnsi"/>
          <w:color w:val="171717"/>
          <w:sz w:val="22"/>
          <w:szCs w:val="22"/>
          <w:lang w:val="es-419"/>
        </w:rPr>
        <w:t>/</w:t>
      </w:r>
      <w:r w:rsidRPr="001F3482">
        <w:rPr>
          <w:rFonts w:ascii="Montserrat" w:hAnsi="Montserrat" w:cstheme="minorHAnsi"/>
          <w:color w:val="171717"/>
          <w:sz w:val="22"/>
          <w:szCs w:val="22"/>
          <w:lang w:val="es-419"/>
        </w:rPr>
        <w:t>SAI</w:t>
      </w:r>
      <w:r w:rsidR="007718A4" w:rsidRPr="001F3482">
        <w:rPr>
          <w:rFonts w:ascii="Montserrat" w:hAnsi="Montserrat" w:cstheme="minorHAnsi"/>
          <w:color w:val="171717"/>
          <w:sz w:val="22"/>
          <w:szCs w:val="22"/>
          <w:lang w:val="es-419"/>
        </w:rPr>
        <w:t>/</w:t>
      </w:r>
      <w:r w:rsidRPr="001F3482">
        <w:rPr>
          <w:rFonts w:ascii="Montserrat" w:hAnsi="Montserrat" w:cstheme="minorHAnsi"/>
          <w:color w:val="171717"/>
          <w:sz w:val="22"/>
          <w:szCs w:val="22"/>
          <w:lang w:val="es-419"/>
        </w:rPr>
        <w:t>DGEPPOED/000</w:t>
      </w:r>
      <w:r w:rsidR="007718A4" w:rsidRPr="001F3482">
        <w:rPr>
          <w:rFonts w:ascii="Montserrat" w:hAnsi="Montserrat" w:cstheme="minorHAnsi"/>
          <w:color w:val="171717"/>
          <w:sz w:val="22"/>
          <w:szCs w:val="22"/>
          <w:lang w:val="es-419"/>
        </w:rPr>
        <w:t>6</w:t>
      </w:r>
      <w:r w:rsidRPr="001F3482">
        <w:rPr>
          <w:rFonts w:ascii="Montserrat" w:hAnsi="Montserrat" w:cstheme="minorHAnsi"/>
          <w:color w:val="171717"/>
          <w:sz w:val="22"/>
          <w:szCs w:val="22"/>
          <w:lang w:val="es-419"/>
        </w:rPr>
        <w:t>/2022, en el que</w:t>
      </w:r>
      <w:r w:rsidR="00FD37B4" w:rsidRPr="001F3482">
        <w:rPr>
          <w:rFonts w:ascii="Montserrat" w:hAnsi="Montserrat" w:cstheme="minorHAnsi"/>
          <w:color w:val="171717"/>
          <w:sz w:val="22"/>
          <w:szCs w:val="22"/>
          <w:lang w:val="es-419"/>
        </w:rPr>
        <w:t xml:space="preserve"> el INAI</w:t>
      </w:r>
      <w:r w:rsidRPr="001F3482">
        <w:rPr>
          <w:rFonts w:ascii="Montserrat" w:hAnsi="Montserrat" w:cstheme="minorHAnsi"/>
          <w:color w:val="171717"/>
          <w:sz w:val="22"/>
          <w:szCs w:val="22"/>
          <w:lang w:val="es-419"/>
        </w:rPr>
        <w:t xml:space="preserve"> efectúa la baja del Fondo de investigación científica y desarrollo tecnológico de El Colegio de la Frontera Sur (</w:t>
      </w:r>
      <w:proofErr w:type="spellStart"/>
      <w:r w:rsidRPr="001F3482">
        <w:rPr>
          <w:rFonts w:ascii="Montserrat" w:hAnsi="Montserrat" w:cstheme="minorHAnsi"/>
          <w:color w:val="171717"/>
          <w:sz w:val="22"/>
          <w:szCs w:val="22"/>
          <w:lang w:val="es-419"/>
        </w:rPr>
        <w:t>Fid</w:t>
      </w:r>
      <w:proofErr w:type="spellEnd"/>
      <w:r w:rsidRPr="001F3482">
        <w:rPr>
          <w:rFonts w:ascii="Montserrat" w:hAnsi="Montserrat" w:cstheme="minorHAnsi"/>
          <w:color w:val="171717"/>
          <w:sz w:val="22"/>
          <w:szCs w:val="22"/>
          <w:lang w:val="es-419"/>
        </w:rPr>
        <w:t xml:space="preserve">, 784) </w:t>
      </w:r>
      <w:r w:rsidRPr="001F3482">
        <w:rPr>
          <w:rFonts w:ascii="Montserrat" w:hAnsi="Montserrat" w:cstheme="minorHAnsi"/>
          <w:color w:val="2B2B2B"/>
          <w:sz w:val="22"/>
          <w:szCs w:val="22"/>
          <w:lang w:val="es-419"/>
        </w:rPr>
        <w:t xml:space="preserve">con </w:t>
      </w:r>
      <w:r w:rsidRPr="001F3482">
        <w:rPr>
          <w:rFonts w:ascii="Montserrat" w:hAnsi="Montserrat" w:cstheme="minorHAnsi"/>
          <w:color w:val="171717"/>
          <w:sz w:val="22"/>
          <w:szCs w:val="22"/>
          <w:lang w:val="es-419"/>
        </w:rPr>
        <w:t xml:space="preserve">clave 11209, del Padrón de Sujetos Obligados del Ámbito Federal; al respecto, de acuerdo con </w:t>
      </w:r>
      <w:r w:rsidR="006A4AFB" w:rsidRPr="001F3482">
        <w:rPr>
          <w:rFonts w:ascii="Montserrat" w:hAnsi="Montserrat" w:cstheme="minorHAnsi"/>
          <w:color w:val="171717"/>
          <w:sz w:val="22"/>
          <w:szCs w:val="22"/>
          <w:lang w:val="es-419"/>
        </w:rPr>
        <w:t xml:space="preserve">el numeral cuarto de </w:t>
      </w:r>
      <w:r w:rsidRPr="001F3482">
        <w:rPr>
          <w:rFonts w:ascii="Montserrat" w:hAnsi="Montserrat" w:cstheme="minorHAnsi"/>
          <w:color w:val="171717"/>
          <w:sz w:val="22"/>
          <w:szCs w:val="22"/>
          <w:lang w:val="es-419"/>
        </w:rPr>
        <w:t xml:space="preserve">los </w:t>
      </w:r>
      <w:r w:rsidRPr="001F3482">
        <w:rPr>
          <w:rFonts w:ascii="Montserrat" w:hAnsi="Montserrat" w:cstheme="minorHAnsi"/>
          <w:i/>
          <w:iCs/>
          <w:sz w:val="22"/>
          <w:szCs w:val="22"/>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1F3482">
        <w:rPr>
          <w:rFonts w:ascii="Montserrat" w:hAnsi="Montserrat" w:cstheme="minorHAnsi"/>
          <w:sz w:val="22"/>
          <w:szCs w:val="22"/>
        </w:rPr>
        <w:t xml:space="preserve">, </w:t>
      </w:r>
      <w:r w:rsidR="006A4AFB" w:rsidRPr="001F3482">
        <w:rPr>
          <w:rFonts w:ascii="Montserrat" w:hAnsi="Montserrat" w:cstheme="minorHAnsi"/>
          <w:sz w:val="22"/>
          <w:szCs w:val="22"/>
        </w:rPr>
        <w:t>(</w:t>
      </w:r>
      <w:r w:rsidRPr="001F3482">
        <w:rPr>
          <w:rFonts w:ascii="Montserrat" w:hAnsi="Montserrat" w:cstheme="minorHAnsi"/>
          <w:sz w:val="22"/>
          <w:szCs w:val="22"/>
        </w:rPr>
        <w:t>última reforma del 28 de diciembre de 2020</w:t>
      </w:r>
      <w:r w:rsidR="006A4AFB" w:rsidRPr="001F3482">
        <w:rPr>
          <w:rFonts w:ascii="Montserrat" w:hAnsi="Montserrat" w:cstheme="minorHAnsi"/>
          <w:sz w:val="22"/>
          <w:szCs w:val="22"/>
        </w:rPr>
        <w:t xml:space="preserve">) </w:t>
      </w:r>
      <w:r w:rsidR="00CD1ABD" w:rsidRPr="001F3482">
        <w:rPr>
          <w:rFonts w:ascii="Montserrat" w:hAnsi="Montserrat" w:cstheme="minorHAnsi"/>
          <w:sz w:val="22"/>
          <w:szCs w:val="22"/>
        </w:rPr>
        <w:t>la información publicada en el SIPOT se mantendrá</w:t>
      </w:r>
      <w:r w:rsidR="008F5F87" w:rsidRPr="001F3482">
        <w:rPr>
          <w:rFonts w:ascii="Montserrat" w:hAnsi="Montserrat" w:cstheme="minorHAnsi"/>
          <w:sz w:val="22"/>
          <w:szCs w:val="22"/>
        </w:rPr>
        <w:t xml:space="preserve"> durante el tiempo señalado en la Tabla de actualización y conservación de la información</w:t>
      </w:r>
      <w:r w:rsidRPr="001F3482">
        <w:rPr>
          <w:rFonts w:ascii="Montserrat" w:hAnsi="Montserrat" w:cstheme="minorHAnsi"/>
          <w:sz w:val="22"/>
          <w:szCs w:val="22"/>
        </w:rPr>
        <w:t>:</w:t>
      </w:r>
    </w:p>
    <w:p w14:paraId="6F90D777" w14:textId="77777777" w:rsidR="00AC6CA6" w:rsidRPr="001F3482" w:rsidRDefault="00AC6CA6" w:rsidP="002D4A24">
      <w:pPr>
        <w:jc w:val="both"/>
        <w:rPr>
          <w:rFonts w:ascii="Montserrat" w:hAnsi="Montserrat" w:cstheme="minorHAnsi"/>
          <w:sz w:val="22"/>
          <w:szCs w:val="22"/>
        </w:rPr>
      </w:pPr>
    </w:p>
    <w:p w14:paraId="17FAEC9E" w14:textId="77777777" w:rsidR="003F39BE" w:rsidRPr="001F3482" w:rsidRDefault="003F39BE" w:rsidP="002D4A24">
      <w:pPr>
        <w:widowControl w:val="0"/>
        <w:suppressAutoHyphens/>
        <w:jc w:val="both"/>
        <w:rPr>
          <w:rFonts w:ascii="Montserrat" w:eastAsia="SimSun" w:hAnsi="Montserrat" w:cstheme="minorHAnsi"/>
          <w:kern w:val="1"/>
          <w:sz w:val="22"/>
          <w:szCs w:val="22"/>
          <w:lang w:eastAsia="hi-IN" w:bidi="hi-IN"/>
        </w:rPr>
      </w:pPr>
    </w:p>
    <w:p w14:paraId="1054389A" w14:textId="43310235" w:rsidR="003F39BE" w:rsidRPr="00322AA9" w:rsidRDefault="003F39BE" w:rsidP="002D4A24">
      <w:pPr>
        <w:widowControl w:val="0"/>
        <w:numPr>
          <w:ilvl w:val="0"/>
          <w:numId w:val="6"/>
        </w:numPr>
        <w:suppressAutoHyphens/>
        <w:autoSpaceDE w:val="0"/>
        <w:autoSpaceDN w:val="0"/>
        <w:adjustRightInd w:val="0"/>
        <w:jc w:val="both"/>
        <w:rPr>
          <w:rFonts w:ascii="Montserrat" w:eastAsia="Calibri" w:hAnsi="Montserrat" w:cstheme="minorHAnsi"/>
          <w:b/>
          <w:sz w:val="22"/>
          <w:szCs w:val="22"/>
          <w:u w:val="single"/>
          <w:lang w:val="es-ES" w:eastAsia="es-ES"/>
        </w:rPr>
      </w:pPr>
      <w:bookmarkStart w:id="0" w:name="_Hlk115174360"/>
      <w:r w:rsidRPr="00322AA9">
        <w:rPr>
          <w:rFonts w:ascii="Montserrat" w:eastAsia="Calibri" w:hAnsi="Montserrat" w:cstheme="minorHAnsi"/>
          <w:b/>
          <w:sz w:val="22"/>
          <w:szCs w:val="22"/>
          <w:u w:val="single"/>
          <w:lang w:val="es-ES" w:eastAsia="es-ES"/>
        </w:rPr>
        <w:t>Cumplimiento a la actualización de Índices de Expedientes Reservados y Sistema de Datos Personales</w:t>
      </w:r>
      <w:r w:rsidR="00322AA9">
        <w:rPr>
          <w:rFonts w:ascii="Montserrat" w:eastAsia="Calibri" w:hAnsi="Montserrat" w:cstheme="minorHAnsi"/>
          <w:b/>
          <w:sz w:val="22"/>
          <w:szCs w:val="22"/>
          <w:u w:val="single"/>
          <w:lang w:val="es-ES" w:eastAsia="es-ES"/>
        </w:rPr>
        <w:t>.</w:t>
      </w:r>
    </w:p>
    <w:bookmarkEnd w:id="0"/>
    <w:p w14:paraId="0A0C1F33" w14:textId="77777777" w:rsidR="003F39BE" w:rsidRPr="001F3482" w:rsidRDefault="003F39BE" w:rsidP="002D4A24">
      <w:pPr>
        <w:widowControl w:val="0"/>
        <w:suppressAutoHyphens/>
        <w:autoSpaceDE w:val="0"/>
        <w:autoSpaceDN w:val="0"/>
        <w:adjustRightInd w:val="0"/>
        <w:jc w:val="both"/>
        <w:rPr>
          <w:rFonts w:ascii="Montserrat" w:eastAsia="SimSun" w:hAnsi="Montserrat" w:cstheme="minorHAnsi"/>
          <w:kern w:val="1"/>
          <w:sz w:val="22"/>
          <w:szCs w:val="22"/>
          <w:lang w:eastAsia="hi-IN" w:bidi="hi-IN"/>
        </w:rPr>
      </w:pPr>
    </w:p>
    <w:p w14:paraId="0E15A44C" w14:textId="70008FEF" w:rsidR="003F39BE" w:rsidRPr="001F3482" w:rsidRDefault="003F39BE" w:rsidP="002D4A24">
      <w:pPr>
        <w:tabs>
          <w:tab w:val="left" w:pos="927"/>
        </w:tabs>
        <w:autoSpaceDE w:val="0"/>
        <w:autoSpaceDN w:val="0"/>
        <w:adjustRightInd w:val="0"/>
        <w:jc w:val="both"/>
        <w:rPr>
          <w:rFonts w:ascii="Montserrat" w:hAnsi="Montserrat" w:cstheme="minorHAnsi"/>
          <w:sz w:val="22"/>
          <w:szCs w:val="22"/>
          <w:lang w:eastAsia="es-MX"/>
        </w:rPr>
      </w:pPr>
      <w:r w:rsidRPr="001F3482">
        <w:rPr>
          <w:rFonts w:ascii="Montserrat" w:eastAsia="SimSun" w:hAnsi="Montserrat" w:cstheme="minorHAnsi"/>
          <w:kern w:val="1"/>
          <w:sz w:val="22"/>
          <w:szCs w:val="22"/>
          <w:lang w:eastAsia="hi-IN" w:bidi="hi-IN"/>
        </w:rPr>
        <w:t>Durante el primer semestre de 202</w:t>
      </w:r>
      <w:r w:rsidR="00F7164C" w:rsidRPr="001F3482">
        <w:rPr>
          <w:rFonts w:ascii="Montserrat" w:eastAsia="SimSun" w:hAnsi="Montserrat" w:cstheme="minorHAnsi"/>
          <w:kern w:val="1"/>
          <w:sz w:val="22"/>
          <w:szCs w:val="22"/>
          <w:lang w:eastAsia="hi-IN" w:bidi="hi-IN"/>
        </w:rPr>
        <w:t>2</w:t>
      </w:r>
      <w:r w:rsidRPr="001F3482">
        <w:rPr>
          <w:rFonts w:ascii="Montserrat" w:eastAsia="SimSun" w:hAnsi="Montserrat" w:cstheme="minorHAnsi"/>
          <w:kern w:val="1"/>
          <w:sz w:val="22"/>
          <w:szCs w:val="22"/>
          <w:lang w:eastAsia="hi-IN" w:bidi="hi-IN"/>
        </w:rPr>
        <w:t xml:space="preserve"> </w:t>
      </w:r>
      <w:r w:rsidRPr="001F3482">
        <w:rPr>
          <w:rFonts w:ascii="Montserrat" w:hAnsi="Montserrat" w:cstheme="minorHAnsi"/>
          <w:sz w:val="22"/>
          <w:szCs w:val="22"/>
          <w:lang w:eastAsia="es-MX"/>
        </w:rPr>
        <w:t>El Colegio de la Frontera Sur</w:t>
      </w:r>
      <w:r w:rsidR="00671F99" w:rsidRPr="001F3482">
        <w:rPr>
          <w:rFonts w:ascii="Montserrat" w:hAnsi="Montserrat" w:cstheme="minorHAnsi"/>
          <w:sz w:val="22"/>
          <w:szCs w:val="22"/>
          <w:lang w:eastAsia="es-MX"/>
        </w:rPr>
        <w:t>, y</w:t>
      </w:r>
      <w:r w:rsidRPr="001F3482">
        <w:rPr>
          <w:rFonts w:ascii="Montserrat" w:hAnsi="Montserrat" w:cstheme="minorHAnsi"/>
          <w:sz w:val="22"/>
          <w:szCs w:val="22"/>
        </w:rPr>
        <w:t xml:space="preserve"> el Fondo de Investigación Científica y Desarrollo Tecnológico de El Colegio de la Frontera Sur (FID. 784), no clasific</w:t>
      </w:r>
      <w:r w:rsidR="00671F99" w:rsidRPr="001F3482">
        <w:rPr>
          <w:rFonts w:ascii="Montserrat" w:hAnsi="Montserrat" w:cstheme="minorHAnsi"/>
          <w:sz w:val="22"/>
          <w:szCs w:val="22"/>
        </w:rPr>
        <w:t>aron</w:t>
      </w:r>
      <w:r w:rsidRPr="001F3482">
        <w:rPr>
          <w:rFonts w:ascii="Montserrat" w:hAnsi="Montserrat" w:cstheme="minorHAnsi"/>
          <w:sz w:val="22"/>
          <w:szCs w:val="22"/>
        </w:rPr>
        <w:t xml:space="preserve"> ningún documento como reservados, y </w:t>
      </w:r>
      <w:r w:rsidRPr="001F3482">
        <w:rPr>
          <w:rFonts w:ascii="Montserrat" w:eastAsia="SimSun" w:hAnsi="Montserrat" w:cstheme="minorHAnsi"/>
          <w:kern w:val="1"/>
          <w:sz w:val="22"/>
          <w:szCs w:val="22"/>
          <w:lang w:eastAsia="hi-IN" w:bidi="hi-IN"/>
        </w:rPr>
        <w:t xml:space="preserve">de conformidad con los </w:t>
      </w:r>
      <w:r w:rsidRPr="001F3482">
        <w:rPr>
          <w:rFonts w:ascii="Montserrat" w:hAnsi="Montserrat" w:cstheme="minorHAnsi"/>
          <w:sz w:val="22"/>
          <w:szCs w:val="22"/>
          <w:lang w:eastAsia="es-MX"/>
        </w:rPr>
        <w:t>“</w:t>
      </w:r>
      <w:r w:rsidRPr="001F3482">
        <w:rPr>
          <w:rFonts w:ascii="Montserrat" w:hAnsi="Montserrat" w:cstheme="minorHAnsi"/>
          <w:i/>
          <w:sz w:val="22"/>
          <w:szCs w:val="22"/>
          <w:lang w:eastAsia="es-MX"/>
        </w:rPr>
        <w:t>Lineamientos generales en materia de clasificación de la información, así como la elaboración de versiones públicas</w:t>
      </w:r>
      <w:r w:rsidRPr="001F3482">
        <w:rPr>
          <w:rFonts w:ascii="Montserrat" w:hAnsi="Montserrat" w:cstheme="minorHAnsi"/>
          <w:sz w:val="22"/>
          <w:szCs w:val="22"/>
          <w:lang w:eastAsia="es-MX"/>
        </w:rPr>
        <w:t xml:space="preserve">” a través del portal institucional se publica dicha información:  </w:t>
      </w:r>
      <w:hyperlink r:id="rId8" w:history="1">
        <w:r w:rsidRPr="001F3482">
          <w:rPr>
            <w:rStyle w:val="Hipervnculo"/>
            <w:rFonts w:ascii="Montserrat" w:hAnsi="Montserrat" w:cstheme="minorHAnsi"/>
            <w:sz w:val="22"/>
            <w:szCs w:val="22"/>
            <w:lang w:eastAsia="es-MX"/>
          </w:rPr>
          <w:t>https://www.ecosur.mx/transparenciafocalizada/indice-de-expedientes-reservados/</w:t>
        </w:r>
      </w:hyperlink>
    </w:p>
    <w:p w14:paraId="41526639" w14:textId="77777777" w:rsidR="00671F99" w:rsidRPr="001F3482" w:rsidRDefault="00671F99" w:rsidP="002D4A24">
      <w:pPr>
        <w:tabs>
          <w:tab w:val="left" w:pos="927"/>
        </w:tabs>
        <w:autoSpaceDE w:val="0"/>
        <w:autoSpaceDN w:val="0"/>
        <w:adjustRightInd w:val="0"/>
        <w:jc w:val="both"/>
        <w:rPr>
          <w:rFonts w:ascii="Montserrat" w:hAnsi="Montserrat" w:cstheme="minorHAnsi"/>
          <w:sz w:val="22"/>
          <w:szCs w:val="22"/>
          <w:lang w:eastAsia="es-MX"/>
        </w:rPr>
      </w:pPr>
    </w:p>
    <w:p w14:paraId="36D38F28" w14:textId="7846585F" w:rsidR="00833005" w:rsidRDefault="003F39BE" w:rsidP="002D4A24">
      <w:pPr>
        <w:tabs>
          <w:tab w:val="left" w:pos="927"/>
        </w:tabs>
        <w:autoSpaceDE w:val="0"/>
        <w:autoSpaceDN w:val="0"/>
        <w:adjustRightInd w:val="0"/>
        <w:jc w:val="both"/>
        <w:rPr>
          <w:rFonts w:ascii="Montserrat" w:hAnsi="Montserrat" w:cstheme="minorHAnsi"/>
          <w:sz w:val="22"/>
          <w:szCs w:val="22"/>
          <w:lang w:eastAsia="es-MX"/>
        </w:rPr>
      </w:pPr>
      <w:r w:rsidRPr="001F3482">
        <w:rPr>
          <w:rFonts w:ascii="Montserrat" w:hAnsi="Montserrat" w:cstheme="minorHAnsi"/>
          <w:sz w:val="22"/>
          <w:szCs w:val="22"/>
          <w:lang w:eastAsia="es-MX"/>
        </w:rPr>
        <w:t>Durante el primer semestre 202</w:t>
      </w:r>
      <w:r w:rsidR="00833005" w:rsidRPr="001F3482">
        <w:rPr>
          <w:rFonts w:ascii="Montserrat" w:hAnsi="Montserrat" w:cstheme="minorHAnsi"/>
          <w:sz w:val="22"/>
          <w:szCs w:val="22"/>
          <w:lang w:eastAsia="es-MX"/>
        </w:rPr>
        <w:t xml:space="preserve">2, se sigue capacitando </w:t>
      </w:r>
      <w:r w:rsidR="00CB238A" w:rsidRPr="001F3482">
        <w:rPr>
          <w:rFonts w:ascii="Montserrat" w:hAnsi="Montserrat" w:cstheme="minorHAnsi"/>
          <w:sz w:val="22"/>
          <w:szCs w:val="22"/>
          <w:lang w:eastAsia="es-MX"/>
        </w:rPr>
        <w:t>a los servidores públicos</w:t>
      </w:r>
      <w:r w:rsidR="00833005" w:rsidRPr="001F3482">
        <w:rPr>
          <w:rFonts w:ascii="Montserrat" w:hAnsi="Montserrat" w:cstheme="minorHAnsi"/>
          <w:sz w:val="22"/>
          <w:szCs w:val="22"/>
          <w:lang w:eastAsia="es-MX"/>
        </w:rPr>
        <w:t xml:space="preserve"> que recaba</w:t>
      </w:r>
      <w:r w:rsidR="001F3482" w:rsidRPr="001F3482">
        <w:rPr>
          <w:rFonts w:ascii="Montserrat" w:hAnsi="Montserrat" w:cstheme="minorHAnsi"/>
          <w:sz w:val="22"/>
          <w:szCs w:val="22"/>
          <w:lang w:eastAsia="es-MX"/>
        </w:rPr>
        <w:t>n</w:t>
      </w:r>
      <w:r w:rsidR="00833005" w:rsidRPr="001F3482">
        <w:rPr>
          <w:rFonts w:ascii="Montserrat" w:hAnsi="Montserrat" w:cstheme="minorHAnsi"/>
          <w:sz w:val="22"/>
          <w:szCs w:val="22"/>
          <w:lang w:eastAsia="es-MX"/>
        </w:rPr>
        <w:t xml:space="preserve"> datos personales, para una mejor </w:t>
      </w:r>
      <w:r w:rsidR="001F3482" w:rsidRPr="001F3482">
        <w:rPr>
          <w:rFonts w:ascii="Montserrat" w:hAnsi="Montserrat" w:cstheme="minorHAnsi"/>
          <w:sz w:val="22"/>
          <w:szCs w:val="22"/>
          <w:lang w:eastAsia="es-MX"/>
        </w:rPr>
        <w:t>seguridad de los da</w:t>
      </w:r>
      <w:r w:rsidR="00BF7AC2">
        <w:rPr>
          <w:rFonts w:ascii="Montserrat" w:hAnsi="Montserrat" w:cstheme="minorHAnsi"/>
          <w:sz w:val="22"/>
          <w:szCs w:val="22"/>
          <w:lang w:eastAsia="es-MX"/>
        </w:rPr>
        <w:t>t</w:t>
      </w:r>
      <w:r w:rsidR="001F3482" w:rsidRPr="001F3482">
        <w:rPr>
          <w:rFonts w:ascii="Montserrat" w:hAnsi="Montserrat" w:cstheme="minorHAnsi"/>
          <w:sz w:val="22"/>
          <w:szCs w:val="22"/>
          <w:lang w:eastAsia="es-MX"/>
        </w:rPr>
        <w:t>os personales.</w:t>
      </w:r>
    </w:p>
    <w:p w14:paraId="3DB920B5" w14:textId="0228A4B0" w:rsidR="00322AA9" w:rsidRDefault="00322AA9" w:rsidP="002D4A24">
      <w:pPr>
        <w:tabs>
          <w:tab w:val="left" w:pos="927"/>
        </w:tabs>
        <w:autoSpaceDE w:val="0"/>
        <w:autoSpaceDN w:val="0"/>
        <w:adjustRightInd w:val="0"/>
        <w:jc w:val="both"/>
        <w:rPr>
          <w:rFonts w:ascii="Montserrat" w:hAnsi="Montserrat" w:cstheme="minorHAnsi"/>
          <w:sz w:val="22"/>
          <w:szCs w:val="22"/>
          <w:lang w:eastAsia="es-MX"/>
        </w:rPr>
      </w:pPr>
    </w:p>
    <w:p w14:paraId="6C429ABF" w14:textId="77777777" w:rsidR="00322AA9" w:rsidRPr="001F3482" w:rsidRDefault="00322AA9" w:rsidP="002D4A24">
      <w:pPr>
        <w:tabs>
          <w:tab w:val="left" w:pos="927"/>
        </w:tabs>
        <w:autoSpaceDE w:val="0"/>
        <w:autoSpaceDN w:val="0"/>
        <w:adjustRightInd w:val="0"/>
        <w:jc w:val="both"/>
        <w:rPr>
          <w:rFonts w:ascii="Montserrat" w:hAnsi="Montserrat" w:cstheme="minorHAnsi"/>
          <w:sz w:val="22"/>
          <w:szCs w:val="22"/>
          <w:lang w:eastAsia="es-MX"/>
        </w:rPr>
      </w:pPr>
    </w:p>
    <w:p w14:paraId="42867982" w14:textId="75A7D1A2" w:rsidR="00322AA9" w:rsidRDefault="00322AA9" w:rsidP="00322AA9">
      <w:pPr>
        <w:pStyle w:val="Prrafodelista"/>
        <w:widowControl w:val="0"/>
        <w:numPr>
          <w:ilvl w:val="0"/>
          <w:numId w:val="6"/>
        </w:numPr>
        <w:suppressAutoHyphens/>
        <w:autoSpaceDE w:val="0"/>
        <w:autoSpaceDN w:val="0"/>
        <w:adjustRightInd w:val="0"/>
        <w:jc w:val="both"/>
        <w:rPr>
          <w:rFonts w:ascii="Montserrat" w:eastAsia="Calibri" w:hAnsi="Montserrat" w:cstheme="minorHAnsi"/>
          <w:b/>
          <w:sz w:val="22"/>
          <w:szCs w:val="22"/>
          <w:u w:val="single"/>
          <w:lang w:val="es-ES" w:eastAsia="es-ES"/>
        </w:rPr>
      </w:pPr>
      <w:r>
        <w:rPr>
          <w:rFonts w:ascii="Montserrat" w:eastAsia="Calibri" w:hAnsi="Montserrat" w:cstheme="minorHAnsi"/>
          <w:b/>
          <w:sz w:val="22"/>
          <w:szCs w:val="22"/>
          <w:u w:val="single"/>
          <w:lang w:val="es-ES" w:eastAsia="es-ES"/>
        </w:rPr>
        <w:t>Organización y Actualización de Archivos.</w:t>
      </w:r>
    </w:p>
    <w:p w14:paraId="422226A4" w14:textId="77777777" w:rsidR="00322AA9" w:rsidRPr="00322AA9" w:rsidRDefault="00322AA9" w:rsidP="00322AA9">
      <w:pPr>
        <w:pStyle w:val="Prrafodelista"/>
        <w:widowControl w:val="0"/>
        <w:suppressAutoHyphens/>
        <w:autoSpaceDE w:val="0"/>
        <w:autoSpaceDN w:val="0"/>
        <w:adjustRightInd w:val="0"/>
        <w:jc w:val="both"/>
        <w:rPr>
          <w:rFonts w:ascii="Montserrat" w:eastAsia="Calibri" w:hAnsi="Montserrat" w:cstheme="minorHAnsi"/>
          <w:b/>
          <w:sz w:val="22"/>
          <w:szCs w:val="22"/>
          <w:u w:val="single"/>
          <w:lang w:val="es-ES" w:eastAsia="es-ES"/>
        </w:rPr>
      </w:pPr>
    </w:p>
    <w:p w14:paraId="54ABDDB9"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En el Colegio de la Frontera Sur (ECOSUR) se continúa con acciones que permitan el cumplimiento normativo en materia de archivos y transparencia, con el principal objetivo de garantizar la organización, integridad y conservación de los expedientes; favoreciendo con ello la Transparencia y la Rendición de Cuentas. De enero a junio de 2022, se realizaron las siguientes actividades:</w:t>
      </w:r>
    </w:p>
    <w:p w14:paraId="6065E33D" w14:textId="77777777" w:rsidR="00322AA9" w:rsidRPr="00322AA9" w:rsidRDefault="00322AA9" w:rsidP="00322AA9">
      <w:pPr>
        <w:jc w:val="both"/>
        <w:rPr>
          <w:rFonts w:ascii="Montserrat" w:hAnsi="Montserrat" w:cstheme="minorHAnsi"/>
          <w:sz w:val="22"/>
          <w:szCs w:val="22"/>
        </w:rPr>
      </w:pPr>
    </w:p>
    <w:p w14:paraId="3FCB7D9E"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 xml:space="preserve">El Colegio cuenta con los instrumentos de control y de consulta archivísticos, cuadro general de clasificación archivística, catálogo de disposición documental, e inventarios documentales (Artículo 13), validados y dictaminados por el Archivo General de la Nación. Además, se cuenta con la guía de archivo documental </w:t>
      </w:r>
      <w:r w:rsidRPr="00322AA9">
        <w:rPr>
          <w:rFonts w:ascii="Montserrat" w:hAnsi="Montserrat" w:cstheme="minorHAnsi"/>
          <w:sz w:val="22"/>
          <w:szCs w:val="22"/>
        </w:rPr>
        <w:lastRenderedPageBreak/>
        <w:t xml:space="preserve">(Artículo 14), actualizada en cada ejercicio conforme a los nombramientos de las personas responsables en materia de archivos. </w:t>
      </w:r>
    </w:p>
    <w:p w14:paraId="7C9EE3CC" w14:textId="77777777" w:rsidR="00322AA9" w:rsidRPr="00322AA9" w:rsidRDefault="00322AA9" w:rsidP="00322AA9">
      <w:pPr>
        <w:jc w:val="both"/>
        <w:rPr>
          <w:rFonts w:ascii="Montserrat" w:hAnsi="Montserrat" w:cstheme="minorHAnsi"/>
          <w:sz w:val="22"/>
          <w:szCs w:val="22"/>
        </w:rPr>
      </w:pPr>
    </w:p>
    <w:p w14:paraId="7695FB4C"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 xml:space="preserve">Del Sistema Institucional de Archivos “SIA” (Artículo 21), en El Colegio se encuentra integrado por, Área Coordinadora de Archivos, Archivos de Trámite, y Archivos de Concentración Central y por Unidad Administrativa. </w:t>
      </w:r>
    </w:p>
    <w:p w14:paraId="72D68BEA" w14:textId="77777777" w:rsidR="00322AA9" w:rsidRPr="00322AA9" w:rsidRDefault="00322AA9" w:rsidP="00322AA9">
      <w:pPr>
        <w:jc w:val="both"/>
        <w:rPr>
          <w:rFonts w:ascii="Montserrat" w:hAnsi="Montserrat" w:cstheme="minorHAnsi"/>
          <w:sz w:val="22"/>
          <w:szCs w:val="22"/>
        </w:rPr>
      </w:pPr>
    </w:p>
    <w:p w14:paraId="2BC29335"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Se aprobó el Programa Anual de Desarrollo Archivístico “PADA” 2022 (Artículos 23, 24 y 25), el cual cumple con los elementos normativos indicados, y se publicó en el portal electrónico en la página principal de ECOSUR, en el espacio de Archivo Institucional. El PADA, contiene el programa de capacitación en materia de archivos y transparencia para el presente ejercicio, en el cual se han considerado dos cursos, el primero de manera presencial a distancia, y el segundo se realizará en línea mediante el sistema CEVINAI.</w:t>
      </w:r>
    </w:p>
    <w:p w14:paraId="62963430" w14:textId="77777777" w:rsidR="00322AA9" w:rsidRPr="00322AA9" w:rsidRDefault="00322AA9" w:rsidP="00322AA9">
      <w:pPr>
        <w:jc w:val="both"/>
        <w:rPr>
          <w:rFonts w:ascii="Montserrat" w:hAnsi="Montserrat" w:cstheme="minorHAnsi"/>
          <w:sz w:val="22"/>
          <w:szCs w:val="22"/>
        </w:rPr>
      </w:pPr>
    </w:p>
    <w:p w14:paraId="375D10C5"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Se realizó el informe anual de cumplimiento del programa anual del año inmediato anterior (Artículo 26), el cual se encuentra publicado en el portal electrónico en la página principal de ECOSUR en el espacio de Archivo Institucional.</w:t>
      </w:r>
    </w:p>
    <w:p w14:paraId="08592EA9" w14:textId="77777777" w:rsidR="00322AA9" w:rsidRPr="00322AA9" w:rsidRDefault="00322AA9" w:rsidP="00322AA9">
      <w:pPr>
        <w:jc w:val="both"/>
        <w:rPr>
          <w:rFonts w:ascii="Montserrat" w:hAnsi="Montserrat" w:cstheme="minorHAnsi"/>
          <w:sz w:val="22"/>
          <w:szCs w:val="22"/>
        </w:rPr>
      </w:pPr>
    </w:p>
    <w:p w14:paraId="605FBBBF"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 xml:space="preserve">Respecto al Grupo Interdisciplinario (Artículos 50, 51, 52, 53 y 54). El 14 de febrero, se realizó la Primera Sesión Extraordinaria del Grupo Interdisciplinario de Archivos de ECOSUR para llevar a cabo la aprobación de los Criterios de Valoración Documental de El Colegio de la Frontera Sur. El 7 de marzo se llevó a cabo La Primera Sesión Ordinaria del Grupo Interdisciplinario de Archivos de ECOSUR, considerando temas importantes para su atención y seguimiento. </w:t>
      </w:r>
    </w:p>
    <w:p w14:paraId="53B26A9F" w14:textId="77777777" w:rsidR="00322AA9" w:rsidRPr="00322AA9" w:rsidRDefault="00322AA9" w:rsidP="00322AA9">
      <w:pPr>
        <w:jc w:val="both"/>
        <w:rPr>
          <w:rFonts w:ascii="Montserrat" w:hAnsi="Montserrat" w:cstheme="minorHAnsi"/>
          <w:sz w:val="22"/>
          <w:szCs w:val="22"/>
        </w:rPr>
      </w:pPr>
    </w:p>
    <w:p w14:paraId="7EB1469A"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Se actualizó la información correspondiente a archivos de la fracción XLV. El catálogo de disposición documental y guía simple de archivos en el Sistema de Obligaciones de Transparencia “SIPOT”; dando seguimientos a la modificación publicada en el DOF del 28/12/2020, se actualizó la información sobre: Artículo 13, fracciones; I.- Cuadro general de clasificación archivística; y III.- Inventarios documentales, instrumentos de consulta. Artículo 24.- Programa Anual de Desarrollo Archivístico. Artículo 26.- Informe anual de cumplimiento al programa anual.</w:t>
      </w:r>
    </w:p>
    <w:p w14:paraId="71EE70E9" w14:textId="77777777" w:rsidR="00322AA9" w:rsidRPr="00322AA9" w:rsidRDefault="00322AA9" w:rsidP="00322AA9">
      <w:pPr>
        <w:jc w:val="both"/>
        <w:rPr>
          <w:rFonts w:ascii="Montserrat" w:hAnsi="Montserrat" w:cstheme="minorHAnsi"/>
          <w:sz w:val="22"/>
          <w:szCs w:val="22"/>
        </w:rPr>
      </w:pPr>
    </w:p>
    <w:p w14:paraId="636E9B4B"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 xml:space="preserve">Se dio cumplimiento al numeral décimo séptimo de los Lineamientos Generales para la Organización y Conservación de los Archivos. Se envió oficio al Archivo General de la Nación, indicando que el catálogo de disposición documental se encuentra vigente, funcionando y que no se realizó actualización alguna. </w:t>
      </w:r>
    </w:p>
    <w:p w14:paraId="254887CE" w14:textId="77777777" w:rsidR="00322AA9" w:rsidRPr="00322AA9" w:rsidRDefault="00322AA9" w:rsidP="00322AA9">
      <w:pPr>
        <w:jc w:val="both"/>
        <w:rPr>
          <w:rFonts w:ascii="Montserrat" w:hAnsi="Montserrat" w:cstheme="minorHAnsi"/>
          <w:sz w:val="22"/>
          <w:szCs w:val="22"/>
        </w:rPr>
      </w:pPr>
    </w:p>
    <w:p w14:paraId="6A8EB177"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lastRenderedPageBreak/>
        <w:t>Con relación al Sistema Automatizado de Archivos (Artículo 44), se continúan las gestiones en conjunto con el grupo de acompañamiento en materia de archivos de los Centros que conformamos al CONACYT, para la obtención de un sistema automatizado que nos permita la gestión documental y administración de archivos a lo largo de su ciclo vital. En el afán de buscar alternativas, en el mes de mayo se asistió a la presentación del software "</w:t>
      </w:r>
      <w:proofErr w:type="spellStart"/>
      <w:r w:rsidRPr="00322AA9">
        <w:rPr>
          <w:rFonts w:ascii="Montserrat" w:hAnsi="Montserrat" w:cstheme="minorHAnsi"/>
          <w:sz w:val="22"/>
          <w:szCs w:val="22"/>
        </w:rPr>
        <w:t>Regestum</w:t>
      </w:r>
      <w:proofErr w:type="spellEnd"/>
      <w:r w:rsidRPr="00322AA9">
        <w:rPr>
          <w:rFonts w:ascii="Montserrat" w:hAnsi="Montserrat" w:cstheme="minorHAnsi"/>
          <w:sz w:val="22"/>
          <w:szCs w:val="22"/>
        </w:rPr>
        <w:t xml:space="preserve">", de la empresa Colegio Mexicano de Archivología; y en el mes de junio se asistió a la presentación del sistema SARIP implementado por la empresa </w:t>
      </w:r>
      <w:proofErr w:type="spellStart"/>
      <w:r w:rsidRPr="00322AA9">
        <w:rPr>
          <w:rFonts w:ascii="Montserrat" w:hAnsi="Montserrat" w:cstheme="minorHAnsi"/>
          <w:sz w:val="22"/>
          <w:szCs w:val="22"/>
        </w:rPr>
        <w:t>Infroestratégica</w:t>
      </w:r>
      <w:proofErr w:type="spellEnd"/>
      <w:r w:rsidRPr="00322AA9">
        <w:rPr>
          <w:rFonts w:ascii="Montserrat" w:hAnsi="Montserrat" w:cstheme="minorHAnsi"/>
          <w:sz w:val="22"/>
          <w:szCs w:val="22"/>
        </w:rPr>
        <w:t>. Actualmente continuamos pendientes del sistema que está implementando el Archivo General de la Nación, para conocer el sistema que han desarrollado, sistema de Administración y Gestión de Archivos “SAGA”.</w:t>
      </w:r>
    </w:p>
    <w:p w14:paraId="7F3B14F1" w14:textId="77777777" w:rsidR="00322AA9" w:rsidRPr="00322AA9" w:rsidRDefault="00322AA9" w:rsidP="00322AA9">
      <w:pPr>
        <w:jc w:val="both"/>
        <w:rPr>
          <w:rFonts w:ascii="Montserrat" w:hAnsi="Montserrat" w:cstheme="minorHAnsi"/>
          <w:sz w:val="22"/>
          <w:szCs w:val="22"/>
        </w:rPr>
      </w:pPr>
    </w:p>
    <w:p w14:paraId="189F6547"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Mediante el calendario de recepción de transferencias primarias, se ha logrado otro año de liberación de los archivos de trámite, lo que permite tener mayor organización y control en estos archivos. Asimismo, se han actualizado los inventarios generales por unidad administrativa, conforme a los inventarios de transferencias primarias.</w:t>
      </w:r>
    </w:p>
    <w:p w14:paraId="35FD14DC" w14:textId="77777777" w:rsidR="00322AA9" w:rsidRPr="00322AA9" w:rsidRDefault="00322AA9" w:rsidP="00322AA9">
      <w:pPr>
        <w:jc w:val="both"/>
        <w:rPr>
          <w:rFonts w:ascii="Montserrat" w:hAnsi="Montserrat" w:cstheme="minorHAnsi"/>
          <w:sz w:val="22"/>
          <w:szCs w:val="22"/>
        </w:rPr>
      </w:pPr>
    </w:p>
    <w:p w14:paraId="4915FB03"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 xml:space="preserve">En seguimiento a las solicitudes de destino final-baja documental pendientes de resolución por parte del Archivo General de la Nación; en el mes de marzo, se enviaron las dos solicitudes ajustadas a los nuevos Lineamientos para que el Archivo General de la Nación emita el dictamen y acta de Baja Documental o de Transferencia Secundaria para los sujetos obligados del Poder Ejecutivo Federal, previsto en el Artículo 106, Fracción VI, de la Ley General de Archivos, publicado en el DOF el 12 de octubre de 2020. </w:t>
      </w:r>
    </w:p>
    <w:p w14:paraId="6B4B79AE" w14:textId="77777777" w:rsidR="00322AA9" w:rsidRPr="00322AA9" w:rsidRDefault="00322AA9" w:rsidP="00322AA9">
      <w:pPr>
        <w:jc w:val="both"/>
        <w:rPr>
          <w:rFonts w:ascii="Montserrat" w:hAnsi="Montserrat" w:cstheme="minorHAnsi"/>
          <w:sz w:val="22"/>
          <w:szCs w:val="22"/>
        </w:rPr>
      </w:pPr>
    </w:p>
    <w:p w14:paraId="4987EF03"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Se actualizó con fecha 6 de junio de 2022, el contrato entre la Comisión Nacional de Libros de Texto Gratuitos y El Colegio de la Frontera Sur, para que, en su momento, se realicen los procesos de donación de papel para reciclaje derivados de solicitudes de baja documental como lo señala la normatividad (Artículo 15).</w:t>
      </w:r>
    </w:p>
    <w:p w14:paraId="7EE92805" w14:textId="77777777" w:rsidR="00322AA9" w:rsidRPr="00322AA9" w:rsidRDefault="00322AA9" w:rsidP="00322AA9">
      <w:pPr>
        <w:jc w:val="both"/>
        <w:rPr>
          <w:rFonts w:ascii="Montserrat" w:hAnsi="Montserrat" w:cstheme="minorHAnsi"/>
          <w:sz w:val="22"/>
          <w:szCs w:val="22"/>
        </w:rPr>
      </w:pPr>
    </w:p>
    <w:p w14:paraId="51B1312A" w14:textId="77777777" w:rsidR="00322AA9" w:rsidRPr="00322AA9" w:rsidRDefault="00322AA9" w:rsidP="00322AA9">
      <w:pPr>
        <w:jc w:val="both"/>
        <w:rPr>
          <w:rFonts w:ascii="Montserrat" w:hAnsi="Montserrat" w:cstheme="minorHAnsi"/>
          <w:sz w:val="22"/>
          <w:szCs w:val="22"/>
        </w:rPr>
      </w:pPr>
      <w:r w:rsidRPr="00322AA9">
        <w:rPr>
          <w:rFonts w:ascii="Montserrat" w:hAnsi="Montserrat" w:cstheme="minorHAnsi"/>
          <w:sz w:val="22"/>
          <w:szCs w:val="22"/>
        </w:rPr>
        <w:t xml:space="preserve">Los archivos de concentración continúan prestando los servicios correspondientes, apoyando a los requerimientos y solicitudes que se presentan. Se han atendido las consultas y/o préstamos de expedientes acorde a las necesidades presentadas. </w:t>
      </w:r>
    </w:p>
    <w:p w14:paraId="15B80116" w14:textId="77777777" w:rsidR="00322AA9" w:rsidRPr="00322AA9" w:rsidRDefault="00322AA9" w:rsidP="00322AA9">
      <w:pPr>
        <w:jc w:val="both"/>
        <w:rPr>
          <w:rFonts w:ascii="Montserrat" w:hAnsi="Montserrat" w:cstheme="minorHAnsi"/>
          <w:sz w:val="22"/>
          <w:szCs w:val="22"/>
        </w:rPr>
      </w:pPr>
    </w:p>
    <w:p w14:paraId="4C3D424C" w14:textId="4F0E60E3" w:rsidR="003F39BE" w:rsidRPr="001F3482" w:rsidRDefault="00322AA9" w:rsidP="00322AA9">
      <w:pPr>
        <w:jc w:val="both"/>
        <w:rPr>
          <w:rFonts w:ascii="Montserrat" w:hAnsi="Montserrat" w:cstheme="minorHAnsi"/>
          <w:sz w:val="22"/>
          <w:szCs w:val="22"/>
        </w:rPr>
      </w:pPr>
      <w:r w:rsidRPr="00322AA9">
        <w:rPr>
          <w:rFonts w:ascii="Montserrat" w:hAnsi="Montserrat" w:cstheme="minorHAnsi"/>
          <w:sz w:val="22"/>
          <w:szCs w:val="22"/>
        </w:rPr>
        <w:t>En ECOSUR se han realizado avances considerables, encaminados al cumplimiento normativo, y al desarrollo adecuado de las actividades en materia de archivos, lo que nos permite contar con herramientas para el acceso a la información, la transparencia y la rendición de cuentas.</w:t>
      </w:r>
    </w:p>
    <w:sectPr w:rsidR="003F39BE" w:rsidRPr="001F3482" w:rsidSect="00876082">
      <w:headerReference w:type="default" r:id="rId9"/>
      <w:footerReference w:type="default" r:id="rId10"/>
      <w:pgSz w:w="12240" w:h="15840"/>
      <w:pgMar w:top="175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6396" w14:textId="77777777" w:rsidR="00CA039F" w:rsidRDefault="00CA039F" w:rsidP="00E57969">
      <w:r>
        <w:separator/>
      </w:r>
    </w:p>
  </w:endnote>
  <w:endnote w:type="continuationSeparator" w:id="0">
    <w:p w14:paraId="5760D175" w14:textId="77777777" w:rsidR="00CA039F" w:rsidRDefault="00CA039F"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483384EC"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3C2E8C">
      <w:rPr>
        <w:rFonts w:ascii="Montserrat" w:eastAsia="Batang" w:hAnsi="Montserrat"/>
        <w:b/>
        <w:i/>
        <w:color w:val="A6A6A6" w:themeColor="background1" w:themeShade="A6"/>
        <w:sz w:val="18"/>
        <w:szCs w:val="18"/>
      </w:rPr>
      <w:t>Segunda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766D98">
      <w:rPr>
        <w:rFonts w:ascii="Montserrat" w:eastAsia="Batang" w:hAnsi="Montserrat"/>
        <w:b/>
        <w:i/>
        <w:color w:val="A6A6A6" w:themeColor="background1" w:themeShade="A6"/>
        <w:sz w:val="18"/>
        <w:szCs w:val="18"/>
      </w:rPr>
      <w:t>2</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3A060B">
      <w:rPr>
        <w:rFonts w:ascii="Montserrat" w:hAnsi="Montserrat"/>
        <w:noProof/>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09F9" w14:textId="77777777" w:rsidR="00CA039F" w:rsidRDefault="00CA039F" w:rsidP="00E57969">
      <w:r>
        <w:separator/>
      </w:r>
    </w:p>
  </w:footnote>
  <w:footnote w:type="continuationSeparator" w:id="0">
    <w:p w14:paraId="019D1F90" w14:textId="77777777" w:rsidR="00CA039F" w:rsidRDefault="00CA039F"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70B" w14:textId="3FBADBB7" w:rsidR="00EE1715" w:rsidRDefault="006D41E2" w:rsidP="00E364CC">
    <w:pPr>
      <w:pStyle w:val="Encabezado"/>
      <w:tabs>
        <w:tab w:val="left" w:pos="1134"/>
      </w:tabs>
    </w:pPr>
    <w:r>
      <w:rPr>
        <w:noProof/>
      </w:rPr>
      <w:drawing>
        <wp:inline distT="0" distB="0" distL="0" distR="0" wp14:anchorId="692303D6" wp14:editId="50CDE96F">
          <wp:extent cx="5684520" cy="10483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520" cy="1048385"/>
                  </a:xfrm>
                  <a:prstGeom prst="rect">
                    <a:avLst/>
                  </a:prstGeom>
                  <a:noFill/>
                </pic:spPr>
              </pic:pic>
            </a:graphicData>
          </a:graphic>
        </wp:inline>
      </w:drawing>
    </w:r>
  </w:p>
  <w:p w14:paraId="0D0547FB" w14:textId="223BF91F" w:rsidR="00E57969" w:rsidRDefault="00E57969" w:rsidP="00E364CC">
    <w:pPr>
      <w:pStyle w:val="Encabezado"/>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72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A07A37"/>
    <w:multiLevelType w:val="hybridMultilevel"/>
    <w:tmpl w:val="8670D926"/>
    <w:lvl w:ilvl="0" w:tplc="AE7653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F47DD2"/>
    <w:multiLevelType w:val="hybridMultilevel"/>
    <w:tmpl w:val="A492FF84"/>
    <w:lvl w:ilvl="0" w:tplc="3AD20D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B51E31"/>
    <w:multiLevelType w:val="hybridMultilevel"/>
    <w:tmpl w:val="701432E4"/>
    <w:lvl w:ilvl="0" w:tplc="D68074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8E5B56"/>
    <w:multiLevelType w:val="hybridMultilevel"/>
    <w:tmpl w:val="ED9AB26C"/>
    <w:lvl w:ilvl="0" w:tplc="44E67A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EA0F4C"/>
    <w:multiLevelType w:val="hybridMultilevel"/>
    <w:tmpl w:val="ED9AB2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14564B"/>
    <w:multiLevelType w:val="hybridMultilevel"/>
    <w:tmpl w:val="ED9AB2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2258631">
    <w:abstractNumId w:val="1"/>
  </w:num>
  <w:num w:numId="2" w16cid:durableId="480123158">
    <w:abstractNumId w:val="3"/>
  </w:num>
  <w:num w:numId="3" w16cid:durableId="2086609050">
    <w:abstractNumId w:val="4"/>
  </w:num>
  <w:num w:numId="4" w16cid:durableId="508253105">
    <w:abstractNumId w:val="8"/>
  </w:num>
  <w:num w:numId="5" w16cid:durableId="364672647">
    <w:abstractNumId w:val="2"/>
  </w:num>
  <w:num w:numId="6" w16cid:durableId="1445687637">
    <w:abstractNumId w:val="5"/>
  </w:num>
  <w:num w:numId="7" w16cid:durableId="1068571470">
    <w:abstractNumId w:val="0"/>
  </w:num>
  <w:num w:numId="8" w16cid:durableId="871839434">
    <w:abstractNumId w:val="7"/>
  </w:num>
  <w:num w:numId="9" w16cid:durableId="185945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0023AD"/>
    <w:rsid w:val="00003A93"/>
    <w:rsid w:val="00146DD7"/>
    <w:rsid w:val="00154FF8"/>
    <w:rsid w:val="001C08E4"/>
    <w:rsid w:val="001E3D93"/>
    <w:rsid w:val="001E665A"/>
    <w:rsid w:val="001F3482"/>
    <w:rsid w:val="00202E09"/>
    <w:rsid w:val="0020676A"/>
    <w:rsid w:val="00211AA9"/>
    <w:rsid w:val="0021496C"/>
    <w:rsid w:val="002407CB"/>
    <w:rsid w:val="00297318"/>
    <w:rsid w:val="002D4A24"/>
    <w:rsid w:val="002F3998"/>
    <w:rsid w:val="00322AA9"/>
    <w:rsid w:val="003308E5"/>
    <w:rsid w:val="0033131B"/>
    <w:rsid w:val="003336A3"/>
    <w:rsid w:val="00351294"/>
    <w:rsid w:val="00361BA9"/>
    <w:rsid w:val="0039250F"/>
    <w:rsid w:val="003A060B"/>
    <w:rsid w:val="003A1C6A"/>
    <w:rsid w:val="003B6E1A"/>
    <w:rsid w:val="003C0F56"/>
    <w:rsid w:val="003C2E8C"/>
    <w:rsid w:val="003F39BE"/>
    <w:rsid w:val="004017FD"/>
    <w:rsid w:val="00447079"/>
    <w:rsid w:val="0045608F"/>
    <w:rsid w:val="00467E90"/>
    <w:rsid w:val="00474F26"/>
    <w:rsid w:val="00484ED1"/>
    <w:rsid w:val="004866F9"/>
    <w:rsid w:val="004C7740"/>
    <w:rsid w:val="005307CC"/>
    <w:rsid w:val="0054348A"/>
    <w:rsid w:val="00567FB0"/>
    <w:rsid w:val="005720EF"/>
    <w:rsid w:val="005C7309"/>
    <w:rsid w:val="005D56A6"/>
    <w:rsid w:val="006044A6"/>
    <w:rsid w:val="006439CF"/>
    <w:rsid w:val="00645FBE"/>
    <w:rsid w:val="00647F31"/>
    <w:rsid w:val="00657D31"/>
    <w:rsid w:val="00662E61"/>
    <w:rsid w:val="00671F99"/>
    <w:rsid w:val="006A4AFB"/>
    <w:rsid w:val="006A5412"/>
    <w:rsid w:val="006D41E2"/>
    <w:rsid w:val="006D7F13"/>
    <w:rsid w:val="0075044F"/>
    <w:rsid w:val="00766D98"/>
    <w:rsid w:val="007718A4"/>
    <w:rsid w:val="00795739"/>
    <w:rsid w:val="007C40BC"/>
    <w:rsid w:val="007E4A94"/>
    <w:rsid w:val="00810D23"/>
    <w:rsid w:val="00831FC0"/>
    <w:rsid w:val="00833005"/>
    <w:rsid w:val="00876082"/>
    <w:rsid w:val="008F5F87"/>
    <w:rsid w:val="00911C88"/>
    <w:rsid w:val="009136EB"/>
    <w:rsid w:val="00935E03"/>
    <w:rsid w:val="00941598"/>
    <w:rsid w:val="0094679C"/>
    <w:rsid w:val="00980AAA"/>
    <w:rsid w:val="0098340D"/>
    <w:rsid w:val="00992B92"/>
    <w:rsid w:val="009A1FE7"/>
    <w:rsid w:val="009D7407"/>
    <w:rsid w:val="009E5A53"/>
    <w:rsid w:val="00A21CA3"/>
    <w:rsid w:val="00A319BF"/>
    <w:rsid w:val="00A4463E"/>
    <w:rsid w:val="00A563EC"/>
    <w:rsid w:val="00A936C0"/>
    <w:rsid w:val="00AB18AB"/>
    <w:rsid w:val="00AC6CA6"/>
    <w:rsid w:val="00AC7A14"/>
    <w:rsid w:val="00AE4766"/>
    <w:rsid w:val="00AE6D38"/>
    <w:rsid w:val="00B23FD5"/>
    <w:rsid w:val="00B33945"/>
    <w:rsid w:val="00BA0840"/>
    <w:rsid w:val="00BB0E75"/>
    <w:rsid w:val="00BB7944"/>
    <w:rsid w:val="00BC1469"/>
    <w:rsid w:val="00BE1E52"/>
    <w:rsid w:val="00BF3C06"/>
    <w:rsid w:val="00BF7AC2"/>
    <w:rsid w:val="00C060DD"/>
    <w:rsid w:val="00C237D9"/>
    <w:rsid w:val="00C27B76"/>
    <w:rsid w:val="00C4007F"/>
    <w:rsid w:val="00C50B21"/>
    <w:rsid w:val="00CA039F"/>
    <w:rsid w:val="00CB238A"/>
    <w:rsid w:val="00CB5DD2"/>
    <w:rsid w:val="00CD1ABD"/>
    <w:rsid w:val="00CF5A47"/>
    <w:rsid w:val="00CF7D33"/>
    <w:rsid w:val="00D3180C"/>
    <w:rsid w:val="00D3488F"/>
    <w:rsid w:val="00D84F53"/>
    <w:rsid w:val="00DA5F27"/>
    <w:rsid w:val="00DB7382"/>
    <w:rsid w:val="00DC5A1E"/>
    <w:rsid w:val="00DE481E"/>
    <w:rsid w:val="00E24D51"/>
    <w:rsid w:val="00E33818"/>
    <w:rsid w:val="00E364CC"/>
    <w:rsid w:val="00E50514"/>
    <w:rsid w:val="00E57969"/>
    <w:rsid w:val="00E64C31"/>
    <w:rsid w:val="00ED17A4"/>
    <w:rsid w:val="00ED6718"/>
    <w:rsid w:val="00EE1715"/>
    <w:rsid w:val="00EF73C8"/>
    <w:rsid w:val="00F262D9"/>
    <w:rsid w:val="00F34177"/>
    <w:rsid w:val="00F46324"/>
    <w:rsid w:val="00F7164C"/>
    <w:rsid w:val="00F73B8F"/>
    <w:rsid w:val="00FA7510"/>
    <w:rsid w:val="00FB0EAF"/>
    <w:rsid w:val="00FD37B4"/>
    <w:rsid w:val="00FE56CA"/>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B17B5D"/>
  <w15:docId w15:val="{8DE30E95-34FB-400B-84A3-CA2B650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character" w:styleId="Textoennegrita">
    <w:name w:val="Strong"/>
    <w:qFormat/>
    <w:rsid w:val="00467E90"/>
    <w:rPr>
      <w:b/>
      <w:bCs/>
    </w:rPr>
  </w:style>
  <w:style w:type="table" w:styleId="Tablaconcuadrcula">
    <w:name w:val="Table Grid"/>
    <w:basedOn w:val="Tablanormal"/>
    <w:uiPriority w:val="39"/>
    <w:rsid w:val="00467E9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cuerdo">
    <w:name w:val="tituloAcuerdo"/>
    <w:basedOn w:val="Normal"/>
    <w:link w:val="tituloAcuerdoCar"/>
    <w:qFormat/>
    <w:rsid w:val="00467E90"/>
    <w:pPr>
      <w:jc w:val="both"/>
    </w:pPr>
    <w:rPr>
      <w:rFonts w:ascii="Arial" w:eastAsia="Calibri" w:hAnsi="Arial" w:cs="Times New Roman"/>
      <w:b/>
      <w:sz w:val="22"/>
      <w:lang w:eastAsia="es-ES"/>
    </w:rPr>
  </w:style>
  <w:style w:type="character" w:customStyle="1" w:styleId="tituloAcuerdoCar">
    <w:name w:val="tituloAcuerdo Car"/>
    <w:basedOn w:val="Fuentedeprrafopredeter"/>
    <w:link w:val="tituloAcuerdo"/>
    <w:rsid w:val="00467E90"/>
    <w:rPr>
      <w:rFonts w:ascii="Arial" w:eastAsia="Calibri" w:hAnsi="Arial" w:cs="Times New Roman"/>
      <w:b/>
      <w:sz w:val="22"/>
      <w:lang w:eastAsia="es-ES"/>
    </w:rPr>
  </w:style>
  <w:style w:type="paragraph" w:customStyle="1" w:styleId="EstiloNegritasAcuerdo">
    <w:name w:val="Estilo Negritas Acuerdo"/>
    <w:basedOn w:val="Prrafodelista"/>
    <w:link w:val="EstiloNegritasAcuerdoCar"/>
    <w:qFormat/>
    <w:locked/>
    <w:rsid w:val="00467E90"/>
    <w:pPr>
      <w:ind w:left="2410" w:hanging="2410"/>
      <w:contextualSpacing w:val="0"/>
      <w:jc w:val="both"/>
    </w:pPr>
    <w:rPr>
      <w:rFonts w:ascii="Arial" w:eastAsia="Times New Roman" w:hAnsi="Arial" w:cs="Times New Roman"/>
      <w:b/>
      <w:sz w:val="22"/>
      <w:lang w:val="es-ES" w:eastAsia="es-ES"/>
    </w:rPr>
  </w:style>
  <w:style w:type="character" w:customStyle="1" w:styleId="EstiloNegritasAcuerdoCar">
    <w:name w:val="Estilo Negritas Acuerdo Car"/>
    <w:link w:val="EstiloNegritasAcuerdo"/>
    <w:rsid w:val="00467E90"/>
    <w:rPr>
      <w:rFonts w:ascii="Arial" w:eastAsia="Times New Roman" w:hAnsi="Arial" w:cs="Times New Roman"/>
      <w:b/>
      <w:sz w:val="22"/>
      <w:lang w:val="es-ES" w:eastAsia="es-ES"/>
    </w:rPr>
  </w:style>
  <w:style w:type="paragraph" w:styleId="Prrafodelista">
    <w:name w:val="List Paragraph"/>
    <w:basedOn w:val="Normal"/>
    <w:uiPriority w:val="34"/>
    <w:qFormat/>
    <w:rsid w:val="00467E90"/>
    <w:pPr>
      <w:ind w:left="720"/>
      <w:contextualSpacing/>
    </w:pPr>
  </w:style>
  <w:style w:type="character" w:styleId="Hipervnculo">
    <w:name w:val="Hyperlink"/>
    <w:rsid w:val="003F39BE"/>
    <w:rPr>
      <w:color w:val="0000FF"/>
      <w:u w:val="single"/>
    </w:rPr>
  </w:style>
  <w:style w:type="paragraph" w:customStyle="1" w:styleId="Default">
    <w:name w:val="Default"/>
    <w:rsid w:val="009136EB"/>
    <w:pPr>
      <w:autoSpaceDE w:val="0"/>
      <w:autoSpaceDN w:val="0"/>
      <w:adjustRightInd w:val="0"/>
    </w:pPr>
    <w:rPr>
      <w:rFonts w:ascii="Montserrat" w:hAnsi="Montserrat" w:cs="Montserrat"/>
      <w:color w:val="00000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sur.mx/transparenciafocalizada/indice-de-expedientes-reservad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4253-14EB-4EC4-ABA1-1886A23A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7658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Elizabeth Torres Suarez</cp:lastModifiedBy>
  <cp:revision>3</cp:revision>
  <cp:lastPrinted>2022-09-27T21:35:00Z</cp:lastPrinted>
  <dcterms:created xsi:type="dcterms:W3CDTF">2022-09-27T17:36:00Z</dcterms:created>
  <dcterms:modified xsi:type="dcterms:W3CDTF">2022-09-27T21:35:00Z</dcterms:modified>
</cp:coreProperties>
</file>