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8D8" w14:textId="1364B1B9" w:rsidR="00D66751" w:rsidRPr="00BB2026" w:rsidRDefault="009E4E54" w:rsidP="00D66751">
      <w:pPr>
        <w:ind w:left="567" w:hanging="567"/>
        <w:jc w:val="both"/>
        <w:rPr>
          <w:rFonts w:ascii="Montserrat" w:eastAsia="Calibri" w:hAnsi="Montserrat" w:cs="Times New Roman"/>
          <w:b/>
          <w:bCs/>
          <w:i/>
          <w:iCs/>
          <w:sz w:val="22"/>
          <w:szCs w:val="22"/>
        </w:rPr>
      </w:pPr>
      <w:r w:rsidRPr="00BB2026">
        <w:rPr>
          <w:rFonts w:ascii="Montserrat" w:eastAsia="Calibri" w:hAnsi="Montserrat" w:cs="Times New Roman"/>
          <w:b/>
          <w:bCs/>
          <w:i/>
          <w:iCs/>
          <w:sz w:val="22"/>
          <w:szCs w:val="22"/>
        </w:rPr>
        <w:t>5.11</w:t>
      </w:r>
      <w:r w:rsidR="00D66751" w:rsidRPr="00BB2026">
        <w:rPr>
          <w:rFonts w:ascii="Montserrat" w:eastAsia="Calibri" w:hAnsi="Montserrat" w:cs="Times New Roman"/>
          <w:b/>
          <w:bCs/>
          <w:i/>
          <w:iCs/>
          <w:sz w:val="22"/>
          <w:szCs w:val="22"/>
        </w:rPr>
        <w:t>. Seguimiento al Programa Nacional de Combate a la Corrupción y la Impunidad, y de Mejora de Gestión Pública 2019-2024</w:t>
      </w:r>
    </w:p>
    <w:p w14:paraId="57FC8D7E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i/>
          <w:iCs/>
          <w:sz w:val="22"/>
          <w:szCs w:val="22"/>
        </w:rPr>
      </w:pPr>
    </w:p>
    <w:p w14:paraId="0ECD11B0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A partir de la publicación del </w:t>
      </w:r>
      <w:r w:rsidRPr="00BB2026">
        <w:rPr>
          <w:rFonts w:ascii="Montserrat" w:eastAsia="Calibri" w:hAnsi="Montserrat" w:cs="Times New Roman"/>
          <w:i/>
          <w:iCs/>
          <w:sz w:val="22"/>
          <w:szCs w:val="22"/>
        </w:rPr>
        <w:t>Programa Nacional de Combate a la Corrupción y a la Impunidad, y de Mejora de la Gestión Pública 2019-2024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, el 30 de agosto de 2019, se estableció el compromiso para ECOSUR de llevar a cabo 47 acciones: </w:t>
      </w: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8 del objetivo 1 Combate a la corrupción; 10 del objetivo 2 Combate impunidad; 12 del objetivo 3 Mejora de la gestión pública; 10 del objetivo 4 Programa de recursos humanos y 7 del objetivo 5 Uso de bienes. Igualmente, se asumen 12 indicadores de temporalidades diferentes. </w:t>
      </w:r>
    </w:p>
    <w:p w14:paraId="6C2C4A87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</w:p>
    <w:p w14:paraId="7A3402B8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En la primera quincena de julio 2022, la institución informó en tiempo y forma de las acciones realizadas en el segundo trimestre, a través del sistema habilitado en el Portal de Aplicaciones de la SHCP. </w:t>
      </w:r>
    </w:p>
    <w:p w14:paraId="3859396A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</w:pPr>
      <w:bookmarkStart w:id="0" w:name="_Hlk69386216"/>
    </w:p>
    <w:p w14:paraId="51FC78FD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</w:pPr>
      <w:r w:rsidRPr="00BB2026"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  <w:t>Compromisos</w:t>
      </w:r>
    </w:p>
    <w:p w14:paraId="5DBA67D0" w14:textId="762018A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En </w:t>
      </w:r>
      <w:r w:rsidR="00A61D28" w:rsidRPr="00BB2026">
        <w:rPr>
          <w:rFonts w:ascii="Montserrat" w:eastAsia="Calibri" w:hAnsi="Montserrat" w:cs="Times New Roman"/>
          <w:sz w:val="22"/>
          <w:szCs w:val="22"/>
        </w:rPr>
        <w:t>el primer semestre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 2022, sobre los 47 compromisos aplicables distribuidos en los cinco </w:t>
      </w: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programas, 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38 </w:t>
      </w: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registraron avances, lo que corresponde a 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81% del </w:t>
      </w: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total, como lo muestra la Tabla 1.  </w:t>
      </w:r>
    </w:p>
    <w:p w14:paraId="532D7199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</w:p>
    <w:p w14:paraId="116BEF06" w14:textId="12E5105E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Tabla 1. Número de compromisos con acciones- </w:t>
      </w:r>
      <w:r w:rsidR="00A61D28"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>Primer semestre</w:t>
      </w:r>
      <w:r w:rsidRPr="00BB2026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2022</w:t>
      </w:r>
    </w:p>
    <w:tbl>
      <w:tblPr>
        <w:tblStyle w:val="Tablaconcuadrcula"/>
        <w:tblW w:w="8943" w:type="dxa"/>
        <w:tblInd w:w="-5" w:type="dxa"/>
        <w:tblLook w:val="04A0" w:firstRow="1" w:lastRow="0" w:firstColumn="1" w:lastColumn="0" w:noHBand="0" w:noVBand="1"/>
      </w:tblPr>
      <w:tblGrid>
        <w:gridCol w:w="2308"/>
        <w:gridCol w:w="2452"/>
        <w:gridCol w:w="2452"/>
        <w:gridCol w:w="1731"/>
      </w:tblGrid>
      <w:tr w:rsidR="00D66751" w:rsidRPr="00BB2026" w14:paraId="6165B4C6" w14:textId="77777777" w:rsidTr="00BB2026">
        <w:trPr>
          <w:trHeight w:val="832"/>
        </w:trPr>
        <w:tc>
          <w:tcPr>
            <w:tcW w:w="2308" w:type="dxa"/>
            <w:tcBorders>
              <w:right w:val="double" w:sz="4" w:space="0" w:color="auto"/>
            </w:tcBorders>
          </w:tcPr>
          <w:p w14:paraId="74BD76FE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bookmarkStart w:id="1" w:name="_Hlk93649479"/>
            <w:bookmarkEnd w:id="0"/>
            <w:r w:rsidRPr="00BB2026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 </w:t>
            </w: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Programas</w:t>
            </w:r>
          </w:p>
        </w:tc>
        <w:tc>
          <w:tcPr>
            <w:tcW w:w="2452" w:type="dxa"/>
            <w:tcBorders>
              <w:left w:val="double" w:sz="4" w:space="0" w:color="auto"/>
            </w:tcBorders>
            <w:shd w:val="clear" w:color="auto" w:fill="auto"/>
          </w:tcPr>
          <w:p w14:paraId="238AE8DC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Compromisos con acciones realizadas</w:t>
            </w:r>
          </w:p>
        </w:tc>
        <w:tc>
          <w:tcPr>
            <w:tcW w:w="2452" w:type="dxa"/>
            <w:tcBorders>
              <w:right w:val="double" w:sz="4" w:space="0" w:color="auto"/>
            </w:tcBorders>
          </w:tcPr>
          <w:p w14:paraId="2313F9B2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Compromisos sin avances o no aplicables en el periodo</w:t>
            </w:r>
          </w:p>
        </w:tc>
        <w:tc>
          <w:tcPr>
            <w:tcW w:w="1731" w:type="dxa"/>
            <w:tcBorders>
              <w:right w:val="double" w:sz="4" w:space="0" w:color="auto"/>
            </w:tcBorders>
          </w:tcPr>
          <w:p w14:paraId="505ED6DD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Total</w:t>
            </w:r>
          </w:p>
        </w:tc>
      </w:tr>
      <w:tr w:rsidR="00D66751" w:rsidRPr="00BB2026" w14:paraId="0CD45C51" w14:textId="77777777" w:rsidTr="00BB2026">
        <w:trPr>
          <w:trHeight w:val="434"/>
        </w:trPr>
        <w:tc>
          <w:tcPr>
            <w:tcW w:w="2308" w:type="dxa"/>
            <w:tcBorders>
              <w:right w:val="double" w:sz="4" w:space="0" w:color="auto"/>
            </w:tcBorders>
          </w:tcPr>
          <w:p w14:paraId="15D4FDA1" w14:textId="77777777" w:rsidR="00D66751" w:rsidRPr="00BB2026" w:rsidRDefault="00D66751" w:rsidP="00020D1B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Combate Corrupción (CC)</w:t>
            </w:r>
          </w:p>
        </w:tc>
        <w:tc>
          <w:tcPr>
            <w:tcW w:w="2452" w:type="dxa"/>
            <w:tcBorders>
              <w:left w:val="double" w:sz="4" w:space="0" w:color="auto"/>
            </w:tcBorders>
            <w:shd w:val="clear" w:color="auto" w:fill="auto"/>
          </w:tcPr>
          <w:p w14:paraId="2712B9F8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6</w:t>
            </w:r>
          </w:p>
        </w:tc>
        <w:tc>
          <w:tcPr>
            <w:tcW w:w="2452" w:type="dxa"/>
            <w:tcBorders>
              <w:right w:val="double" w:sz="4" w:space="0" w:color="auto"/>
            </w:tcBorders>
          </w:tcPr>
          <w:p w14:paraId="14752694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right w:val="double" w:sz="4" w:space="0" w:color="auto"/>
            </w:tcBorders>
          </w:tcPr>
          <w:p w14:paraId="6D55BA2E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8</w:t>
            </w:r>
          </w:p>
        </w:tc>
      </w:tr>
      <w:tr w:rsidR="00D66751" w:rsidRPr="00BB2026" w14:paraId="1C9F1BDA" w14:textId="77777777" w:rsidTr="00BB2026">
        <w:trPr>
          <w:trHeight w:val="444"/>
        </w:trPr>
        <w:tc>
          <w:tcPr>
            <w:tcW w:w="2308" w:type="dxa"/>
            <w:tcBorders>
              <w:right w:val="double" w:sz="4" w:space="0" w:color="auto"/>
            </w:tcBorders>
          </w:tcPr>
          <w:p w14:paraId="49E64E97" w14:textId="77777777" w:rsidR="00D66751" w:rsidRPr="00BB2026" w:rsidRDefault="00D66751" w:rsidP="00020D1B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Combate Impunidad (CI)</w:t>
            </w:r>
          </w:p>
        </w:tc>
        <w:tc>
          <w:tcPr>
            <w:tcW w:w="2452" w:type="dxa"/>
            <w:tcBorders>
              <w:left w:val="double" w:sz="4" w:space="0" w:color="auto"/>
            </w:tcBorders>
            <w:shd w:val="clear" w:color="auto" w:fill="auto"/>
          </w:tcPr>
          <w:p w14:paraId="2361D56B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right w:val="double" w:sz="4" w:space="0" w:color="auto"/>
            </w:tcBorders>
          </w:tcPr>
          <w:p w14:paraId="7B45262F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5</w:t>
            </w:r>
          </w:p>
        </w:tc>
        <w:tc>
          <w:tcPr>
            <w:tcW w:w="1731" w:type="dxa"/>
            <w:tcBorders>
              <w:right w:val="double" w:sz="4" w:space="0" w:color="auto"/>
            </w:tcBorders>
          </w:tcPr>
          <w:p w14:paraId="26D6E1BF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10</w:t>
            </w:r>
          </w:p>
        </w:tc>
      </w:tr>
      <w:tr w:rsidR="00D66751" w:rsidRPr="00BB2026" w14:paraId="5163C1A2" w14:textId="77777777" w:rsidTr="00BB2026">
        <w:trPr>
          <w:trHeight w:val="444"/>
        </w:trPr>
        <w:tc>
          <w:tcPr>
            <w:tcW w:w="2308" w:type="dxa"/>
            <w:tcBorders>
              <w:right w:val="double" w:sz="4" w:space="0" w:color="auto"/>
            </w:tcBorders>
          </w:tcPr>
          <w:p w14:paraId="1EFC4E44" w14:textId="77777777" w:rsidR="00D66751" w:rsidRPr="00BB2026" w:rsidRDefault="00D66751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Mejora Gestión Pública (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MGP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2452" w:type="dxa"/>
            <w:tcBorders>
              <w:left w:val="double" w:sz="4" w:space="0" w:color="auto"/>
            </w:tcBorders>
            <w:shd w:val="clear" w:color="auto" w:fill="auto"/>
          </w:tcPr>
          <w:p w14:paraId="505358E6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12</w:t>
            </w:r>
          </w:p>
        </w:tc>
        <w:tc>
          <w:tcPr>
            <w:tcW w:w="2452" w:type="dxa"/>
            <w:tcBorders>
              <w:right w:val="double" w:sz="4" w:space="0" w:color="auto"/>
            </w:tcBorders>
          </w:tcPr>
          <w:p w14:paraId="2886535C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0</w:t>
            </w:r>
          </w:p>
        </w:tc>
        <w:tc>
          <w:tcPr>
            <w:tcW w:w="1731" w:type="dxa"/>
            <w:tcBorders>
              <w:right w:val="double" w:sz="4" w:space="0" w:color="auto"/>
            </w:tcBorders>
          </w:tcPr>
          <w:p w14:paraId="4438C82A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12</w:t>
            </w:r>
          </w:p>
        </w:tc>
      </w:tr>
      <w:tr w:rsidR="00D66751" w:rsidRPr="00BB2026" w14:paraId="7C3F3476" w14:textId="77777777" w:rsidTr="00BB2026">
        <w:trPr>
          <w:trHeight w:val="434"/>
        </w:trPr>
        <w:tc>
          <w:tcPr>
            <w:tcW w:w="2308" w:type="dxa"/>
            <w:tcBorders>
              <w:right w:val="double" w:sz="4" w:space="0" w:color="auto"/>
            </w:tcBorders>
          </w:tcPr>
          <w:p w14:paraId="7B083D8A" w14:textId="77777777" w:rsidR="00D66751" w:rsidRPr="00BB2026" w:rsidRDefault="00D66751" w:rsidP="00020D1B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Recursos Humanos (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PRH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2452" w:type="dxa"/>
            <w:tcBorders>
              <w:left w:val="double" w:sz="4" w:space="0" w:color="auto"/>
            </w:tcBorders>
            <w:shd w:val="clear" w:color="auto" w:fill="auto"/>
          </w:tcPr>
          <w:p w14:paraId="062DC13C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8</w:t>
            </w:r>
          </w:p>
        </w:tc>
        <w:tc>
          <w:tcPr>
            <w:tcW w:w="2452" w:type="dxa"/>
            <w:tcBorders>
              <w:right w:val="double" w:sz="4" w:space="0" w:color="auto"/>
            </w:tcBorders>
          </w:tcPr>
          <w:p w14:paraId="245AD611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right w:val="double" w:sz="4" w:space="0" w:color="auto"/>
            </w:tcBorders>
          </w:tcPr>
          <w:p w14:paraId="4BD317A7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10</w:t>
            </w:r>
          </w:p>
        </w:tc>
      </w:tr>
      <w:tr w:rsidR="00D66751" w:rsidRPr="00BB2026" w14:paraId="7F44E96B" w14:textId="77777777" w:rsidTr="00BB2026">
        <w:trPr>
          <w:trHeight w:val="444"/>
        </w:trPr>
        <w:tc>
          <w:tcPr>
            <w:tcW w:w="2308" w:type="dxa"/>
            <w:tcBorders>
              <w:bottom w:val="double" w:sz="4" w:space="0" w:color="auto"/>
              <w:right w:val="double" w:sz="4" w:space="0" w:color="auto"/>
            </w:tcBorders>
          </w:tcPr>
          <w:p w14:paraId="1FCC880F" w14:textId="77777777" w:rsidR="00D66751" w:rsidRPr="00BB2026" w:rsidRDefault="00D66751" w:rsidP="00020D1B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Uso de Bienes (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UB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)</w:t>
            </w:r>
          </w:p>
          <w:p w14:paraId="048C5E3A" w14:textId="77777777" w:rsidR="00D66751" w:rsidRPr="00BB2026" w:rsidRDefault="00D66751" w:rsidP="00020D1B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78215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7</w:t>
            </w:r>
          </w:p>
        </w:tc>
        <w:tc>
          <w:tcPr>
            <w:tcW w:w="2452" w:type="dxa"/>
            <w:tcBorders>
              <w:bottom w:val="double" w:sz="4" w:space="0" w:color="auto"/>
              <w:right w:val="double" w:sz="4" w:space="0" w:color="auto"/>
            </w:tcBorders>
          </w:tcPr>
          <w:p w14:paraId="73161D24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0</w:t>
            </w:r>
          </w:p>
        </w:tc>
        <w:tc>
          <w:tcPr>
            <w:tcW w:w="1731" w:type="dxa"/>
            <w:tcBorders>
              <w:bottom w:val="double" w:sz="4" w:space="0" w:color="auto"/>
              <w:right w:val="double" w:sz="4" w:space="0" w:color="auto"/>
            </w:tcBorders>
          </w:tcPr>
          <w:p w14:paraId="3268F327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7</w:t>
            </w:r>
          </w:p>
        </w:tc>
      </w:tr>
      <w:tr w:rsidR="00D66751" w:rsidRPr="00BB2026" w14:paraId="20C451B1" w14:textId="77777777" w:rsidTr="00BB2026">
        <w:trPr>
          <w:trHeight w:val="426"/>
        </w:trPr>
        <w:tc>
          <w:tcPr>
            <w:tcW w:w="2308" w:type="dxa"/>
            <w:tcBorders>
              <w:top w:val="double" w:sz="4" w:space="0" w:color="auto"/>
              <w:right w:val="double" w:sz="4" w:space="0" w:color="auto"/>
            </w:tcBorders>
          </w:tcPr>
          <w:p w14:paraId="11BBAE4D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Total</w:t>
            </w:r>
          </w:p>
          <w:p w14:paraId="681A8055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BA3E34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38</w:t>
            </w:r>
          </w:p>
          <w:p w14:paraId="12F13E5D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(81%)</w:t>
            </w:r>
          </w:p>
        </w:tc>
        <w:tc>
          <w:tcPr>
            <w:tcW w:w="2452" w:type="dxa"/>
            <w:tcBorders>
              <w:top w:val="double" w:sz="4" w:space="0" w:color="auto"/>
              <w:right w:val="double" w:sz="4" w:space="0" w:color="auto"/>
            </w:tcBorders>
          </w:tcPr>
          <w:p w14:paraId="4BF237B9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9</w:t>
            </w:r>
          </w:p>
          <w:p w14:paraId="2650880E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(19%)</w:t>
            </w:r>
          </w:p>
        </w:tc>
        <w:tc>
          <w:tcPr>
            <w:tcW w:w="1731" w:type="dxa"/>
            <w:tcBorders>
              <w:top w:val="double" w:sz="4" w:space="0" w:color="auto"/>
              <w:right w:val="double" w:sz="4" w:space="0" w:color="auto"/>
            </w:tcBorders>
          </w:tcPr>
          <w:p w14:paraId="7A803E60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47</w:t>
            </w:r>
          </w:p>
          <w:p w14:paraId="24E5D90B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(100%)</w:t>
            </w:r>
          </w:p>
        </w:tc>
      </w:tr>
      <w:bookmarkEnd w:id="1"/>
    </w:tbl>
    <w:p w14:paraId="267EACD9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4B9C77D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>A continuación, se proporciona información sobre los nueve</w:t>
      </w:r>
      <w:r w:rsidRPr="00BB2026">
        <w:rPr>
          <w:rFonts w:ascii="Montserrat" w:eastAsia="Calibri" w:hAnsi="Montserrat" w:cs="Times New Roman"/>
          <w:color w:val="FF0000"/>
          <w:sz w:val="22"/>
          <w:szCs w:val="22"/>
        </w:rPr>
        <w:t xml:space="preserve"> 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compromisos sin acciones. </w:t>
      </w:r>
    </w:p>
    <w:p w14:paraId="4626EB43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5E1C55E9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>Tabla 2. Justificación de los compromisos sin avances- Primer semestre 2022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84"/>
        <w:gridCol w:w="3878"/>
        <w:gridCol w:w="4494"/>
      </w:tblGrid>
      <w:tr w:rsidR="00D66751" w:rsidRPr="00BB2026" w14:paraId="1A410924" w14:textId="77777777" w:rsidTr="00020D1B">
        <w:trPr>
          <w:trHeight w:val="391"/>
        </w:trPr>
        <w:tc>
          <w:tcPr>
            <w:tcW w:w="914" w:type="dxa"/>
          </w:tcPr>
          <w:p w14:paraId="0018AD0E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906" w:type="dxa"/>
          </w:tcPr>
          <w:p w14:paraId="4DB3AAA8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 xml:space="preserve">Compromisos sin avances </w:t>
            </w:r>
          </w:p>
        </w:tc>
        <w:tc>
          <w:tcPr>
            <w:tcW w:w="4536" w:type="dxa"/>
          </w:tcPr>
          <w:p w14:paraId="00A6CE32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Justificación</w:t>
            </w:r>
          </w:p>
        </w:tc>
      </w:tr>
      <w:tr w:rsidR="00D66751" w:rsidRPr="00BB2026" w14:paraId="03C94920" w14:textId="77777777" w:rsidTr="00020D1B">
        <w:tc>
          <w:tcPr>
            <w:tcW w:w="914" w:type="dxa"/>
            <w:shd w:val="clear" w:color="auto" w:fill="auto"/>
          </w:tcPr>
          <w:p w14:paraId="4C086DAA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CC.2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7A63F1F3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Proponer al Comité de Control y Desempeño Institucional los acuerdos que permitan realizar el seguimiento trimestral de sus programas presupuestarios, a efecto de verificar su administración por resultados para el cumplimiento de metas y objetivos institucionales.</w:t>
            </w:r>
          </w:p>
        </w:tc>
        <w:tc>
          <w:tcPr>
            <w:tcW w:w="4536" w:type="dxa"/>
            <w:shd w:val="clear" w:color="auto" w:fill="auto"/>
          </w:tcPr>
          <w:p w14:paraId="6746020B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 Al cierre del periodo, el Programa Presupuestario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E003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.- "Investigación Científica, Desarrollo e Innovación" refleja una variación de 9.28%, esta variación no compromete el desempeño de la institución. Se debe a los hechos siguientes: (1) se tiene en proceso la ejecución viajes y viáticos de comisiones nacionales para el desarrollo de actividades de investigación en zonas urbanas y rurales; (2) se ha limitado los pagos de viáticos y pasajes de comisiones oficiales internacionales; y (3) las fuentes de financiamiento nacionales e internacionales han autorizado un monto menor de recursos para el financiamiento de proyectos de investigación, en comparación con las cifras estimadas inicialmente.</w:t>
            </w:r>
          </w:p>
        </w:tc>
      </w:tr>
      <w:tr w:rsidR="00D66751" w:rsidRPr="00BB2026" w14:paraId="7C10F91B" w14:textId="77777777" w:rsidTr="00020D1B">
        <w:tc>
          <w:tcPr>
            <w:tcW w:w="914" w:type="dxa"/>
            <w:shd w:val="clear" w:color="auto" w:fill="auto"/>
          </w:tcPr>
          <w:p w14:paraId="5C06FE08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CC.8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134C5598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Impulsar la implementación y el seguimiento de los compromisos derivados de Planes de Acción de la Alianza para el Gobierno Abierto que contribuyan al bienestar del pueblo de México.</w:t>
            </w:r>
          </w:p>
        </w:tc>
        <w:tc>
          <w:tcPr>
            <w:tcW w:w="4536" w:type="dxa"/>
            <w:shd w:val="clear" w:color="auto" w:fill="auto"/>
          </w:tcPr>
          <w:p w14:paraId="727C7624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Este compromiso es sectorial y </w:t>
            </w: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no es aplicable</w:t>
            </w:r>
            <w:r w:rsidRPr="00BB2026">
              <w:rPr>
                <w:rFonts w:ascii="Montserrat" w:hAnsi="Montserrat"/>
                <w:sz w:val="22"/>
                <w:szCs w:val="22"/>
              </w:rPr>
              <w:t xml:space="preserve"> a ECOSUR mientras no existe una solicitud explícita de la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SFP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</w:t>
            </w:r>
          </w:p>
          <w:p w14:paraId="2BCD3FAF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El 11 de abril, se contactó telefónicamente al Mtro. Eduardo Vargas Ortiz, </w:t>
            </w:r>
            <w:proofErr w:type="gramStart"/>
            <w:r w:rsidRPr="00BB2026">
              <w:rPr>
                <w:rFonts w:ascii="Montserrat" w:hAnsi="Montserrat"/>
                <w:sz w:val="22"/>
                <w:szCs w:val="22"/>
              </w:rPr>
              <w:t>Director</w:t>
            </w:r>
            <w:proofErr w:type="gramEnd"/>
            <w:r w:rsidRPr="00BB2026">
              <w:rPr>
                <w:rFonts w:ascii="Montserrat" w:hAnsi="Montserrat"/>
                <w:sz w:val="22"/>
                <w:szCs w:val="22"/>
              </w:rPr>
              <w:t xml:space="preserve"> de Gobierno Abierto, que confirmó la no aplicabilidad de los programas a ECOSUR.</w:t>
            </w:r>
          </w:p>
        </w:tc>
      </w:tr>
      <w:tr w:rsidR="00D66751" w:rsidRPr="00BB2026" w14:paraId="7ABD3E4C" w14:textId="77777777" w:rsidTr="00020D1B">
        <w:tc>
          <w:tcPr>
            <w:tcW w:w="914" w:type="dxa"/>
            <w:shd w:val="clear" w:color="auto" w:fill="auto"/>
          </w:tcPr>
          <w:p w14:paraId="32318D86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CI.4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320F2C51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Brindar capacitación por medio de las gestiones de los Comités de Ética y de Prevención de Conflictos de Intereses, sobre los elementos fundamentales del conflicto de intereses.</w:t>
            </w:r>
          </w:p>
        </w:tc>
        <w:tc>
          <w:tcPr>
            <w:tcW w:w="4536" w:type="dxa"/>
            <w:shd w:val="clear" w:color="auto" w:fill="auto"/>
          </w:tcPr>
          <w:p w14:paraId="0B23E2B7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En el primer semestre, no se brindaron capacitaciones sobre el tema de conflictos de interés, aunque se difundió material proporcionado por la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SFP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 sobre el tema.</w:t>
            </w:r>
          </w:p>
        </w:tc>
      </w:tr>
      <w:tr w:rsidR="00D66751" w:rsidRPr="00BB2026" w14:paraId="28B2FE45" w14:textId="77777777" w:rsidTr="00020D1B">
        <w:tc>
          <w:tcPr>
            <w:tcW w:w="914" w:type="dxa"/>
            <w:shd w:val="clear" w:color="auto" w:fill="auto"/>
          </w:tcPr>
          <w:p w14:paraId="490BF62D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lastRenderedPageBreak/>
              <w:t>CI.5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6AEFECE5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Atender por medio de los Comités de Ética y de Prevención de Conflictos de Intereses las solicitudes de asesoría y consultas sobre el tema de conflicto de intereses.</w:t>
            </w:r>
          </w:p>
        </w:tc>
        <w:tc>
          <w:tcPr>
            <w:tcW w:w="4536" w:type="dxa"/>
            <w:shd w:val="clear" w:color="auto" w:fill="auto"/>
          </w:tcPr>
          <w:p w14:paraId="115FF126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En este primer semestre no se recibieron solicitudes de consulta ni de asesorías.</w:t>
            </w:r>
          </w:p>
        </w:tc>
      </w:tr>
      <w:tr w:rsidR="00D66751" w:rsidRPr="00BB2026" w14:paraId="18163C75" w14:textId="77777777" w:rsidTr="00020D1B">
        <w:tc>
          <w:tcPr>
            <w:tcW w:w="914" w:type="dxa"/>
            <w:shd w:val="clear" w:color="auto" w:fill="auto"/>
          </w:tcPr>
          <w:p w14:paraId="75D17122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CI8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7EEE1DE8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BB2026">
              <w:rPr>
                <w:rFonts w:ascii="Montserrat" w:hAnsi="Montserrat"/>
                <w:sz w:val="22"/>
                <w:szCs w:val="22"/>
              </w:rPr>
              <w:t>Asegurar</w:t>
            </w:r>
            <w:proofErr w:type="gramEnd"/>
            <w:r w:rsidRPr="00BB2026">
              <w:rPr>
                <w:rFonts w:ascii="Montserrat" w:hAnsi="Montserrat"/>
                <w:sz w:val="22"/>
                <w:szCs w:val="22"/>
              </w:rPr>
              <w:t xml:space="preserve"> que el personal adscrito a las áreas convocantes asista a la capacitación que proporcione la Secretaría de la Función Pública, en materia de procedimientos administrativos de sanción a licitantes, proveedores y contratistas.</w:t>
            </w:r>
          </w:p>
        </w:tc>
        <w:tc>
          <w:tcPr>
            <w:tcW w:w="4536" w:type="dxa"/>
            <w:shd w:val="clear" w:color="auto" w:fill="auto"/>
          </w:tcPr>
          <w:p w14:paraId="0FFE5787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SFP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 no brindó cursos sobre el tema en el periodo. Sin embargo, el personal participó en los siguientes cursos: Introducción a la Ley General de Archivo, Introducción a la Ley General de Protección de Datos </w:t>
            </w:r>
          </w:p>
          <w:p w14:paraId="2B708E77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Personales en Posesión de Sujetos Obligados y Ética Pública</w:t>
            </w:r>
          </w:p>
        </w:tc>
      </w:tr>
      <w:tr w:rsidR="00D66751" w:rsidRPr="00BB2026" w14:paraId="02FF106F" w14:textId="77777777" w:rsidTr="00020D1B">
        <w:tc>
          <w:tcPr>
            <w:tcW w:w="914" w:type="dxa"/>
            <w:shd w:val="clear" w:color="auto" w:fill="auto"/>
          </w:tcPr>
          <w:p w14:paraId="281A0416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CI.9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091B8096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Denunciar o dar vista a la Secretaría de la Función Pública de los actos o hechos presuntamente constitutivos de infracciones a las disposiciones en materia de contrataciones públicas, que cometan los licitantes, proveedores o contratistas.</w:t>
            </w:r>
          </w:p>
        </w:tc>
        <w:tc>
          <w:tcPr>
            <w:tcW w:w="4536" w:type="dxa"/>
            <w:shd w:val="clear" w:color="auto" w:fill="auto"/>
          </w:tcPr>
          <w:p w14:paraId="7F209DA1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En este primer semestre, no se presentaron actos o hechos presuntamente constitutivos de infracciones en el periodo, por lo que la institución </w:t>
            </w: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no tuvo acciones que reportar</w:t>
            </w:r>
            <w:r w:rsidRPr="00BB2026">
              <w:rPr>
                <w:rFonts w:ascii="Montserrat" w:hAnsi="Montserrat"/>
                <w:sz w:val="22"/>
                <w:szCs w:val="22"/>
              </w:rPr>
              <w:t xml:space="preserve">. </w:t>
            </w:r>
          </w:p>
          <w:p w14:paraId="214C30F6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58FC5C17" w14:textId="77777777" w:rsidTr="00020D1B">
        <w:tc>
          <w:tcPr>
            <w:tcW w:w="914" w:type="dxa"/>
            <w:shd w:val="clear" w:color="auto" w:fill="auto"/>
          </w:tcPr>
          <w:p w14:paraId="0E26153F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CI.10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6609B7BA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Remitir a la Secretaría de la Función Pública la documentación comprobatoria de los hechos presumiblemente constitutivos de infracción, dentro de los 15 días naturales a la fecha en que tengan conocimiento de alguna infracción a las disposiciones en materia de contrataciones públicas, conforme a lo establecido en la normatividad aplicable.</w:t>
            </w:r>
          </w:p>
        </w:tc>
        <w:tc>
          <w:tcPr>
            <w:tcW w:w="4536" w:type="dxa"/>
            <w:shd w:val="clear" w:color="auto" w:fill="auto"/>
          </w:tcPr>
          <w:p w14:paraId="1DDA4100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Derivado del compromiso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CI9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, </w:t>
            </w: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no hubo acciones que reportar</w:t>
            </w:r>
            <w:r w:rsidRPr="00BB2026">
              <w:rPr>
                <w:rFonts w:ascii="Montserrat" w:hAnsi="Montserrat"/>
                <w:sz w:val="22"/>
                <w:szCs w:val="22"/>
              </w:rPr>
              <w:t xml:space="preserve"> para este compromiso, durante el primer semestre.</w:t>
            </w:r>
          </w:p>
        </w:tc>
      </w:tr>
      <w:tr w:rsidR="00D66751" w:rsidRPr="00BB2026" w14:paraId="0A557E7F" w14:textId="77777777" w:rsidTr="00020D1B">
        <w:tc>
          <w:tcPr>
            <w:tcW w:w="914" w:type="dxa"/>
            <w:shd w:val="clear" w:color="auto" w:fill="auto"/>
          </w:tcPr>
          <w:p w14:paraId="6465B5F2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PRH.8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2D01EBB8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Analizar el impacto de las estructuras orgánicas en el cumplimiento de sus objetivos y resultados institucionales.</w:t>
            </w:r>
          </w:p>
        </w:tc>
        <w:tc>
          <w:tcPr>
            <w:tcW w:w="4536" w:type="dxa"/>
            <w:shd w:val="clear" w:color="auto" w:fill="auto"/>
          </w:tcPr>
          <w:p w14:paraId="3DBCAD6A" w14:textId="58F0AE38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Estas acciones son responsabilidad de la Coordinadora Sectorial. Para dar cumplimiento a este compromiso el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</w:t>
            </w:r>
            <w:r w:rsidR="00BB2026" w:rsidRPr="00BB2026">
              <w:rPr>
                <w:rFonts w:ascii="Montserrat" w:hAnsi="Montserrat"/>
                <w:sz w:val="22"/>
                <w:szCs w:val="22"/>
              </w:rPr>
              <w:t>ONACyT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 solicitó, en el mes de diciembre de 2020, el formato denominado "Elementos de análisis" </w:t>
            </w:r>
            <w:r w:rsidRPr="00BB2026">
              <w:rPr>
                <w:rFonts w:ascii="Montserrat" w:hAnsi="Montserrat"/>
                <w:sz w:val="22"/>
                <w:szCs w:val="22"/>
              </w:rPr>
              <w:lastRenderedPageBreak/>
              <w:t>mismo que servirá para la definición del modelo de impacto organizacional de las estructuras orgánicas. La fecha límite para cumplir con este compromiso es diciembre de 2022.</w:t>
            </w:r>
          </w:p>
        </w:tc>
      </w:tr>
      <w:tr w:rsidR="00D66751" w:rsidRPr="00BB2026" w14:paraId="494973E4" w14:textId="77777777" w:rsidTr="00020D1B">
        <w:tc>
          <w:tcPr>
            <w:tcW w:w="914" w:type="dxa"/>
            <w:shd w:val="clear" w:color="auto" w:fill="auto"/>
          </w:tcPr>
          <w:p w14:paraId="0CE29074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lastRenderedPageBreak/>
              <w:t>PRH.10</w:t>
            </w:r>
            <w:proofErr w:type="spellEnd"/>
          </w:p>
        </w:tc>
        <w:tc>
          <w:tcPr>
            <w:tcW w:w="3906" w:type="dxa"/>
            <w:shd w:val="clear" w:color="auto" w:fill="auto"/>
          </w:tcPr>
          <w:p w14:paraId="6ACC5C19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Proponer al Comité de Control y Desempeño Institucional los acuerdos que permitan dar cumplimiento a las disposiciones normativas en materia de funciones del servicio público.</w:t>
            </w:r>
          </w:p>
        </w:tc>
        <w:tc>
          <w:tcPr>
            <w:tcW w:w="4536" w:type="dxa"/>
            <w:shd w:val="clear" w:color="auto" w:fill="auto"/>
          </w:tcPr>
          <w:p w14:paraId="3CF6207F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N/A en este momento</w:t>
            </w:r>
          </w:p>
        </w:tc>
      </w:tr>
    </w:tbl>
    <w:p w14:paraId="21EFBDCF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11378E83" w14:textId="2644CA0E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055168B9" w14:textId="323D248E" w:rsidR="00D66751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BB2026">
        <w:rPr>
          <w:rFonts w:ascii="Montserrat" w:eastAsia="Calibri" w:hAnsi="Montserrat" w:cs="Times New Roman"/>
          <w:b/>
          <w:bCs/>
          <w:sz w:val="22"/>
          <w:szCs w:val="22"/>
        </w:rPr>
        <w:t>Indicadores</w:t>
      </w:r>
    </w:p>
    <w:p w14:paraId="6EB027B6" w14:textId="77777777" w:rsidR="00BB2026" w:rsidRPr="00BB2026" w:rsidRDefault="00BB2026" w:rsidP="00D66751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1F2B2F5D" w14:textId="78B1A3BD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En el segundo trimestre 2022 se reportan únicamente 8 indicadores sobre los 12, por la temporalidad. De estos, 4 presentan avances, como lo muestra la Tabla 3.  </w:t>
      </w:r>
    </w:p>
    <w:p w14:paraId="56C4D86D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58AFBF0A" w14:textId="74E2AF5F" w:rsidR="00D66751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>Tabla 3. Cumplimiento en indicadores (%)-Segundo trimestre 2022</w:t>
      </w:r>
    </w:p>
    <w:p w14:paraId="376ED70F" w14:textId="77777777" w:rsidR="00BB2026" w:rsidRPr="00BB2026" w:rsidRDefault="00BB2026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985"/>
        <w:gridCol w:w="2409"/>
      </w:tblGrid>
      <w:tr w:rsidR="00D66751" w:rsidRPr="00BB2026" w14:paraId="2B043CBB" w14:textId="77777777" w:rsidTr="00020D1B">
        <w:tc>
          <w:tcPr>
            <w:tcW w:w="3119" w:type="dxa"/>
          </w:tcPr>
          <w:p w14:paraId="6940BC9F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Indicador</w:t>
            </w:r>
          </w:p>
        </w:tc>
        <w:tc>
          <w:tcPr>
            <w:tcW w:w="1559" w:type="dxa"/>
          </w:tcPr>
          <w:p w14:paraId="7390FF5E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Periodicidad</w:t>
            </w:r>
          </w:p>
        </w:tc>
        <w:tc>
          <w:tcPr>
            <w:tcW w:w="1985" w:type="dxa"/>
          </w:tcPr>
          <w:p w14:paraId="1CA1B0A9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 xml:space="preserve">Situación </w:t>
            </w:r>
          </w:p>
          <w:p w14:paraId="02031273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E76B17" w14:textId="77777777" w:rsidR="00D66751" w:rsidRPr="00BB2026" w:rsidRDefault="00D66751" w:rsidP="00020D1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B2026">
              <w:rPr>
                <w:rFonts w:ascii="Montserrat" w:hAnsi="Montserrat"/>
                <w:b/>
                <w:bCs/>
                <w:sz w:val="22"/>
                <w:szCs w:val="22"/>
              </w:rPr>
              <w:t>Observaciones</w:t>
            </w:r>
          </w:p>
        </w:tc>
      </w:tr>
      <w:tr w:rsidR="00D66751" w:rsidRPr="00BB2026" w14:paraId="7BD2A614" w14:textId="77777777" w:rsidTr="00020D1B">
        <w:tc>
          <w:tcPr>
            <w:tcW w:w="3119" w:type="dxa"/>
          </w:tcPr>
          <w:p w14:paraId="5C9AA793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ICC1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 % contratos registrados en la bitácora electrónica de seguimiento de adquisiciones</w:t>
            </w:r>
          </w:p>
        </w:tc>
        <w:tc>
          <w:tcPr>
            <w:tcW w:w="1559" w:type="dxa"/>
          </w:tcPr>
          <w:p w14:paraId="341BA3D8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23696F76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Sin reporte</w:t>
            </w:r>
          </w:p>
          <w:p w14:paraId="1EE5BB1D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(N/A)</w:t>
            </w:r>
          </w:p>
        </w:tc>
        <w:tc>
          <w:tcPr>
            <w:tcW w:w="2409" w:type="dxa"/>
          </w:tcPr>
          <w:p w14:paraId="6E4818AE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La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SFP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 no ha liberado aún la bitácora (BESA) para reportar. Solo se registraron las personas usuarias.</w:t>
            </w:r>
          </w:p>
          <w:p w14:paraId="5EE7C08C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5943D04C" w14:textId="77777777" w:rsidTr="00020D1B">
        <w:tc>
          <w:tcPr>
            <w:tcW w:w="3119" w:type="dxa"/>
          </w:tcPr>
          <w:p w14:paraId="5B3A4AB2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ICC2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. % de atención de acuerdos de los </w:t>
            </w: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COCODI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 relacionados con el seguimiento de las metas de los programas presupuestarios</w:t>
            </w:r>
          </w:p>
        </w:tc>
        <w:tc>
          <w:tcPr>
            <w:tcW w:w="1559" w:type="dxa"/>
          </w:tcPr>
          <w:p w14:paraId="66506B33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362D69E1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Sin reporte</w:t>
            </w:r>
          </w:p>
        </w:tc>
        <w:tc>
          <w:tcPr>
            <w:tcW w:w="2409" w:type="dxa"/>
          </w:tcPr>
          <w:p w14:paraId="0743BB3A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No se inscribieron acuerdos relacionados con este tema ya que la variación no afecta las metas institucionales.</w:t>
            </w:r>
          </w:p>
          <w:p w14:paraId="4C72556B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5933A028" w14:textId="77777777" w:rsidTr="00020D1B">
        <w:tc>
          <w:tcPr>
            <w:tcW w:w="3119" w:type="dxa"/>
          </w:tcPr>
          <w:p w14:paraId="199AD911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ICI1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. % difusión de posibles faltas administrativas de </w:t>
            </w:r>
            <w:r w:rsidRPr="00BB2026">
              <w:rPr>
                <w:rFonts w:ascii="Montserrat" w:hAnsi="Montserrat"/>
                <w:sz w:val="22"/>
                <w:szCs w:val="22"/>
              </w:rPr>
              <w:lastRenderedPageBreak/>
              <w:t>las personas servidoras públicas y sanciones</w:t>
            </w:r>
          </w:p>
          <w:p w14:paraId="64861267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7CE039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lastRenderedPageBreak/>
              <w:t>Trimestral</w:t>
            </w:r>
          </w:p>
        </w:tc>
        <w:tc>
          <w:tcPr>
            <w:tcW w:w="1985" w:type="dxa"/>
          </w:tcPr>
          <w:p w14:paraId="7FB2A645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(3/3)</w:t>
            </w:r>
          </w:p>
          <w:p w14:paraId="03A1B4C8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= 100%</w:t>
            </w:r>
          </w:p>
        </w:tc>
        <w:tc>
          <w:tcPr>
            <w:tcW w:w="2409" w:type="dxa"/>
          </w:tcPr>
          <w:p w14:paraId="6DA11F1D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 xml:space="preserve">Acción realizada </w:t>
            </w:r>
          </w:p>
        </w:tc>
      </w:tr>
      <w:tr w:rsidR="00D66751" w:rsidRPr="00BB2026" w14:paraId="442C9CA1" w14:textId="77777777" w:rsidTr="00020D1B">
        <w:tc>
          <w:tcPr>
            <w:tcW w:w="3119" w:type="dxa"/>
          </w:tcPr>
          <w:p w14:paraId="2C940BDA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ICI2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 Eficacia en asesorías y consultas brindadas en materia de conflictos de intereses</w:t>
            </w:r>
          </w:p>
        </w:tc>
        <w:tc>
          <w:tcPr>
            <w:tcW w:w="1559" w:type="dxa"/>
          </w:tcPr>
          <w:p w14:paraId="4697848F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3DC53E09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Sin reporte</w:t>
            </w:r>
          </w:p>
          <w:p w14:paraId="52E9C22D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CB0931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En este trimestre no hubo solicitudes de consultas o asesorías.</w:t>
            </w:r>
          </w:p>
        </w:tc>
      </w:tr>
      <w:tr w:rsidR="00D66751" w:rsidRPr="00BB2026" w14:paraId="6BA92BEB" w14:textId="77777777" w:rsidTr="00020D1B">
        <w:tc>
          <w:tcPr>
            <w:tcW w:w="3119" w:type="dxa"/>
          </w:tcPr>
          <w:p w14:paraId="7E81A1D4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ICI3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 % Denuncias remitidas a titulares de áreas de queja de los OIC</w:t>
            </w:r>
          </w:p>
        </w:tc>
        <w:tc>
          <w:tcPr>
            <w:tcW w:w="1559" w:type="dxa"/>
          </w:tcPr>
          <w:p w14:paraId="4E2A3DF2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45975789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Sin reporte</w:t>
            </w:r>
          </w:p>
          <w:p w14:paraId="5A060ED1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733EEB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En el trimestre, no hubo denuncias de este tipo.</w:t>
            </w:r>
          </w:p>
          <w:p w14:paraId="214192CB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3F09FD34" w14:textId="77777777" w:rsidTr="00020D1B">
        <w:tc>
          <w:tcPr>
            <w:tcW w:w="3119" w:type="dxa"/>
          </w:tcPr>
          <w:p w14:paraId="5406BCB9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IPRH2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 Indicador de fomento a la nueva ética pública</w:t>
            </w:r>
          </w:p>
          <w:p w14:paraId="2182E3D8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B98C1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7BD0024B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(9/9) *100 = 100%</w:t>
            </w:r>
          </w:p>
        </w:tc>
        <w:tc>
          <w:tcPr>
            <w:tcW w:w="2409" w:type="dxa"/>
          </w:tcPr>
          <w:p w14:paraId="75F503CF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Acciones realizadas</w:t>
            </w:r>
          </w:p>
          <w:p w14:paraId="53A0131C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5BAC17F2" w14:textId="77777777" w:rsidTr="00020D1B">
        <w:tc>
          <w:tcPr>
            <w:tcW w:w="3119" w:type="dxa"/>
          </w:tcPr>
          <w:p w14:paraId="7D437A2C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IPRH3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>. Índice de simplificación de procesos y normatividad interna</w:t>
            </w:r>
          </w:p>
        </w:tc>
        <w:tc>
          <w:tcPr>
            <w:tcW w:w="1559" w:type="dxa"/>
          </w:tcPr>
          <w:p w14:paraId="20B2D25D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Trimestral</w:t>
            </w:r>
          </w:p>
        </w:tc>
        <w:tc>
          <w:tcPr>
            <w:tcW w:w="1985" w:type="dxa"/>
          </w:tcPr>
          <w:p w14:paraId="073CEE50" w14:textId="77777777" w:rsidR="00D66751" w:rsidRPr="00BB2026" w:rsidRDefault="00D66751" w:rsidP="00020D1B">
            <w:pPr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(3/48) + (5/</w:t>
            </w:r>
            <w:proofErr w:type="gramStart"/>
            <w:r w:rsidRPr="00BB2026">
              <w:rPr>
                <w:rFonts w:ascii="Montserrat" w:hAnsi="Montserrat"/>
                <w:sz w:val="22"/>
                <w:szCs w:val="22"/>
              </w:rPr>
              <w:t>7)/</w:t>
            </w:r>
            <w:proofErr w:type="gramEnd"/>
            <w:r w:rsidRPr="00BB2026">
              <w:rPr>
                <w:rFonts w:ascii="Montserrat" w:hAnsi="Montserrat"/>
                <w:sz w:val="22"/>
                <w:szCs w:val="22"/>
              </w:rPr>
              <w:t xml:space="preserve"> 2 = (0.0625)+.71/2=.3883</w:t>
            </w:r>
          </w:p>
        </w:tc>
        <w:tc>
          <w:tcPr>
            <w:tcW w:w="2409" w:type="dxa"/>
          </w:tcPr>
          <w:p w14:paraId="478F3333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66751" w:rsidRPr="00BB2026" w14:paraId="437ECED3" w14:textId="77777777" w:rsidTr="00020D1B">
        <w:tc>
          <w:tcPr>
            <w:tcW w:w="3119" w:type="dxa"/>
          </w:tcPr>
          <w:p w14:paraId="741F98BF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IUB1</w:t>
            </w:r>
            <w:proofErr w:type="spellEnd"/>
            <w:r w:rsidRPr="00BB2026">
              <w:rPr>
                <w:rFonts w:ascii="Montserrat" w:hAnsi="Montserrat"/>
                <w:sz w:val="22"/>
                <w:szCs w:val="22"/>
              </w:rPr>
              <w:t xml:space="preserve">. </w:t>
            </w:r>
            <w:proofErr w:type="gramStart"/>
            <w:r w:rsidRPr="00BB2026">
              <w:rPr>
                <w:rFonts w:ascii="Montserrat" w:hAnsi="Montserrat"/>
                <w:sz w:val="22"/>
                <w:szCs w:val="22"/>
              </w:rPr>
              <w:t>Participación activa</w:t>
            </w:r>
            <w:proofErr w:type="gramEnd"/>
            <w:r w:rsidRPr="00BB2026">
              <w:rPr>
                <w:rFonts w:ascii="Montserrat" w:hAnsi="Montserrat"/>
                <w:sz w:val="22"/>
                <w:szCs w:val="22"/>
              </w:rPr>
              <w:t xml:space="preserve"> para conducir eficientemente la política inmobiliaria</w:t>
            </w:r>
          </w:p>
        </w:tc>
        <w:tc>
          <w:tcPr>
            <w:tcW w:w="1559" w:type="dxa"/>
          </w:tcPr>
          <w:p w14:paraId="7B33BE8F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Semestral</w:t>
            </w:r>
          </w:p>
        </w:tc>
        <w:tc>
          <w:tcPr>
            <w:tcW w:w="1985" w:type="dxa"/>
          </w:tcPr>
          <w:p w14:paraId="0B2278CD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(7/7) =</w:t>
            </w:r>
          </w:p>
          <w:p w14:paraId="448105E6" w14:textId="77777777" w:rsidR="00D66751" w:rsidRPr="00BB2026" w:rsidRDefault="00D66751" w:rsidP="00020D1B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100%</w:t>
            </w:r>
          </w:p>
        </w:tc>
        <w:tc>
          <w:tcPr>
            <w:tcW w:w="2409" w:type="dxa"/>
          </w:tcPr>
          <w:p w14:paraId="24CC0F97" w14:textId="77777777" w:rsidR="00D66751" w:rsidRPr="00BB2026" w:rsidRDefault="00D66751" w:rsidP="00020D1B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Acción realizada</w:t>
            </w:r>
          </w:p>
        </w:tc>
      </w:tr>
    </w:tbl>
    <w:p w14:paraId="4351E99A" w14:textId="77777777" w:rsidR="00BB2026" w:rsidRPr="00BB2026" w:rsidRDefault="00BB2026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2752CAD" w14:textId="6D4320E5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Durante el primer semestre 2022, se siguió con el fortalecimiento de los mecanismos de participación ciudadana y </w:t>
      </w:r>
      <w:r w:rsidR="00A61D28" w:rsidRPr="00BB2026">
        <w:rPr>
          <w:rFonts w:ascii="Montserrat" w:eastAsia="Calibri" w:hAnsi="Montserrat" w:cs="Times New Roman"/>
          <w:sz w:val="22"/>
          <w:szCs w:val="22"/>
        </w:rPr>
        <w:t xml:space="preserve">fomento a la </w:t>
      </w:r>
      <w:r w:rsidRPr="00BB2026">
        <w:rPr>
          <w:rFonts w:ascii="Montserrat" w:eastAsia="Calibri" w:hAnsi="Montserrat" w:cs="Times New Roman"/>
          <w:sz w:val="22"/>
          <w:szCs w:val="22"/>
        </w:rPr>
        <w:t>capacitaci</w:t>
      </w:r>
      <w:r w:rsidR="00A61D28" w:rsidRPr="00BB2026">
        <w:rPr>
          <w:rFonts w:ascii="Montserrat" w:eastAsia="Calibri" w:hAnsi="Montserrat" w:cs="Times New Roman"/>
          <w:sz w:val="22"/>
          <w:szCs w:val="22"/>
        </w:rPr>
        <w:t>ón</w:t>
      </w:r>
      <w:r w:rsidRPr="00BB2026">
        <w:rPr>
          <w:rFonts w:ascii="Montserrat" w:eastAsia="Calibri" w:hAnsi="Montserrat" w:cs="Times New Roman"/>
          <w:sz w:val="22"/>
          <w:szCs w:val="22"/>
        </w:rPr>
        <w:t xml:space="preserve"> del personal, así como con los compromisos de difusión de mensajes de no impunidad y vinculados a la nueva ética.</w:t>
      </w:r>
    </w:p>
    <w:p w14:paraId="443FDC9D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color w:val="FF0000"/>
          <w:sz w:val="22"/>
          <w:szCs w:val="22"/>
        </w:rPr>
      </w:pPr>
    </w:p>
    <w:p w14:paraId="60FF3EDC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A pesar de un mayor gasto de operación debido a un incremento de las actividades presenciales en la institución respecto a 2021, existen ahorros en algunos rubros como telefonía celular, arrendamiento de equipos y bienes informáticos, arrendamiento de vehículos y congresos. Se sigue con la aplicación de una política de austeridad en cada unidad, liderada por el Comité Interno de Ahorro de Energía y el Plan Ambiental de ECOSUR. El uso de las herramientas digitales para llevar a cabo las actividades académicas y administrativas sigue en aumento. </w:t>
      </w:r>
    </w:p>
    <w:p w14:paraId="3B1B773B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27B9EF32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lastRenderedPageBreak/>
        <w:t xml:space="preserve">Para este año los cinco procesos internos registrados concluyeron la propuesta de ficha de proceso, paso necesario para identificar el alcance y dar seguimiento a la implementación de estos procesos. Se mantienen vigente 48 normas en el </w:t>
      </w:r>
      <w:proofErr w:type="spellStart"/>
      <w:r w:rsidRPr="00BB2026">
        <w:rPr>
          <w:rFonts w:ascii="Montserrat" w:eastAsia="Calibri" w:hAnsi="Montserrat" w:cs="Times New Roman"/>
          <w:sz w:val="22"/>
          <w:szCs w:val="22"/>
        </w:rPr>
        <w:t>SANI</w:t>
      </w:r>
      <w:proofErr w:type="spellEnd"/>
      <w:r w:rsidRPr="00BB2026">
        <w:rPr>
          <w:rFonts w:ascii="Montserrat" w:eastAsia="Calibri" w:hAnsi="Montserrat" w:cs="Times New Roman"/>
          <w:sz w:val="22"/>
          <w:szCs w:val="22"/>
        </w:rPr>
        <w:t>; en el segundo trimestre, se actualizaron las Políticas, Bases y Lineamientos en Materia de Adquisiciones, Arrendamientos y Servicios de ECOSUR, posteriormente se procederá a su registro.</w:t>
      </w:r>
    </w:p>
    <w:p w14:paraId="231A260F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3D32DF92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 xml:space="preserve">Sobre el tema de la preservación del patrimonio inmobiliario, se está dando seguimiento al programa de mantenimiento emitido por cada unidad. Para avanzar en los dictámenes </w:t>
      </w:r>
      <w:proofErr w:type="spellStart"/>
      <w:r w:rsidRPr="00BB2026">
        <w:rPr>
          <w:rFonts w:ascii="Montserrat" w:eastAsia="Calibri" w:hAnsi="Montserrat" w:cs="Times New Roman"/>
          <w:sz w:val="22"/>
          <w:szCs w:val="22"/>
        </w:rPr>
        <w:t>valuatorios</w:t>
      </w:r>
      <w:proofErr w:type="spellEnd"/>
      <w:r w:rsidRPr="00BB2026">
        <w:rPr>
          <w:rFonts w:ascii="Montserrat" w:eastAsia="Calibri" w:hAnsi="Montserrat" w:cs="Times New Roman"/>
          <w:sz w:val="22"/>
          <w:szCs w:val="22"/>
        </w:rPr>
        <w:t xml:space="preserve"> de los inmuebles en posesión de ECOSUR se solicitó a cada administración de unidad que proporcione información sobre su inmueble para completar la captura iniciada en el portal.</w:t>
      </w:r>
    </w:p>
    <w:p w14:paraId="63B7C0E0" w14:textId="77777777" w:rsidR="00D66751" w:rsidRPr="00BB2026" w:rsidRDefault="00D66751" w:rsidP="00D6675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1B6F2D3D" w14:textId="77777777" w:rsidR="00D66751" w:rsidRPr="00BB2026" w:rsidRDefault="00D66751" w:rsidP="00D66751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>Las acciones descritas en los párrafos anteriores se siguieron trabajando durante el segundo semestre 2022.</w:t>
      </w:r>
    </w:p>
    <w:p w14:paraId="13274B2A" w14:textId="77777777" w:rsidR="00D66751" w:rsidRPr="00BB2026" w:rsidRDefault="00D66751" w:rsidP="00D66751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57B411A" w14:textId="387B8EE4" w:rsidR="00D66751" w:rsidRDefault="00D66751" w:rsidP="00D66751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  <w:r w:rsidRPr="00BB2026">
        <w:rPr>
          <w:rFonts w:ascii="Montserrat" w:eastAsia="Calibri" w:hAnsi="Montserrat" w:cs="Times New Roman"/>
          <w:sz w:val="22"/>
          <w:szCs w:val="22"/>
        </w:rPr>
        <w:t>Persona funcionaria habilitada para dar seguimiento al programa</w:t>
      </w:r>
    </w:p>
    <w:p w14:paraId="7725816A" w14:textId="77777777" w:rsidR="00BB2026" w:rsidRPr="00BB2026" w:rsidRDefault="00BB2026" w:rsidP="00D66751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sz w:val="22"/>
          <w:szCs w:val="22"/>
        </w:rPr>
      </w:pPr>
    </w:p>
    <w:tbl>
      <w:tblPr>
        <w:tblStyle w:val="Tablaconcuadrcula"/>
        <w:tblW w:w="8854" w:type="dxa"/>
        <w:tblLook w:val="04A0" w:firstRow="1" w:lastRow="0" w:firstColumn="1" w:lastColumn="0" w:noHBand="0" w:noVBand="1"/>
      </w:tblPr>
      <w:tblGrid>
        <w:gridCol w:w="2281"/>
        <w:gridCol w:w="2413"/>
        <w:gridCol w:w="1658"/>
        <w:gridCol w:w="2502"/>
      </w:tblGrid>
      <w:tr w:rsidR="00D66751" w:rsidRPr="00BB2026" w14:paraId="3D8BEED8" w14:textId="77777777" w:rsidTr="00BB2026">
        <w:trPr>
          <w:trHeight w:val="422"/>
        </w:trPr>
        <w:tc>
          <w:tcPr>
            <w:tcW w:w="2281" w:type="dxa"/>
          </w:tcPr>
          <w:p w14:paraId="447D8126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2413" w:type="dxa"/>
          </w:tcPr>
          <w:p w14:paraId="1DD06E91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Cargo</w:t>
            </w:r>
          </w:p>
        </w:tc>
        <w:tc>
          <w:tcPr>
            <w:tcW w:w="1658" w:type="dxa"/>
          </w:tcPr>
          <w:p w14:paraId="602E6965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Teléfono</w:t>
            </w:r>
          </w:p>
        </w:tc>
        <w:tc>
          <w:tcPr>
            <w:tcW w:w="2502" w:type="dxa"/>
          </w:tcPr>
          <w:p w14:paraId="6F8E34C9" w14:textId="77777777" w:rsidR="00D66751" w:rsidRPr="00BB2026" w:rsidRDefault="00D66751" w:rsidP="00020D1B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correo</w:t>
            </w:r>
          </w:p>
        </w:tc>
      </w:tr>
      <w:tr w:rsidR="00D66751" w:rsidRPr="00BB2026" w14:paraId="0C14C1B6" w14:textId="77777777" w:rsidTr="00BB2026">
        <w:trPr>
          <w:trHeight w:val="828"/>
        </w:trPr>
        <w:tc>
          <w:tcPr>
            <w:tcW w:w="2281" w:type="dxa"/>
          </w:tcPr>
          <w:p w14:paraId="3C5696A2" w14:textId="77777777" w:rsidR="00D66751" w:rsidRPr="00BB2026" w:rsidRDefault="00D66751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M. A. Leticia Espinosa Cruz</w:t>
            </w:r>
          </w:p>
        </w:tc>
        <w:tc>
          <w:tcPr>
            <w:tcW w:w="2413" w:type="dxa"/>
          </w:tcPr>
          <w:p w14:paraId="60DD873D" w14:textId="77777777" w:rsidR="00D66751" w:rsidRPr="00BB2026" w:rsidRDefault="00D66751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Directora de Administración</w:t>
            </w:r>
          </w:p>
        </w:tc>
        <w:tc>
          <w:tcPr>
            <w:tcW w:w="1658" w:type="dxa"/>
          </w:tcPr>
          <w:p w14:paraId="2D9A0674" w14:textId="77777777" w:rsidR="00D66751" w:rsidRPr="00BB2026" w:rsidRDefault="00D66751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BB2026">
              <w:rPr>
                <w:rFonts w:ascii="Montserrat" w:hAnsi="Montserrat"/>
                <w:sz w:val="22"/>
                <w:szCs w:val="22"/>
              </w:rPr>
              <w:t>967 195 3149</w:t>
            </w:r>
          </w:p>
        </w:tc>
        <w:tc>
          <w:tcPr>
            <w:tcW w:w="2502" w:type="dxa"/>
          </w:tcPr>
          <w:p w14:paraId="08F65B13" w14:textId="77777777" w:rsidR="00D66751" w:rsidRPr="00BB2026" w:rsidRDefault="00BB2026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hyperlink r:id="rId8" w:history="1">
              <w:proofErr w:type="spellStart"/>
              <w:r w:rsidR="00D66751" w:rsidRPr="00BB2026">
                <w:rPr>
                  <w:rFonts w:ascii="Montserrat" w:hAnsi="Montserrat"/>
                  <w:sz w:val="22"/>
                  <w:szCs w:val="22"/>
                  <w:u w:val="single"/>
                </w:rPr>
                <w:t>lespinos@ecosur.mx</w:t>
              </w:r>
              <w:proofErr w:type="spellEnd"/>
            </w:hyperlink>
          </w:p>
          <w:p w14:paraId="6E108D97" w14:textId="77777777" w:rsidR="00D66751" w:rsidRPr="00BB2026" w:rsidRDefault="00D66751" w:rsidP="00020D1B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BB2026">
              <w:rPr>
                <w:rFonts w:ascii="Montserrat" w:hAnsi="Montserrat"/>
                <w:sz w:val="22"/>
                <w:szCs w:val="22"/>
              </w:rPr>
              <w:t>da@ecosur.mx</w:t>
            </w:r>
            <w:proofErr w:type="spellEnd"/>
          </w:p>
        </w:tc>
      </w:tr>
    </w:tbl>
    <w:p w14:paraId="13580D4E" w14:textId="77777777" w:rsidR="00D66751" w:rsidRPr="00BB2026" w:rsidRDefault="00D66751" w:rsidP="00D66751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340326EE" w14:textId="77777777" w:rsidR="00D66751" w:rsidRPr="00BB2026" w:rsidRDefault="00D66751" w:rsidP="00D66751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77F937C6" w14:textId="77777777" w:rsidR="00D66751" w:rsidRPr="00BB2026" w:rsidRDefault="00D66751" w:rsidP="00D66751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  <w:r w:rsidRPr="00BB2026">
        <w:rPr>
          <w:rFonts w:ascii="Montserrat" w:hAnsi="Montserrat" w:cstheme="minorHAnsi"/>
          <w:b/>
          <w:bCs/>
          <w:sz w:val="22"/>
          <w:szCs w:val="22"/>
        </w:rPr>
        <w:t>Adjuntos</w:t>
      </w:r>
    </w:p>
    <w:p w14:paraId="2EDD936D" w14:textId="77777777" w:rsidR="00D66751" w:rsidRPr="00BB2026" w:rsidRDefault="00D66751" w:rsidP="00D66751">
      <w:pPr>
        <w:pStyle w:val="Prrafodelista"/>
        <w:numPr>
          <w:ilvl w:val="0"/>
          <w:numId w:val="6"/>
        </w:numPr>
        <w:spacing w:line="276" w:lineRule="auto"/>
        <w:ind w:left="284" w:hanging="284"/>
        <w:jc w:val="both"/>
        <w:rPr>
          <w:rFonts w:ascii="Montserrat" w:hAnsi="Montserrat" w:cstheme="minorHAnsi"/>
          <w:sz w:val="22"/>
          <w:szCs w:val="22"/>
        </w:rPr>
      </w:pPr>
      <w:r w:rsidRPr="00BB2026">
        <w:rPr>
          <w:rFonts w:ascii="Montserrat" w:hAnsi="Montserrat" w:cstheme="minorHAnsi"/>
          <w:sz w:val="22"/>
          <w:szCs w:val="22"/>
        </w:rPr>
        <w:t>Reporte de los compromisos registrados en el sistema habilitado</w:t>
      </w:r>
    </w:p>
    <w:p w14:paraId="056D970A" w14:textId="77777777" w:rsidR="00D66751" w:rsidRPr="00BB2026" w:rsidRDefault="00D66751" w:rsidP="00D66751">
      <w:pPr>
        <w:pStyle w:val="Prrafodelista"/>
        <w:numPr>
          <w:ilvl w:val="0"/>
          <w:numId w:val="6"/>
        </w:numPr>
        <w:spacing w:line="276" w:lineRule="auto"/>
        <w:ind w:left="284" w:hanging="284"/>
        <w:jc w:val="both"/>
        <w:rPr>
          <w:rFonts w:ascii="Montserrat" w:hAnsi="Montserrat" w:cstheme="minorHAnsi"/>
          <w:sz w:val="22"/>
          <w:szCs w:val="22"/>
        </w:rPr>
      </w:pPr>
      <w:r w:rsidRPr="00BB2026">
        <w:rPr>
          <w:rFonts w:ascii="Montserrat" w:hAnsi="Montserrat" w:cstheme="minorHAnsi"/>
          <w:sz w:val="22"/>
          <w:szCs w:val="22"/>
        </w:rPr>
        <w:t>Reporte de los indicadores registrados en el sistema habilitado</w:t>
      </w:r>
    </w:p>
    <w:p w14:paraId="58481753" w14:textId="77777777" w:rsidR="00D66751" w:rsidRPr="00BB2026" w:rsidRDefault="00D66751" w:rsidP="00D66751">
      <w:pPr>
        <w:pStyle w:val="Prrafodelista"/>
        <w:spacing w:line="276" w:lineRule="auto"/>
        <w:ind w:left="284"/>
        <w:jc w:val="both"/>
        <w:rPr>
          <w:rFonts w:ascii="Montserrat" w:hAnsi="Montserrat" w:cstheme="minorHAnsi"/>
          <w:sz w:val="22"/>
          <w:szCs w:val="22"/>
        </w:rPr>
      </w:pPr>
    </w:p>
    <w:p w14:paraId="0BE4E0C5" w14:textId="3D471C6C" w:rsidR="003C2E8C" w:rsidRPr="00BB2026" w:rsidRDefault="003C2E8C" w:rsidP="004C7740">
      <w:pPr>
        <w:rPr>
          <w:sz w:val="22"/>
          <w:szCs w:val="22"/>
        </w:rPr>
      </w:pPr>
    </w:p>
    <w:sectPr w:rsidR="003C2E8C" w:rsidRPr="00BB2026" w:rsidSect="00BB2026">
      <w:headerReference w:type="default" r:id="rId9"/>
      <w:footerReference w:type="default" r:id="rId10"/>
      <w:pgSz w:w="12240" w:h="15840"/>
      <w:pgMar w:top="1758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C038" w14:textId="77777777" w:rsidR="00A26C88" w:rsidRDefault="00A26C88" w:rsidP="00E57969">
      <w:r>
        <w:separator/>
      </w:r>
    </w:p>
  </w:endnote>
  <w:endnote w:type="continuationSeparator" w:id="0">
    <w:p w14:paraId="0EF26954" w14:textId="77777777" w:rsidR="00A26C88" w:rsidRDefault="00A26C88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3BFE451" w14:textId="483384EC" w:rsidR="00E57969" w:rsidRPr="009E5A53" w:rsidRDefault="00E364CC" w:rsidP="00E364CC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 w:rsidR="003C2E8C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="00A936C0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</w:t>
    </w:r>
    <w:r w:rsidR="00E5796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Sesión Ordinaria de la Junta de Gobierno 20</w:t>
    </w:r>
    <w:r w:rsidR="0079573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="00766D98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</w:p>
  <w:p w14:paraId="53A6D7A2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77777777" w:rsidR="00E57969" w:rsidRPr="009E5A53" w:rsidRDefault="00E364CC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3A060B">
      <w:rPr>
        <w:rFonts w:ascii="Montserrat" w:hAnsi="Montserrat"/>
        <w:noProof/>
        <w:color w:val="A6A6A6" w:themeColor="background1" w:themeShade="A6"/>
        <w:sz w:val="18"/>
        <w:szCs w:val="18"/>
      </w:rPr>
      <w:t>1</w: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62B3" w14:textId="77777777" w:rsidR="00A26C88" w:rsidRDefault="00A26C88" w:rsidP="00E57969">
      <w:r>
        <w:separator/>
      </w:r>
    </w:p>
  </w:footnote>
  <w:footnote w:type="continuationSeparator" w:id="0">
    <w:p w14:paraId="1EB96440" w14:textId="77777777" w:rsidR="00A26C88" w:rsidRDefault="00A26C88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52D77D4B" w:rsidR="00EE1715" w:rsidRDefault="006D41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692303D6" wp14:editId="48F7ABCA">
          <wp:extent cx="559308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EE7632" w14:textId="77777777" w:rsidR="00BB2026" w:rsidRDefault="00BB2026" w:rsidP="00E364CC">
    <w:pPr>
      <w:pStyle w:val="Encabezado"/>
      <w:tabs>
        <w:tab w:val="left" w:pos="1134"/>
      </w:tabs>
    </w:pP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8631">
    <w:abstractNumId w:val="0"/>
  </w:num>
  <w:num w:numId="2" w16cid:durableId="480123158">
    <w:abstractNumId w:val="2"/>
  </w:num>
  <w:num w:numId="3" w16cid:durableId="2086609050">
    <w:abstractNumId w:val="3"/>
  </w:num>
  <w:num w:numId="4" w16cid:durableId="508253105">
    <w:abstractNumId w:val="5"/>
  </w:num>
  <w:num w:numId="5" w16cid:durableId="364672647">
    <w:abstractNumId w:val="1"/>
  </w:num>
  <w:num w:numId="6" w16cid:durableId="1300845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6"/>
    <w:rsid w:val="000023AD"/>
    <w:rsid w:val="00003A93"/>
    <w:rsid w:val="00146DD7"/>
    <w:rsid w:val="00154FF8"/>
    <w:rsid w:val="001C08E4"/>
    <w:rsid w:val="001E3D93"/>
    <w:rsid w:val="0020676A"/>
    <w:rsid w:val="00211AA9"/>
    <w:rsid w:val="0021496C"/>
    <w:rsid w:val="002407CB"/>
    <w:rsid w:val="00297318"/>
    <w:rsid w:val="003308E5"/>
    <w:rsid w:val="0033131B"/>
    <w:rsid w:val="003336A3"/>
    <w:rsid w:val="00361BA9"/>
    <w:rsid w:val="0039250F"/>
    <w:rsid w:val="003A060B"/>
    <w:rsid w:val="003A1C6A"/>
    <w:rsid w:val="003B6E1A"/>
    <w:rsid w:val="003C2E8C"/>
    <w:rsid w:val="004017FD"/>
    <w:rsid w:val="00447079"/>
    <w:rsid w:val="0045608F"/>
    <w:rsid w:val="00467E90"/>
    <w:rsid w:val="004866F9"/>
    <w:rsid w:val="004C7740"/>
    <w:rsid w:val="005307CC"/>
    <w:rsid w:val="00567FB0"/>
    <w:rsid w:val="005720EF"/>
    <w:rsid w:val="005C7309"/>
    <w:rsid w:val="005D56A6"/>
    <w:rsid w:val="006044A6"/>
    <w:rsid w:val="006439CF"/>
    <w:rsid w:val="00645FBE"/>
    <w:rsid w:val="00647F31"/>
    <w:rsid w:val="00657D31"/>
    <w:rsid w:val="00662E61"/>
    <w:rsid w:val="006A5412"/>
    <w:rsid w:val="006D41E2"/>
    <w:rsid w:val="006D7F13"/>
    <w:rsid w:val="0075044F"/>
    <w:rsid w:val="00766D98"/>
    <w:rsid w:val="00795739"/>
    <w:rsid w:val="00810D23"/>
    <w:rsid w:val="00831FC0"/>
    <w:rsid w:val="00911C88"/>
    <w:rsid w:val="00935E03"/>
    <w:rsid w:val="0094679C"/>
    <w:rsid w:val="0098340D"/>
    <w:rsid w:val="00992B92"/>
    <w:rsid w:val="009A1FE7"/>
    <w:rsid w:val="009D7407"/>
    <w:rsid w:val="009E4E54"/>
    <w:rsid w:val="009E5A53"/>
    <w:rsid w:val="00A26C88"/>
    <w:rsid w:val="00A319BF"/>
    <w:rsid w:val="00A61D28"/>
    <w:rsid w:val="00A936C0"/>
    <w:rsid w:val="00AB18AB"/>
    <w:rsid w:val="00AC7A14"/>
    <w:rsid w:val="00AE4766"/>
    <w:rsid w:val="00AE6D38"/>
    <w:rsid w:val="00B23FD5"/>
    <w:rsid w:val="00B33945"/>
    <w:rsid w:val="00BA0840"/>
    <w:rsid w:val="00BB0E75"/>
    <w:rsid w:val="00BB2026"/>
    <w:rsid w:val="00BB7944"/>
    <w:rsid w:val="00BC1469"/>
    <w:rsid w:val="00BF3C06"/>
    <w:rsid w:val="00C237D9"/>
    <w:rsid w:val="00C27B76"/>
    <w:rsid w:val="00C4007F"/>
    <w:rsid w:val="00C50B21"/>
    <w:rsid w:val="00CA039F"/>
    <w:rsid w:val="00CF5A47"/>
    <w:rsid w:val="00CF7D33"/>
    <w:rsid w:val="00D3180C"/>
    <w:rsid w:val="00D3488F"/>
    <w:rsid w:val="00D66751"/>
    <w:rsid w:val="00D84F53"/>
    <w:rsid w:val="00DA5F27"/>
    <w:rsid w:val="00DB7382"/>
    <w:rsid w:val="00DC5A1E"/>
    <w:rsid w:val="00DE481E"/>
    <w:rsid w:val="00E24D51"/>
    <w:rsid w:val="00E33818"/>
    <w:rsid w:val="00E364CC"/>
    <w:rsid w:val="00E50514"/>
    <w:rsid w:val="00E57969"/>
    <w:rsid w:val="00E63A60"/>
    <w:rsid w:val="00E64C31"/>
    <w:rsid w:val="00ED17A4"/>
    <w:rsid w:val="00ED6718"/>
    <w:rsid w:val="00EE1715"/>
    <w:rsid w:val="00EF73C8"/>
    <w:rsid w:val="00F03068"/>
    <w:rsid w:val="00F262D9"/>
    <w:rsid w:val="00F34177"/>
    <w:rsid w:val="00F46324"/>
    <w:rsid w:val="00FA7510"/>
    <w:rsid w:val="00FB0EAF"/>
    <w:rsid w:val="00FE56CA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pinos@ecosur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4253-14EB-4EC4-ABA1-1886A23A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Elizabeth Torres Suarez</cp:lastModifiedBy>
  <cp:revision>5</cp:revision>
  <cp:lastPrinted>2022-09-27T19:14:00Z</cp:lastPrinted>
  <dcterms:created xsi:type="dcterms:W3CDTF">2022-09-02T17:51:00Z</dcterms:created>
  <dcterms:modified xsi:type="dcterms:W3CDTF">2022-09-27T19:14:00Z</dcterms:modified>
</cp:coreProperties>
</file>