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4F89" w14:textId="1A1E17BC" w:rsidR="00815D27" w:rsidRPr="003054FA" w:rsidRDefault="00815D27" w:rsidP="00815D27">
      <w:pPr>
        <w:ind w:left="708"/>
        <w:rPr>
          <w:rFonts w:ascii="Monserrat" w:hAnsi="Monserrat" w:cs="Arial"/>
          <w:b/>
          <w:lang w:val="es-ES"/>
        </w:rPr>
      </w:pPr>
      <w:r w:rsidRPr="003054FA">
        <w:rPr>
          <w:rFonts w:ascii="Monserrat" w:hAnsi="Monserrat" w:cs="Arial"/>
          <w:b/>
          <w:lang w:val="es-ES"/>
        </w:rPr>
        <w:t xml:space="preserve">5.10.2 Explicación </w:t>
      </w:r>
      <w:r>
        <w:rPr>
          <w:rFonts w:ascii="Monserrat" w:hAnsi="Monserrat" w:cs="Arial"/>
          <w:b/>
          <w:lang w:val="es-ES"/>
        </w:rPr>
        <w:t xml:space="preserve">de las variaciones </w:t>
      </w:r>
      <w:r w:rsidR="00B04746">
        <w:rPr>
          <w:rFonts w:ascii="Monserrat" w:hAnsi="Monserrat" w:cs="Arial"/>
          <w:b/>
          <w:lang w:val="es-ES"/>
        </w:rPr>
        <w:t>más</w:t>
      </w:r>
      <w:r>
        <w:rPr>
          <w:rFonts w:ascii="Monserrat" w:hAnsi="Monserrat" w:cs="Arial"/>
          <w:b/>
          <w:lang w:val="es-ES"/>
        </w:rPr>
        <w:t xml:space="preserve"> relevantes </w:t>
      </w:r>
      <w:r w:rsidR="00B04746">
        <w:rPr>
          <w:rFonts w:ascii="Monserrat" w:hAnsi="Monserrat" w:cs="Arial"/>
          <w:b/>
          <w:lang w:val="es-ES"/>
        </w:rPr>
        <w:t xml:space="preserve">del </w:t>
      </w:r>
      <w:r w:rsidR="00B04746" w:rsidRPr="003054FA">
        <w:rPr>
          <w:rFonts w:ascii="Monserrat" w:hAnsi="Monserrat" w:cs="Arial"/>
          <w:b/>
          <w:lang w:val="es-ES"/>
        </w:rPr>
        <w:t>Estado</w:t>
      </w:r>
      <w:r w:rsidRPr="003054FA">
        <w:rPr>
          <w:rFonts w:ascii="Monserrat" w:hAnsi="Monserrat" w:cs="Arial"/>
          <w:b/>
          <w:lang w:val="es-ES"/>
        </w:rPr>
        <w:t xml:space="preserve"> de Situación Financiera</w:t>
      </w:r>
    </w:p>
    <w:p w14:paraId="782712F5" w14:textId="77777777" w:rsidR="00815D27" w:rsidRPr="00017C0D" w:rsidRDefault="00815D27" w:rsidP="00815D27">
      <w:pPr>
        <w:rPr>
          <w:rFonts w:ascii="Monserrat" w:hAnsi="Monserrat" w:cs="Arial"/>
          <w:b/>
          <w:lang w:val="es-ES"/>
        </w:rPr>
      </w:pPr>
    </w:p>
    <w:p w14:paraId="511833EE" w14:textId="77777777" w:rsidR="00284D5F" w:rsidRDefault="00284D5F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</w:p>
    <w:p w14:paraId="0E0F3931" w14:textId="0CBD3147" w:rsidR="00815D27" w:rsidRPr="003054FA" w:rsidRDefault="00815D27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 w:rsidRPr="003054FA">
        <w:rPr>
          <w:rFonts w:ascii="Monserrat" w:hAnsi="Monserrat" w:cs="Arial"/>
          <w:b/>
          <w:sz w:val="22"/>
          <w:szCs w:val="22"/>
          <w:lang w:val="es-ES"/>
        </w:rPr>
        <w:t>Comportamiento del Estado de Situación Financiera</w:t>
      </w:r>
    </w:p>
    <w:p w14:paraId="7911CDC3" w14:textId="162E3069" w:rsidR="00815D27" w:rsidRPr="003054FA" w:rsidRDefault="00815D27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  <w:r w:rsidRPr="003054FA">
        <w:rPr>
          <w:rFonts w:ascii="Monserrat" w:hAnsi="Monserrat" w:cstheme="minorHAnsi"/>
          <w:sz w:val="22"/>
          <w:szCs w:val="22"/>
          <w:lang w:val="es-ES"/>
        </w:rPr>
        <w:t>Al cierre del segundo trimestre 202</w:t>
      </w:r>
      <w:r w:rsidR="00B04746">
        <w:rPr>
          <w:rFonts w:ascii="Monserrat" w:hAnsi="Monserrat" w:cstheme="minorHAnsi"/>
          <w:sz w:val="22"/>
          <w:szCs w:val="22"/>
          <w:lang w:val="es-ES"/>
        </w:rPr>
        <w:t>2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el Activo total asciende a $24</w:t>
      </w:r>
      <w:r w:rsidR="00B04746">
        <w:rPr>
          <w:rFonts w:ascii="Monserrat" w:hAnsi="Monserrat" w:cstheme="minorHAnsi"/>
          <w:sz w:val="22"/>
          <w:szCs w:val="22"/>
          <w:lang w:val="es-ES"/>
        </w:rPr>
        <w:t>3</w:t>
      </w:r>
      <w:r w:rsidRPr="003054FA">
        <w:rPr>
          <w:rFonts w:ascii="Monserrat" w:hAnsi="Monserrat" w:cstheme="minorHAnsi"/>
          <w:sz w:val="22"/>
          <w:szCs w:val="22"/>
          <w:lang w:val="es-ES"/>
        </w:rPr>
        <w:t>,1</w:t>
      </w:r>
      <w:r w:rsidR="00B04746">
        <w:rPr>
          <w:rFonts w:ascii="Monserrat" w:hAnsi="Monserrat" w:cstheme="minorHAnsi"/>
          <w:sz w:val="22"/>
          <w:szCs w:val="22"/>
          <w:lang w:val="es-ES"/>
        </w:rPr>
        <w:t>65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  <w:r w:rsidR="00B04746">
        <w:rPr>
          <w:rFonts w:ascii="Monserrat" w:hAnsi="Monserrat" w:cstheme="minorHAnsi"/>
          <w:sz w:val="22"/>
          <w:szCs w:val="22"/>
          <w:lang w:val="es-ES"/>
        </w:rPr>
        <w:t>2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miles de pesos; el Pasivo suma $</w:t>
      </w:r>
      <w:r w:rsidR="00B04746">
        <w:rPr>
          <w:rFonts w:ascii="Monserrat" w:hAnsi="Monserrat" w:cstheme="minorHAnsi"/>
          <w:sz w:val="22"/>
          <w:szCs w:val="22"/>
          <w:lang w:val="es-ES"/>
        </w:rPr>
        <w:t>61</w:t>
      </w:r>
      <w:r w:rsidRPr="003054FA">
        <w:rPr>
          <w:rFonts w:ascii="Monserrat" w:hAnsi="Monserrat" w:cstheme="minorHAnsi"/>
          <w:sz w:val="22"/>
          <w:szCs w:val="22"/>
          <w:lang w:val="es-ES"/>
        </w:rPr>
        <w:t>,</w:t>
      </w:r>
      <w:r w:rsidR="00B04746">
        <w:rPr>
          <w:rFonts w:ascii="Monserrat" w:hAnsi="Monserrat" w:cstheme="minorHAnsi"/>
          <w:sz w:val="22"/>
          <w:szCs w:val="22"/>
          <w:lang w:val="es-ES"/>
        </w:rPr>
        <w:t>977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  <w:r w:rsidR="00B04746">
        <w:rPr>
          <w:rFonts w:ascii="Monserrat" w:hAnsi="Monserrat" w:cstheme="minorHAnsi"/>
          <w:sz w:val="22"/>
          <w:szCs w:val="22"/>
          <w:lang w:val="es-ES"/>
        </w:rPr>
        <w:t>9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miles de pesos; y el Patrimonio asciende a $17</w:t>
      </w:r>
      <w:r w:rsidR="00B04746">
        <w:rPr>
          <w:rFonts w:ascii="Monserrat" w:hAnsi="Monserrat" w:cstheme="minorHAnsi"/>
          <w:sz w:val="22"/>
          <w:szCs w:val="22"/>
          <w:lang w:val="es-ES"/>
        </w:rPr>
        <w:t>8</w:t>
      </w:r>
      <w:r w:rsidRPr="003054FA">
        <w:rPr>
          <w:rFonts w:ascii="Monserrat" w:hAnsi="Monserrat" w:cstheme="minorHAnsi"/>
          <w:sz w:val="22"/>
          <w:szCs w:val="22"/>
          <w:lang w:val="es-ES"/>
        </w:rPr>
        <w:t>,</w:t>
      </w:r>
      <w:r w:rsidR="00B04746">
        <w:rPr>
          <w:rFonts w:ascii="Monserrat" w:hAnsi="Monserrat" w:cstheme="minorHAnsi"/>
          <w:sz w:val="22"/>
          <w:szCs w:val="22"/>
          <w:lang w:val="es-ES"/>
        </w:rPr>
        <w:t>337</w:t>
      </w:r>
      <w:r w:rsidRPr="003054FA">
        <w:rPr>
          <w:rFonts w:ascii="Monserrat" w:hAnsi="Monserrat" w:cstheme="minorHAnsi"/>
          <w:sz w:val="22"/>
          <w:szCs w:val="22"/>
          <w:lang w:val="es-ES"/>
        </w:rPr>
        <w:t>.3 miles de pesos; cifra que en comparación con las registradas en el mismo periodo 202</w:t>
      </w:r>
      <w:r w:rsidR="00B04746">
        <w:rPr>
          <w:rFonts w:ascii="Monserrat" w:hAnsi="Monserrat" w:cstheme="minorHAnsi"/>
          <w:sz w:val="22"/>
          <w:szCs w:val="22"/>
          <w:lang w:val="es-ES"/>
        </w:rPr>
        <w:t>1</w:t>
      </w:r>
      <w:r w:rsidRPr="003054FA">
        <w:rPr>
          <w:rFonts w:ascii="Monserrat" w:hAnsi="Monserrat" w:cstheme="minorHAnsi"/>
          <w:sz w:val="22"/>
          <w:szCs w:val="22"/>
          <w:lang w:val="es-ES"/>
        </w:rPr>
        <w:t>, muestran un</w:t>
      </w:r>
      <w:r w:rsidR="00B04746">
        <w:rPr>
          <w:rFonts w:ascii="Monserrat" w:hAnsi="Monserrat" w:cstheme="minorHAnsi"/>
          <w:sz w:val="22"/>
          <w:szCs w:val="22"/>
          <w:lang w:val="es-ES"/>
        </w:rPr>
        <w:t>a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</w:t>
      </w:r>
      <w:r w:rsidR="00B04746">
        <w:rPr>
          <w:rFonts w:ascii="Monserrat" w:hAnsi="Monserrat" w:cstheme="minorHAnsi"/>
          <w:sz w:val="22"/>
          <w:szCs w:val="22"/>
          <w:lang w:val="es-ES"/>
        </w:rPr>
        <w:t>disminución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del 1% para el Activo, Pasivo un aumento del </w:t>
      </w:r>
      <w:r w:rsidR="00B04746">
        <w:rPr>
          <w:rFonts w:ascii="Monserrat" w:hAnsi="Monserrat" w:cstheme="minorHAnsi"/>
          <w:sz w:val="22"/>
          <w:szCs w:val="22"/>
          <w:lang w:val="es-ES"/>
        </w:rPr>
        <w:t>7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%, en el Patrimonio </w:t>
      </w:r>
      <w:r w:rsidR="00B04746">
        <w:rPr>
          <w:rFonts w:ascii="Monserrat" w:hAnsi="Monserrat" w:cstheme="minorHAnsi"/>
          <w:sz w:val="22"/>
          <w:szCs w:val="22"/>
          <w:lang w:val="es-ES"/>
        </w:rPr>
        <w:t>una disminución del 5%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</w:p>
    <w:p w14:paraId="3B0F9E30" w14:textId="77777777" w:rsidR="00815D27" w:rsidRPr="003054FA" w:rsidRDefault="00815D27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</w:p>
    <w:p w14:paraId="61346416" w14:textId="44D59706" w:rsidR="00815D27" w:rsidRDefault="00815D27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El Activo Circulante refleja un </w:t>
      </w:r>
      <w:r w:rsidR="003516C3">
        <w:rPr>
          <w:rFonts w:ascii="Monserrat" w:hAnsi="Monserrat" w:cstheme="minorHAnsi"/>
          <w:sz w:val="22"/>
          <w:szCs w:val="22"/>
          <w:lang w:val="es-ES"/>
        </w:rPr>
        <w:t>decreme</w:t>
      </w:r>
      <w:r w:rsidRPr="003054FA">
        <w:rPr>
          <w:rFonts w:ascii="Monserrat" w:hAnsi="Monserrat" w:cstheme="minorHAnsi"/>
          <w:sz w:val="22"/>
          <w:szCs w:val="22"/>
          <w:lang w:val="es-ES"/>
        </w:rPr>
        <w:t>nto de $</w:t>
      </w:r>
      <w:r w:rsidR="003516C3">
        <w:rPr>
          <w:rFonts w:ascii="Monserrat" w:hAnsi="Monserrat" w:cstheme="minorHAnsi"/>
          <w:sz w:val="22"/>
          <w:szCs w:val="22"/>
          <w:lang w:val="es-ES"/>
        </w:rPr>
        <w:t>3,419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  <w:r w:rsidR="003516C3">
        <w:rPr>
          <w:rFonts w:ascii="Monserrat" w:hAnsi="Monserrat" w:cstheme="minorHAnsi"/>
          <w:sz w:val="22"/>
          <w:szCs w:val="22"/>
          <w:lang w:val="es-ES"/>
        </w:rPr>
        <w:t>9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miles de pesos, que procede principalmente de las cuentas por cobrar y anticipo a proveedores. Por su parte, el Pasivo muestra un aumento de $</w:t>
      </w:r>
      <w:r w:rsidR="00421D37">
        <w:rPr>
          <w:rFonts w:ascii="Monserrat" w:hAnsi="Monserrat" w:cstheme="minorHAnsi"/>
          <w:sz w:val="22"/>
          <w:szCs w:val="22"/>
          <w:lang w:val="es-ES"/>
        </w:rPr>
        <w:t>3</w:t>
      </w:r>
      <w:r w:rsidRPr="003054FA">
        <w:rPr>
          <w:rFonts w:ascii="Monserrat" w:hAnsi="Monserrat" w:cstheme="minorHAnsi"/>
          <w:sz w:val="22"/>
          <w:szCs w:val="22"/>
          <w:lang w:val="es-ES"/>
        </w:rPr>
        <w:t>,</w:t>
      </w:r>
      <w:r w:rsidR="00421D37">
        <w:rPr>
          <w:rFonts w:ascii="Monserrat" w:hAnsi="Monserrat" w:cstheme="minorHAnsi"/>
          <w:sz w:val="22"/>
          <w:szCs w:val="22"/>
          <w:lang w:val="es-ES"/>
        </w:rPr>
        <w:t>932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  <w:r w:rsidR="00421D37">
        <w:rPr>
          <w:rFonts w:ascii="Monserrat" w:hAnsi="Monserrat" w:cstheme="minorHAnsi"/>
          <w:sz w:val="22"/>
          <w:szCs w:val="22"/>
          <w:lang w:val="es-ES"/>
        </w:rPr>
        <w:t>7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miles de pesos, resultado de las cuentas de </w:t>
      </w:r>
      <w:r w:rsidR="00421D37">
        <w:rPr>
          <w:rFonts w:ascii="Monserrat" w:hAnsi="Monserrat" w:cstheme="minorHAnsi"/>
          <w:sz w:val="22"/>
          <w:szCs w:val="22"/>
          <w:lang w:val="es-ES"/>
        </w:rPr>
        <w:t xml:space="preserve">proveedores por pagar 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y </w:t>
      </w:r>
      <w:r w:rsidR="00421D37">
        <w:rPr>
          <w:rFonts w:ascii="Monserrat" w:hAnsi="Monserrat" w:cstheme="minorHAnsi"/>
          <w:sz w:val="22"/>
          <w:szCs w:val="22"/>
          <w:lang w:val="es-ES"/>
        </w:rPr>
        <w:t>servicios personales a corto plazo</w:t>
      </w:r>
      <w:r w:rsidRPr="003054FA">
        <w:rPr>
          <w:rFonts w:ascii="Monserrat" w:hAnsi="Monserrat" w:cstheme="minorHAnsi"/>
          <w:sz w:val="22"/>
          <w:szCs w:val="22"/>
          <w:lang w:val="es-ES"/>
        </w:rPr>
        <w:t>. Por último, el patrimonio se observa un</w:t>
      </w:r>
      <w:r w:rsidR="00421D37">
        <w:rPr>
          <w:rFonts w:ascii="Monserrat" w:hAnsi="Monserrat" w:cstheme="minorHAnsi"/>
          <w:sz w:val="22"/>
          <w:szCs w:val="22"/>
          <w:lang w:val="es-ES"/>
        </w:rPr>
        <w:t>a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</w:t>
      </w:r>
      <w:r w:rsidR="00421D37">
        <w:rPr>
          <w:rFonts w:ascii="Monserrat" w:hAnsi="Monserrat" w:cstheme="minorHAnsi"/>
          <w:sz w:val="22"/>
          <w:szCs w:val="22"/>
          <w:lang w:val="es-ES"/>
        </w:rPr>
        <w:t>disminución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de $</w:t>
      </w:r>
      <w:r w:rsidR="00421D37">
        <w:rPr>
          <w:rFonts w:ascii="Monserrat" w:hAnsi="Monserrat" w:cstheme="minorHAnsi"/>
          <w:sz w:val="22"/>
          <w:szCs w:val="22"/>
          <w:lang w:val="es-ES"/>
        </w:rPr>
        <w:t>8</w:t>
      </w:r>
      <w:r w:rsidRPr="003054FA">
        <w:rPr>
          <w:rFonts w:ascii="Monserrat" w:hAnsi="Monserrat" w:cstheme="minorHAnsi"/>
          <w:sz w:val="22"/>
          <w:szCs w:val="22"/>
          <w:lang w:val="es-ES"/>
        </w:rPr>
        <w:t>,</w:t>
      </w:r>
      <w:r w:rsidR="00421D37">
        <w:rPr>
          <w:rFonts w:ascii="Monserrat" w:hAnsi="Monserrat" w:cstheme="minorHAnsi"/>
          <w:sz w:val="22"/>
          <w:szCs w:val="22"/>
          <w:lang w:val="es-ES"/>
        </w:rPr>
        <w:t>726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  <w:r w:rsidR="00421D37">
        <w:rPr>
          <w:rFonts w:ascii="Monserrat" w:hAnsi="Monserrat" w:cstheme="minorHAnsi"/>
          <w:sz w:val="22"/>
          <w:szCs w:val="22"/>
          <w:lang w:val="es-ES"/>
        </w:rPr>
        <w:t>9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 miles de pesos, que se deriva de la depreciación del ejercicio.</w:t>
      </w:r>
    </w:p>
    <w:p w14:paraId="510F8ECE" w14:textId="77777777" w:rsidR="00284D5F" w:rsidRDefault="00284D5F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</w:p>
    <w:p w14:paraId="44876B33" w14:textId="77777777" w:rsidR="00284D5F" w:rsidRPr="003054FA" w:rsidRDefault="00284D5F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</w:p>
    <w:p w14:paraId="21C0C64D" w14:textId="77777777" w:rsidR="00815D27" w:rsidRPr="003054FA" w:rsidRDefault="00815D27" w:rsidP="00815D27">
      <w:pPr>
        <w:pStyle w:val="Prrafodelista"/>
        <w:numPr>
          <w:ilvl w:val="0"/>
          <w:numId w:val="6"/>
        </w:numPr>
        <w:autoSpaceDE w:val="0"/>
        <w:autoSpaceDN w:val="0"/>
        <w:jc w:val="both"/>
        <w:rPr>
          <w:rFonts w:ascii="Monserrat" w:hAnsi="Monserrat" w:cs="Arial"/>
          <w:b/>
          <w:sz w:val="22"/>
          <w:szCs w:val="22"/>
          <w:lang w:val="es-ES"/>
        </w:rPr>
      </w:pPr>
      <w:r w:rsidRPr="003054FA">
        <w:rPr>
          <w:rFonts w:ascii="Monserrat" w:hAnsi="Monserrat" w:cs="Arial"/>
          <w:b/>
          <w:sz w:val="22"/>
          <w:szCs w:val="22"/>
          <w:lang w:val="es-ES"/>
        </w:rPr>
        <w:t>Explicación de la variación del Activo</w:t>
      </w:r>
    </w:p>
    <w:p w14:paraId="69F13E81" w14:textId="77777777" w:rsidR="00815D27" w:rsidRPr="003054FA" w:rsidRDefault="00815D27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66F7C170" w14:textId="68825460" w:rsidR="00815D27" w:rsidRPr="003054FA" w:rsidRDefault="008064E6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>
        <w:rPr>
          <w:rFonts w:ascii="Monserrat" w:hAnsi="Monserrat" w:cs="Arial"/>
          <w:b/>
          <w:sz w:val="22"/>
          <w:szCs w:val="22"/>
          <w:lang w:val="es-ES"/>
        </w:rPr>
        <w:t>Cuentas</w:t>
      </w:r>
      <w:r w:rsidR="00815D27" w:rsidRPr="003054FA">
        <w:rPr>
          <w:rFonts w:ascii="Monserrat" w:hAnsi="Monserrat" w:cs="Arial"/>
          <w:b/>
          <w:sz w:val="22"/>
          <w:szCs w:val="22"/>
          <w:lang w:val="es-ES"/>
        </w:rPr>
        <w:t xml:space="preserve"> por cobrar:</w:t>
      </w:r>
    </w:p>
    <w:p w14:paraId="49C4D914" w14:textId="42E576A4" w:rsidR="00815D27" w:rsidRPr="003054FA" w:rsidRDefault="00815D27" w:rsidP="00815D27">
      <w:pPr>
        <w:jc w:val="both"/>
        <w:rPr>
          <w:rFonts w:ascii="Monserrat" w:hAnsi="Monserrat" w:cstheme="minorHAnsi"/>
          <w:sz w:val="22"/>
          <w:szCs w:val="22"/>
          <w:lang w:val="es-ES"/>
        </w:rPr>
      </w:pP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Se tiene un </w:t>
      </w:r>
      <w:r w:rsidR="008064E6">
        <w:rPr>
          <w:rFonts w:ascii="Monserrat" w:hAnsi="Monserrat" w:cstheme="minorHAnsi"/>
          <w:sz w:val="22"/>
          <w:szCs w:val="22"/>
          <w:lang w:val="es-ES"/>
        </w:rPr>
        <w:t>decrem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ento del </w:t>
      </w:r>
      <w:r w:rsidR="008064E6">
        <w:rPr>
          <w:rFonts w:ascii="Monserrat" w:hAnsi="Monserrat" w:cstheme="minorHAnsi"/>
          <w:sz w:val="22"/>
          <w:szCs w:val="22"/>
          <w:lang w:val="es-ES"/>
        </w:rPr>
        <w:t>71</w:t>
      </w:r>
      <w:r w:rsidRPr="003054FA">
        <w:rPr>
          <w:rFonts w:ascii="Monserrat" w:hAnsi="Monserrat" w:cstheme="minorHAnsi"/>
          <w:sz w:val="22"/>
          <w:szCs w:val="22"/>
          <w:lang w:val="es-ES"/>
        </w:rPr>
        <w:t>% en el segundo trimestre 202</w:t>
      </w:r>
      <w:r w:rsidR="008064E6">
        <w:rPr>
          <w:rFonts w:ascii="Monserrat" w:hAnsi="Monserrat" w:cstheme="minorHAnsi"/>
          <w:sz w:val="22"/>
          <w:szCs w:val="22"/>
          <w:lang w:val="es-ES"/>
        </w:rPr>
        <w:t>2</w:t>
      </w:r>
      <w:r w:rsidRPr="003054FA">
        <w:rPr>
          <w:rFonts w:ascii="Monserrat" w:hAnsi="Monserrat" w:cstheme="minorHAnsi"/>
          <w:sz w:val="22"/>
          <w:szCs w:val="22"/>
          <w:lang w:val="es-ES"/>
        </w:rPr>
        <w:t>, en comparación con el segundo trimestre 202</w:t>
      </w:r>
      <w:r w:rsidR="008064E6">
        <w:rPr>
          <w:rFonts w:ascii="Monserrat" w:hAnsi="Monserrat" w:cstheme="minorHAnsi"/>
          <w:sz w:val="22"/>
          <w:szCs w:val="22"/>
          <w:lang w:val="es-ES"/>
        </w:rPr>
        <w:t>1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, </w:t>
      </w:r>
      <w:r w:rsidR="008064E6">
        <w:rPr>
          <w:rFonts w:ascii="Monserrat" w:hAnsi="Monserrat" w:cstheme="minorHAnsi"/>
          <w:sz w:val="22"/>
          <w:szCs w:val="22"/>
          <w:lang w:val="es-ES"/>
        </w:rPr>
        <w:t xml:space="preserve">como </w:t>
      </w:r>
      <w:r w:rsidRPr="003054FA">
        <w:rPr>
          <w:rFonts w:ascii="Monserrat" w:hAnsi="Monserrat" w:cstheme="minorHAnsi"/>
          <w:sz w:val="22"/>
          <w:szCs w:val="22"/>
          <w:lang w:val="es-ES"/>
        </w:rPr>
        <w:t xml:space="preserve">resultado </w:t>
      </w:r>
      <w:r w:rsidR="008064E6">
        <w:rPr>
          <w:rFonts w:ascii="Monserrat" w:hAnsi="Monserrat" w:cstheme="minorHAnsi"/>
          <w:sz w:val="22"/>
          <w:szCs w:val="22"/>
          <w:lang w:val="es-ES"/>
        </w:rPr>
        <w:t>de la emisión y cobro inmediato de facturas emitidas a las fuentes de financiamiento nacionales e internacionales cuyo recurso se destinó para el desarrollo de proyectos multidisciplinarios</w:t>
      </w:r>
      <w:r w:rsidRPr="003054FA">
        <w:rPr>
          <w:rFonts w:ascii="Monserrat" w:hAnsi="Monserrat" w:cstheme="minorHAnsi"/>
          <w:sz w:val="22"/>
          <w:szCs w:val="22"/>
          <w:lang w:val="es-ES"/>
        </w:rPr>
        <w:t>.</w:t>
      </w:r>
    </w:p>
    <w:p w14:paraId="1FC8A39E" w14:textId="77777777" w:rsidR="00815D27" w:rsidRPr="003054FA" w:rsidRDefault="00815D27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</w:p>
    <w:p w14:paraId="6F39A595" w14:textId="77777777" w:rsidR="00815D27" w:rsidRPr="003054FA" w:rsidRDefault="00815D27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 w:rsidRPr="003054FA">
        <w:rPr>
          <w:rFonts w:ascii="Monserrat" w:hAnsi="Monserrat" w:cs="Arial"/>
          <w:b/>
          <w:sz w:val="22"/>
          <w:szCs w:val="22"/>
          <w:lang w:val="es-ES"/>
        </w:rPr>
        <w:t>Anticipo a proveedores</w:t>
      </w:r>
    </w:p>
    <w:p w14:paraId="11924662" w14:textId="3B986844" w:rsidR="00815D27" w:rsidRDefault="00815D27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  <w:r w:rsidRPr="003054FA">
        <w:rPr>
          <w:rFonts w:ascii="Monserrat" w:hAnsi="Monserrat" w:cs="Calibri"/>
          <w:sz w:val="22"/>
          <w:szCs w:val="22"/>
          <w:lang w:val="es-ES"/>
        </w:rPr>
        <w:t>Se tiene un</w:t>
      </w:r>
      <w:r w:rsidR="002B6000">
        <w:rPr>
          <w:rFonts w:ascii="Monserrat" w:hAnsi="Monserrat" w:cs="Calibri"/>
          <w:sz w:val="22"/>
          <w:szCs w:val="22"/>
          <w:lang w:val="es-ES"/>
        </w:rPr>
        <w:t>a</w:t>
      </w:r>
      <w:r w:rsidRPr="003054FA">
        <w:rPr>
          <w:rFonts w:ascii="Monserrat" w:hAnsi="Monserrat" w:cs="Calibri"/>
          <w:sz w:val="22"/>
          <w:szCs w:val="22"/>
          <w:lang w:val="es-ES"/>
        </w:rPr>
        <w:t xml:space="preserve"> </w:t>
      </w:r>
      <w:r w:rsidR="002B6000">
        <w:rPr>
          <w:rFonts w:ascii="Monserrat" w:hAnsi="Monserrat" w:cs="Calibri"/>
          <w:sz w:val="22"/>
          <w:szCs w:val="22"/>
          <w:lang w:val="es-ES"/>
        </w:rPr>
        <w:t>disminución</w:t>
      </w:r>
      <w:r w:rsidRPr="003054FA">
        <w:rPr>
          <w:rFonts w:ascii="Monserrat" w:hAnsi="Monserrat" w:cs="Calibri"/>
          <w:sz w:val="22"/>
          <w:szCs w:val="22"/>
          <w:lang w:val="es-ES"/>
        </w:rPr>
        <w:t xml:space="preserve"> del 9</w:t>
      </w:r>
      <w:r w:rsidR="002B6000">
        <w:rPr>
          <w:rFonts w:ascii="Monserrat" w:hAnsi="Monserrat" w:cs="Calibri"/>
          <w:sz w:val="22"/>
          <w:szCs w:val="22"/>
          <w:lang w:val="es-ES"/>
        </w:rPr>
        <w:t>5</w:t>
      </w:r>
      <w:r w:rsidRPr="003054FA">
        <w:rPr>
          <w:rFonts w:ascii="Monserrat" w:hAnsi="Monserrat" w:cs="Calibri"/>
          <w:sz w:val="22"/>
          <w:szCs w:val="22"/>
          <w:lang w:val="es-ES"/>
        </w:rPr>
        <w:t>% en comparación con el segundo trimestre 202</w:t>
      </w:r>
      <w:r w:rsidR="002B6000">
        <w:rPr>
          <w:rFonts w:ascii="Monserrat" w:hAnsi="Monserrat" w:cs="Calibri"/>
          <w:sz w:val="22"/>
          <w:szCs w:val="22"/>
          <w:lang w:val="es-ES"/>
        </w:rPr>
        <w:t>1</w:t>
      </w:r>
      <w:r w:rsidRPr="003054FA">
        <w:rPr>
          <w:rFonts w:ascii="Monserrat" w:hAnsi="Monserrat" w:cs="Calibri"/>
          <w:sz w:val="22"/>
          <w:szCs w:val="22"/>
          <w:lang w:val="es-ES"/>
        </w:rPr>
        <w:t xml:space="preserve">, debido a que en este periodo </w:t>
      </w:r>
      <w:r w:rsidR="002B6000">
        <w:rPr>
          <w:rFonts w:ascii="Monserrat" w:hAnsi="Monserrat" w:cs="Calibri"/>
          <w:sz w:val="22"/>
          <w:szCs w:val="22"/>
          <w:lang w:val="es-ES"/>
        </w:rPr>
        <w:t>fueron pocas</w:t>
      </w:r>
      <w:r w:rsidRPr="003054FA">
        <w:rPr>
          <w:rFonts w:ascii="Monserrat" w:hAnsi="Monserrat" w:cs="Calibri"/>
          <w:sz w:val="22"/>
          <w:szCs w:val="22"/>
          <w:lang w:val="es-ES"/>
        </w:rPr>
        <w:t xml:space="preserve"> las compras que requirieron de un anticipo previo para asegurar el proceso de adquisición tal y como lo marca el artículo 48 de la Ley de Adquisiciones</w:t>
      </w:r>
      <w:r w:rsidRPr="003054FA">
        <w:rPr>
          <w:rFonts w:ascii="Monserrat" w:hAnsi="Monserrat" w:cs="Arial"/>
          <w:sz w:val="22"/>
          <w:szCs w:val="22"/>
          <w:lang w:val="es-ES"/>
        </w:rPr>
        <w:t>.</w:t>
      </w:r>
    </w:p>
    <w:p w14:paraId="60E4CE92" w14:textId="5CE65591" w:rsidR="00284D5F" w:rsidRDefault="00284D5F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18118227" w14:textId="77777777" w:rsidR="00284D5F" w:rsidRPr="003054FA" w:rsidRDefault="00284D5F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0C0FD100" w14:textId="77777777" w:rsidR="00815D27" w:rsidRPr="003054FA" w:rsidRDefault="00815D27" w:rsidP="00815D27">
      <w:pPr>
        <w:pStyle w:val="Prrafodelista"/>
        <w:numPr>
          <w:ilvl w:val="0"/>
          <w:numId w:val="6"/>
        </w:numPr>
        <w:autoSpaceDE w:val="0"/>
        <w:autoSpaceDN w:val="0"/>
        <w:jc w:val="both"/>
        <w:rPr>
          <w:rFonts w:ascii="Monserrat" w:hAnsi="Monserrat" w:cs="Arial"/>
          <w:b/>
          <w:sz w:val="22"/>
          <w:szCs w:val="22"/>
          <w:lang w:val="es-ES"/>
        </w:rPr>
      </w:pPr>
      <w:r w:rsidRPr="003054FA">
        <w:rPr>
          <w:rFonts w:ascii="Monserrat" w:hAnsi="Monserrat" w:cs="Arial"/>
          <w:b/>
          <w:sz w:val="22"/>
          <w:szCs w:val="22"/>
          <w:lang w:val="es-ES"/>
        </w:rPr>
        <w:t>Explicación de la variación del Pasivo y Patrimonio</w:t>
      </w:r>
    </w:p>
    <w:p w14:paraId="55D1AE43" w14:textId="77777777" w:rsidR="00815D27" w:rsidRPr="003054FA" w:rsidRDefault="00815D27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</w:p>
    <w:p w14:paraId="68172232" w14:textId="7B2640CD" w:rsidR="00815D27" w:rsidRPr="003054FA" w:rsidRDefault="008943AA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>
        <w:rPr>
          <w:rFonts w:ascii="Monserrat" w:hAnsi="Monserrat" w:cs="Arial"/>
          <w:b/>
          <w:sz w:val="22"/>
          <w:szCs w:val="22"/>
          <w:lang w:val="es-ES"/>
        </w:rPr>
        <w:t>Proveedores</w:t>
      </w:r>
      <w:r w:rsidR="00815D27" w:rsidRPr="003054FA">
        <w:rPr>
          <w:rFonts w:ascii="Monserrat" w:hAnsi="Monserrat" w:cs="Arial"/>
          <w:b/>
          <w:sz w:val="22"/>
          <w:szCs w:val="22"/>
          <w:lang w:val="es-ES"/>
        </w:rPr>
        <w:t xml:space="preserve"> por pagar.</w:t>
      </w:r>
    </w:p>
    <w:p w14:paraId="1D40ACE8" w14:textId="1D9825B7" w:rsidR="008943AA" w:rsidRDefault="00815D27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  <w:r w:rsidRPr="003054FA">
        <w:rPr>
          <w:rFonts w:ascii="Monserrat" w:hAnsi="Monserrat" w:cs="Arial"/>
          <w:sz w:val="22"/>
          <w:szCs w:val="22"/>
          <w:lang w:val="es-ES"/>
        </w:rPr>
        <w:t xml:space="preserve">Se tiene un incremento de esta cuenta del </w:t>
      </w:r>
      <w:r w:rsidR="008943AA">
        <w:rPr>
          <w:rFonts w:ascii="Monserrat" w:hAnsi="Monserrat" w:cs="Arial"/>
          <w:sz w:val="22"/>
          <w:szCs w:val="22"/>
          <w:lang w:val="es-ES"/>
        </w:rPr>
        <w:t>65</w:t>
      </w:r>
      <w:r w:rsidRPr="003054FA">
        <w:rPr>
          <w:rFonts w:ascii="Monserrat" w:hAnsi="Monserrat" w:cs="Arial"/>
          <w:sz w:val="22"/>
          <w:szCs w:val="22"/>
          <w:lang w:val="es-ES"/>
        </w:rPr>
        <w:t>% en relación con junio 202</w:t>
      </w:r>
      <w:r w:rsidR="008943AA">
        <w:rPr>
          <w:rFonts w:ascii="Monserrat" w:hAnsi="Monserrat" w:cs="Arial"/>
          <w:sz w:val="22"/>
          <w:szCs w:val="22"/>
          <w:lang w:val="es-ES"/>
        </w:rPr>
        <w:t>1</w:t>
      </w:r>
      <w:r w:rsidRPr="003054FA">
        <w:rPr>
          <w:rFonts w:ascii="Monserrat" w:hAnsi="Monserrat" w:cs="Arial"/>
          <w:sz w:val="22"/>
          <w:szCs w:val="22"/>
          <w:lang w:val="es-ES"/>
        </w:rPr>
        <w:t xml:space="preserve">. </w:t>
      </w:r>
      <w:r w:rsidR="002B0173">
        <w:rPr>
          <w:rFonts w:ascii="Monserrat" w:hAnsi="Monserrat" w:cs="Arial"/>
          <w:sz w:val="22"/>
          <w:szCs w:val="22"/>
          <w:lang w:val="es-ES"/>
        </w:rPr>
        <w:t xml:space="preserve">Este incremento se traduce porque se tuvieron varias compras a proveedores cuyo pago se difirió hasta que el producto y/o servicio se tuviera efectivamente entregado, es por ello </w:t>
      </w:r>
      <w:r w:rsidR="00284D5F">
        <w:rPr>
          <w:rFonts w:ascii="Monserrat" w:hAnsi="Monserrat" w:cs="Arial"/>
          <w:sz w:val="22"/>
          <w:szCs w:val="22"/>
          <w:lang w:val="es-ES"/>
        </w:rPr>
        <w:t>por lo que</w:t>
      </w:r>
      <w:r w:rsidR="002B0173">
        <w:rPr>
          <w:rFonts w:ascii="Monserrat" w:hAnsi="Monserrat" w:cs="Arial"/>
          <w:sz w:val="22"/>
          <w:szCs w:val="22"/>
          <w:lang w:val="es-ES"/>
        </w:rPr>
        <w:t xml:space="preserve"> no existió salida de dinero hasta que se tuviera la entrega de dicha compra.</w:t>
      </w:r>
    </w:p>
    <w:p w14:paraId="136A78EB" w14:textId="6B689F24" w:rsidR="008943AA" w:rsidRDefault="008943AA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27AE274F" w14:textId="0C9FEF04" w:rsidR="00284D5F" w:rsidRDefault="00284D5F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6EA12B3E" w14:textId="3804CB9B" w:rsidR="0048620D" w:rsidRDefault="0048620D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2B03CA4F" w14:textId="4B74F9BD" w:rsidR="0048620D" w:rsidRDefault="0048620D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619D949C" w14:textId="77777777" w:rsidR="0048620D" w:rsidRDefault="0048620D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6D79B491" w14:textId="71110626" w:rsidR="00284D5F" w:rsidRDefault="00284D5F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3525DA2A" w14:textId="77777777" w:rsidR="00284D5F" w:rsidRDefault="00284D5F" w:rsidP="00815D27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07E43433" w14:textId="4BF9258C" w:rsidR="00815D27" w:rsidRDefault="002B0173" w:rsidP="00815D27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>
        <w:rPr>
          <w:rFonts w:ascii="Monserrat" w:hAnsi="Monserrat" w:cs="Arial"/>
          <w:b/>
          <w:sz w:val="22"/>
          <w:szCs w:val="22"/>
          <w:lang w:val="es-ES"/>
        </w:rPr>
        <w:t>Servicios Personales a corto plazo</w:t>
      </w:r>
      <w:r w:rsidR="00815D27" w:rsidRPr="003054FA">
        <w:rPr>
          <w:rFonts w:ascii="Monserrat" w:hAnsi="Monserrat" w:cs="Arial"/>
          <w:b/>
          <w:sz w:val="22"/>
          <w:szCs w:val="22"/>
          <w:lang w:val="es-ES"/>
        </w:rPr>
        <w:t>.</w:t>
      </w:r>
    </w:p>
    <w:p w14:paraId="0BE4E0C5" w14:textId="70EBAFC0" w:rsidR="003C2E8C" w:rsidRDefault="00961F82" w:rsidP="00961F82">
      <w:pPr>
        <w:jc w:val="both"/>
        <w:rPr>
          <w:rFonts w:ascii="Monserrat" w:hAnsi="Monserrat" w:cs="Arial"/>
          <w:sz w:val="22"/>
          <w:szCs w:val="22"/>
          <w:lang w:val="es-ES"/>
        </w:rPr>
      </w:pPr>
      <w:r w:rsidRPr="003054FA">
        <w:rPr>
          <w:rFonts w:ascii="Monserrat" w:hAnsi="Monserrat" w:cs="Arial"/>
          <w:sz w:val="22"/>
          <w:szCs w:val="22"/>
          <w:lang w:val="es-ES"/>
        </w:rPr>
        <w:t xml:space="preserve">Se tiene un incremento del </w:t>
      </w:r>
      <w:r>
        <w:rPr>
          <w:rFonts w:ascii="Monserrat" w:hAnsi="Monserrat" w:cs="Arial"/>
          <w:sz w:val="22"/>
          <w:szCs w:val="22"/>
          <w:lang w:val="es-ES"/>
        </w:rPr>
        <w:t>80</w:t>
      </w:r>
      <w:r w:rsidRPr="003054FA">
        <w:rPr>
          <w:rFonts w:ascii="Monserrat" w:hAnsi="Monserrat" w:cs="Arial"/>
          <w:sz w:val="22"/>
          <w:szCs w:val="22"/>
          <w:lang w:val="es-ES"/>
        </w:rPr>
        <w:t xml:space="preserve">% en </w:t>
      </w:r>
      <w:r>
        <w:rPr>
          <w:rFonts w:ascii="Monserrat" w:hAnsi="Monserrat" w:cs="Arial"/>
          <w:sz w:val="22"/>
          <w:szCs w:val="22"/>
          <w:lang w:val="es-ES"/>
        </w:rPr>
        <w:t xml:space="preserve">comparación con el segundo trimestre </w:t>
      </w:r>
      <w:r w:rsidRPr="003054FA">
        <w:rPr>
          <w:rFonts w:ascii="Monserrat" w:hAnsi="Monserrat" w:cs="Arial"/>
          <w:sz w:val="22"/>
          <w:szCs w:val="22"/>
          <w:lang w:val="es-ES"/>
        </w:rPr>
        <w:t>202</w:t>
      </w:r>
      <w:r>
        <w:rPr>
          <w:rFonts w:ascii="Monserrat" w:hAnsi="Monserrat" w:cs="Arial"/>
          <w:sz w:val="22"/>
          <w:szCs w:val="22"/>
          <w:lang w:val="es-ES"/>
        </w:rPr>
        <w:t>1</w:t>
      </w:r>
      <w:r w:rsidRPr="003054FA">
        <w:rPr>
          <w:rFonts w:ascii="Monserrat" w:hAnsi="Monserrat" w:cs="Arial"/>
          <w:sz w:val="22"/>
          <w:szCs w:val="22"/>
          <w:lang w:val="es-ES"/>
        </w:rPr>
        <w:t xml:space="preserve">. </w:t>
      </w:r>
      <w:r>
        <w:rPr>
          <w:rFonts w:ascii="Monserrat" w:hAnsi="Monserrat" w:cs="Arial"/>
          <w:sz w:val="22"/>
          <w:szCs w:val="22"/>
          <w:lang w:val="es-ES"/>
        </w:rPr>
        <w:t>Este incremento se debe a estímulos pendientes por pagar al personal científico, monto que para el mes de julio 2022 quedo efectivamente liquidado.</w:t>
      </w:r>
    </w:p>
    <w:p w14:paraId="1CC24386" w14:textId="63A53F5F" w:rsidR="00284D5F" w:rsidRDefault="00284D5F" w:rsidP="00961F82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557D1B98" w14:textId="77777777" w:rsidR="00284D5F" w:rsidRDefault="00284D5F" w:rsidP="00961F82">
      <w:pPr>
        <w:jc w:val="both"/>
        <w:rPr>
          <w:rFonts w:ascii="Monserrat" w:hAnsi="Monserrat" w:cs="Arial"/>
          <w:sz w:val="22"/>
          <w:szCs w:val="22"/>
          <w:lang w:val="es-ES"/>
        </w:rPr>
      </w:pPr>
    </w:p>
    <w:p w14:paraId="6A24D24F" w14:textId="560F7200" w:rsidR="005C5CF9" w:rsidRDefault="005C5CF9" w:rsidP="005C5CF9">
      <w:pPr>
        <w:jc w:val="both"/>
        <w:rPr>
          <w:rFonts w:ascii="Monserrat" w:hAnsi="Monserrat" w:cs="Arial"/>
          <w:b/>
          <w:sz w:val="22"/>
          <w:szCs w:val="22"/>
          <w:lang w:val="es-ES"/>
        </w:rPr>
      </w:pPr>
      <w:r>
        <w:rPr>
          <w:rFonts w:ascii="Monserrat" w:hAnsi="Monserrat" w:cs="Arial"/>
          <w:b/>
          <w:sz w:val="22"/>
          <w:szCs w:val="22"/>
          <w:lang w:val="es-ES"/>
        </w:rPr>
        <w:t>Provisión de demandas y juicios a largo Plazo.</w:t>
      </w:r>
    </w:p>
    <w:p w14:paraId="376D9ED9" w14:textId="0CE6C917" w:rsidR="005C5CF9" w:rsidRDefault="005C5CF9" w:rsidP="005C5CF9">
      <w:pPr>
        <w:jc w:val="both"/>
        <w:rPr>
          <w:rFonts w:ascii="Monserrat" w:hAnsi="Monserrat" w:cs="Arial"/>
          <w:sz w:val="22"/>
          <w:szCs w:val="22"/>
          <w:lang w:val="es-ES"/>
        </w:rPr>
      </w:pPr>
      <w:r w:rsidRPr="003054FA">
        <w:rPr>
          <w:rFonts w:ascii="Monserrat" w:hAnsi="Monserrat" w:cs="Arial"/>
          <w:sz w:val="22"/>
          <w:szCs w:val="22"/>
          <w:lang w:val="es-ES"/>
        </w:rPr>
        <w:t xml:space="preserve">Se tiene un incremento del </w:t>
      </w:r>
      <w:r>
        <w:rPr>
          <w:rFonts w:ascii="Monserrat" w:hAnsi="Monserrat" w:cs="Arial"/>
          <w:sz w:val="22"/>
          <w:szCs w:val="22"/>
          <w:lang w:val="es-ES"/>
        </w:rPr>
        <w:t>100</w:t>
      </w:r>
      <w:r w:rsidRPr="003054FA">
        <w:rPr>
          <w:rFonts w:ascii="Monserrat" w:hAnsi="Monserrat" w:cs="Arial"/>
          <w:sz w:val="22"/>
          <w:szCs w:val="22"/>
          <w:lang w:val="es-ES"/>
        </w:rPr>
        <w:t xml:space="preserve">% en </w:t>
      </w:r>
      <w:r>
        <w:rPr>
          <w:rFonts w:ascii="Monserrat" w:hAnsi="Monserrat" w:cs="Arial"/>
          <w:sz w:val="22"/>
          <w:szCs w:val="22"/>
          <w:lang w:val="es-ES"/>
        </w:rPr>
        <w:t xml:space="preserve">comparación con el segundo trimestre </w:t>
      </w:r>
      <w:r w:rsidRPr="003054FA">
        <w:rPr>
          <w:rFonts w:ascii="Monserrat" w:hAnsi="Monserrat" w:cs="Arial"/>
          <w:sz w:val="22"/>
          <w:szCs w:val="22"/>
          <w:lang w:val="es-ES"/>
        </w:rPr>
        <w:t>202</w:t>
      </w:r>
      <w:r>
        <w:rPr>
          <w:rFonts w:ascii="Monserrat" w:hAnsi="Monserrat" w:cs="Arial"/>
          <w:sz w:val="22"/>
          <w:szCs w:val="22"/>
          <w:lang w:val="es-ES"/>
        </w:rPr>
        <w:t>1</w:t>
      </w:r>
      <w:r w:rsidR="00A64461">
        <w:rPr>
          <w:rFonts w:ascii="Monserrat" w:hAnsi="Monserrat" w:cs="Arial"/>
          <w:sz w:val="22"/>
          <w:szCs w:val="22"/>
          <w:lang w:val="es-ES"/>
        </w:rPr>
        <w:t>. Est</w:t>
      </w:r>
      <w:r w:rsidR="00284D5F">
        <w:rPr>
          <w:rFonts w:ascii="Monserrat" w:hAnsi="Monserrat" w:cs="Arial"/>
          <w:sz w:val="22"/>
          <w:szCs w:val="22"/>
          <w:lang w:val="es-ES"/>
        </w:rPr>
        <w:t>a variación absoluta es por la cantidad de 2,850.0 miles de pesos y se</w:t>
      </w:r>
      <w:r w:rsidR="00A64461">
        <w:rPr>
          <w:rFonts w:ascii="Monserrat" w:hAnsi="Monserrat" w:cs="Arial"/>
          <w:sz w:val="22"/>
          <w:szCs w:val="22"/>
          <w:lang w:val="es-ES"/>
        </w:rPr>
        <w:t xml:space="preserve"> debe al</w:t>
      </w:r>
      <w:r w:rsidR="00A64461" w:rsidRPr="00A64461">
        <w:rPr>
          <w:rFonts w:ascii="Monserrat" w:hAnsi="Monserrat" w:cs="Arial"/>
          <w:sz w:val="22"/>
          <w:szCs w:val="22"/>
          <w:lang w:val="es-ES"/>
        </w:rPr>
        <w:t xml:space="preserve"> reconocimiento de la obligación por una demanda</w:t>
      </w:r>
      <w:r w:rsidR="00A64461">
        <w:rPr>
          <w:rFonts w:ascii="Monserrat" w:hAnsi="Monserrat" w:cs="Arial"/>
          <w:sz w:val="22"/>
          <w:szCs w:val="22"/>
          <w:lang w:val="es-ES"/>
        </w:rPr>
        <w:t xml:space="preserve"> laboral, cuyo </w:t>
      </w:r>
      <w:r w:rsidR="00A64461" w:rsidRPr="00A64461">
        <w:rPr>
          <w:rFonts w:ascii="Monserrat" w:hAnsi="Monserrat" w:cs="Arial"/>
          <w:sz w:val="22"/>
          <w:szCs w:val="22"/>
          <w:lang w:val="es-ES"/>
        </w:rPr>
        <w:t>fallo</w:t>
      </w:r>
      <w:r w:rsidR="00A64461">
        <w:rPr>
          <w:rFonts w:ascii="Monserrat" w:hAnsi="Monserrat" w:cs="Arial"/>
          <w:sz w:val="22"/>
          <w:szCs w:val="22"/>
          <w:lang w:val="es-ES"/>
        </w:rPr>
        <w:t xml:space="preserve"> </w:t>
      </w:r>
      <w:r w:rsidR="00A64461" w:rsidRPr="00A64461">
        <w:rPr>
          <w:rFonts w:ascii="Monserrat" w:hAnsi="Monserrat" w:cs="Arial"/>
          <w:sz w:val="22"/>
          <w:szCs w:val="22"/>
          <w:lang w:val="es-ES"/>
        </w:rPr>
        <w:t>por parte de los tribunales</w:t>
      </w:r>
      <w:r w:rsidR="00A64461">
        <w:rPr>
          <w:rFonts w:ascii="Monserrat" w:hAnsi="Monserrat" w:cs="Arial"/>
          <w:sz w:val="22"/>
          <w:szCs w:val="22"/>
          <w:lang w:val="es-ES"/>
        </w:rPr>
        <w:t xml:space="preserve"> federales</w:t>
      </w:r>
      <w:r w:rsidR="00A64461" w:rsidRPr="00A64461">
        <w:rPr>
          <w:rFonts w:ascii="Monserrat" w:hAnsi="Monserrat" w:cs="Arial"/>
          <w:sz w:val="22"/>
          <w:szCs w:val="22"/>
          <w:lang w:val="es-ES"/>
        </w:rPr>
        <w:t>,</w:t>
      </w:r>
      <w:r w:rsidR="00A64461">
        <w:rPr>
          <w:rFonts w:ascii="Monserrat" w:hAnsi="Monserrat" w:cs="Arial"/>
          <w:sz w:val="22"/>
          <w:szCs w:val="22"/>
          <w:lang w:val="es-ES"/>
        </w:rPr>
        <w:t xml:space="preserve"> se estima ocurra a un periodo mayor a 12 meses.</w:t>
      </w:r>
    </w:p>
    <w:p w14:paraId="0BE2456F" w14:textId="77777777" w:rsidR="005C5CF9" w:rsidRPr="004C7740" w:rsidRDefault="005C5CF9" w:rsidP="00961F82">
      <w:pPr>
        <w:jc w:val="both"/>
      </w:pPr>
    </w:p>
    <w:sectPr w:rsidR="005C5CF9" w:rsidRPr="004C7740" w:rsidSect="00E364CC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C90A" w14:textId="77777777" w:rsidR="003135A6" w:rsidRDefault="003135A6" w:rsidP="00E57969">
      <w:r>
        <w:separator/>
      </w:r>
    </w:p>
  </w:endnote>
  <w:endnote w:type="continuationSeparator" w:id="0">
    <w:p w14:paraId="1A186D9B" w14:textId="77777777" w:rsidR="003135A6" w:rsidRDefault="003135A6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3BFE451" w14:textId="483384EC" w:rsidR="00E57969" w:rsidRPr="009E5A53" w:rsidRDefault="00E364CC" w:rsidP="00E364CC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 w:rsidR="003C2E8C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="00A936C0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</w:t>
    </w:r>
    <w:r w:rsidR="00E5796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Sesión Ordinaria de la Junta de Gobierno 20</w:t>
    </w:r>
    <w:r w:rsidR="0079573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="00766D98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</w:p>
  <w:p w14:paraId="53A6D7A2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77777777" w:rsidR="00E57969" w:rsidRPr="009E5A53" w:rsidRDefault="00E364CC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3A060B">
      <w:rPr>
        <w:rFonts w:ascii="Montserrat" w:hAnsi="Montserrat"/>
        <w:noProof/>
        <w:color w:val="A6A6A6" w:themeColor="background1" w:themeShade="A6"/>
        <w:sz w:val="18"/>
        <w:szCs w:val="18"/>
      </w:rPr>
      <w:t>1</w: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9DDA" w14:textId="77777777" w:rsidR="003135A6" w:rsidRDefault="003135A6" w:rsidP="00E57969">
      <w:r>
        <w:separator/>
      </w:r>
    </w:p>
  </w:footnote>
  <w:footnote w:type="continuationSeparator" w:id="0">
    <w:p w14:paraId="79394175" w14:textId="77777777" w:rsidR="003135A6" w:rsidRDefault="003135A6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3FBADBB7" w:rsidR="00EE1715" w:rsidRDefault="006D41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692303D6" wp14:editId="791BEF5E">
          <wp:extent cx="5828030" cy="104838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71EE"/>
    <w:multiLevelType w:val="hybridMultilevel"/>
    <w:tmpl w:val="21C27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8631">
    <w:abstractNumId w:val="0"/>
  </w:num>
  <w:num w:numId="2" w16cid:durableId="480123158">
    <w:abstractNumId w:val="2"/>
  </w:num>
  <w:num w:numId="3" w16cid:durableId="2086609050">
    <w:abstractNumId w:val="3"/>
  </w:num>
  <w:num w:numId="4" w16cid:durableId="508253105">
    <w:abstractNumId w:val="5"/>
  </w:num>
  <w:num w:numId="5" w16cid:durableId="364672647">
    <w:abstractNumId w:val="1"/>
  </w:num>
  <w:num w:numId="6" w16cid:durableId="60164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6"/>
    <w:rsid w:val="000023AD"/>
    <w:rsid w:val="00003A93"/>
    <w:rsid w:val="00146DD7"/>
    <w:rsid w:val="00154FF8"/>
    <w:rsid w:val="001C08E4"/>
    <w:rsid w:val="001E3D93"/>
    <w:rsid w:val="0020676A"/>
    <w:rsid w:val="00211AA9"/>
    <w:rsid w:val="0021496C"/>
    <w:rsid w:val="002407CB"/>
    <w:rsid w:val="00284D5F"/>
    <w:rsid w:val="00297318"/>
    <w:rsid w:val="002B0173"/>
    <w:rsid w:val="002B6000"/>
    <w:rsid w:val="003135A6"/>
    <w:rsid w:val="003308E5"/>
    <w:rsid w:val="0033131B"/>
    <w:rsid w:val="003336A3"/>
    <w:rsid w:val="003516C3"/>
    <w:rsid w:val="00361BA9"/>
    <w:rsid w:val="0039250F"/>
    <w:rsid w:val="003A060B"/>
    <w:rsid w:val="003A1C6A"/>
    <w:rsid w:val="003B6E1A"/>
    <w:rsid w:val="003C2E8C"/>
    <w:rsid w:val="004017FD"/>
    <w:rsid w:val="00421D37"/>
    <w:rsid w:val="00447079"/>
    <w:rsid w:val="0045608F"/>
    <w:rsid w:val="00467E90"/>
    <w:rsid w:val="0048620D"/>
    <w:rsid w:val="004866F9"/>
    <w:rsid w:val="004A6639"/>
    <w:rsid w:val="004C7740"/>
    <w:rsid w:val="005307CC"/>
    <w:rsid w:val="00567FB0"/>
    <w:rsid w:val="005720EF"/>
    <w:rsid w:val="005C5CF9"/>
    <w:rsid w:val="005C7309"/>
    <w:rsid w:val="005D56A6"/>
    <w:rsid w:val="006044A6"/>
    <w:rsid w:val="006439CF"/>
    <w:rsid w:val="00645FBE"/>
    <w:rsid w:val="00647F31"/>
    <w:rsid w:val="00657D31"/>
    <w:rsid w:val="00662E61"/>
    <w:rsid w:val="006A5412"/>
    <w:rsid w:val="006D41E2"/>
    <w:rsid w:val="006D7F13"/>
    <w:rsid w:val="0075044F"/>
    <w:rsid w:val="00766D98"/>
    <w:rsid w:val="00795739"/>
    <w:rsid w:val="008064E6"/>
    <w:rsid w:val="00810D23"/>
    <w:rsid w:val="00815D27"/>
    <w:rsid w:val="00831FC0"/>
    <w:rsid w:val="008943AA"/>
    <w:rsid w:val="00911C88"/>
    <w:rsid w:val="00935E03"/>
    <w:rsid w:val="009362C3"/>
    <w:rsid w:val="0094679C"/>
    <w:rsid w:val="00961F82"/>
    <w:rsid w:val="0098340D"/>
    <w:rsid w:val="00992B92"/>
    <w:rsid w:val="009A1FE7"/>
    <w:rsid w:val="009D7407"/>
    <w:rsid w:val="009E5A53"/>
    <w:rsid w:val="00A319BF"/>
    <w:rsid w:val="00A64461"/>
    <w:rsid w:val="00A936C0"/>
    <w:rsid w:val="00AB18AB"/>
    <w:rsid w:val="00AC7A14"/>
    <w:rsid w:val="00AE4766"/>
    <w:rsid w:val="00AE6D38"/>
    <w:rsid w:val="00B04746"/>
    <w:rsid w:val="00B23FD5"/>
    <w:rsid w:val="00B33945"/>
    <w:rsid w:val="00BA0840"/>
    <w:rsid w:val="00BB0E75"/>
    <w:rsid w:val="00BB7944"/>
    <w:rsid w:val="00BC1469"/>
    <w:rsid w:val="00BF3C06"/>
    <w:rsid w:val="00C237D9"/>
    <w:rsid w:val="00C27B76"/>
    <w:rsid w:val="00C4007F"/>
    <w:rsid w:val="00C50B21"/>
    <w:rsid w:val="00CA039F"/>
    <w:rsid w:val="00CF5A47"/>
    <w:rsid w:val="00CF7D33"/>
    <w:rsid w:val="00D3180C"/>
    <w:rsid w:val="00D3488F"/>
    <w:rsid w:val="00D84F53"/>
    <w:rsid w:val="00DA5F27"/>
    <w:rsid w:val="00DB7382"/>
    <w:rsid w:val="00DC5A1E"/>
    <w:rsid w:val="00DE481E"/>
    <w:rsid w:val="00E24D51"/>
    <w:rsid w:val="00E33818"/>
    <w:rsid w:val="00E364CC"/>
    <w:rsid w:val="00E50514"/>
    <w:rsid w:val="00E57969"/>
    <w:rsid w:val="00E64C31"/>
    <w:rsid w:val="00ED17A4"/>
    <w:rsid w:val="00ED6718"/>
    <w:rsid w:val="00EE1715"/>
    <w:rsid w:val="00EE4CB5"/>
    <w:rsid w:val="00EF73C8"/>
    <w:rsid w:val="00F262D9"/>
    <w:rsid w:val="00F34177"/>
    <w:rsid w:val="00F46324"/>
    <w:rsid w:val="00FA7510"/>
    <w:rsid w:val="00FB0EAF"/>
    <w:rsid w:val="00FE56CA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4253-14EB-4EC4-ABA1-1886A23A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Uriel de Jesús Ramos Pérez</cp:lastModifiedBy>
  <cp:revision>10</cp:revision>
  <cp:lastPrinted>2022-09-19T17:16:00Z</cp:lastPrinted>
  <dcterms:created xsi:type="dcterms:W3CDTF">2022-09-15T18:42:00Z</dcterms:created>
  <dcterms:modified xsi:type="dcterms:W3CDTF">2022-09-19T18:25:00Z</dcterms:modified>
</cp:coreProperties>
</file>