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42FD" w14:textId="72D5B5CA" w:rsidR="00A65F08" w:rsidRPr="006318FB" w:rsidRDefault="009B6091" w:rsidP="006318FB">
      <w:pPr>
        <w:spacing w:line="276" w:lineRule="auto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5.21. Cumplimiento a los Compromisos de Gobierno</w:t>
      </w:r>
      <w:r w:rsidRPr="006318FB">
        <w:rPr>
          <w:rFonts w:ascii="Monserrat" w:hAnsi="Monserrat"/>
          <w:sz w:val="22"/>
          <w:szCs w:val="22"/>
        </w:rPr>
        <w:br/>
      </w:r>
    </w:p>
    <w:p w14:paraId="1DC78F71" w14:textId="2E75CE11" w:rsidR="00A65F08" w:rsidRPr="006318FB" w:rsidRDefault="009B6091" w:rsidP="5D308D6A">
      <w:pPr>
        <w:spacing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>Con r</w:t>
      </w:r>
      <w:r w:rsidR="53DEFAA3" w:rsidRPr="006318FB">
        <w:rPr>
          <w:rFonts w:ascii="Monserrat" w:hAnsi="Monserrat" w:cstheme="majorBidi"/>
          <w:sz w:val="22"/>
          <w:szCs w:val="22"/>
          <w:lang w:val="es-ES"/>
        </w:rPr>
        <w:t>eferencia al Plan Nacional de Desarrollo 2019-2024 y los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Principios Rectores</w:t>
      </w:r>
      <w:r w:rsidR="240A87A7" w:rsidRPr="006318FB">
        <w:rPr>
          <w:rFonts w:ascii="Monserrat" w:hAnsi="Monserrat" w:cstheme="majorBidi"/>
          <w:sz w:val="22"/>
          <w:szCs w:val="22"/>
          <w:lang w:val="es-ES"/>
        </w:rPr>
        <w:t xml:space="preserve"> que ahí se enuncian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, ECOSUR desarrolla </w:t>
      </w:r>
      <w:r w:rsidR="00A65F08" w:rsidRPr="006318FB">
        <w:rPr>
          <w:rFonts w:ascii="Monserrat" w:hAnsi="Monserrat" w:cstheme="majorBidi"/>
          <w:sz w:val="22"/>
          <w:szCs w:val="22"/>
          <w:lang w:val="es-ES"/>
        </w:rPr>
        <w:t>diversos procesos</w:t>
      </w:r>
      <w:r w:rsidR="00955868"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="00955868" w:rsidRPr="006318FB">
        <w:rPr>
          <w:rFonts w:ascii="Monserrat" w:eastAsia="Monserrat" w:hAnsi="Monserrat" w:cs="Monserrat"/>
          <w:sz w:val="22"/>
          <w:szCs w:val="22"/>
          <w:lang w:val="es-ES"/>
        </w:rPr>
        <w:t>de investigación, formación de recursos humanos, vinculación y gestión institucional,</w:t>
      </w:r>
      <w:r w:rsidR="00A65F08" w:rsidRPr="006318FB">
        <w:rPr>
          <w:rFonts w:ascii="Monserrat" w:eastAsia="Monserrat" w:hAnsi="Monserrat" w:cs="Monserrat"/>
          <w:sz w:val="22"/>
          <w:szCs w:val="22"/>
          <w:lang w:val="es-ES"/>
        </w:rPr>
        <w:t xml:space="preserve"> que pueden culminar en productos tales como</w:t>
      </w:r>
      <w:r w:rsidR="002A1994" w:rsidRPr="006318FB">
        <w:rPr>
          <w:rFonts w:ascii="Monserrat" w:eastAsia="Monserrat" w:hAnsi="Monserrat" w:cs="Monserrat"/>
          <w:sz w:val="22"/>
          <w:szCs w:val="22"/>
          <w:lang w:val="es-ES"/>
        </w:rPr>
        <w:t>:</w:t>
      </w:r>
      <w:r w:rsidR="00A65F08" w:rsidRPr="006318FB">
        <w:rPr>
          <w:rFonts w:ascii="Monserrat" w:eastAsia="Monserrat" w:hAnsi="Monserrat" w:cs="Monserrat"/>
          <w:sz w:val="22"/>
          <w:szCs w:val="22"/>
          <w:lang w:val="es-ES"/>
        </w:rPr>
        <w:t xml:space="preserve"> mecanismos para promover la participación, la generación de diagnósticos y</w:t>
      </w:r>
      <w:r w:rsidR="002A1994" w:rsidRPr="006318FB">
        <w:rPr>
          <w:rFonts w:ascii="Monserrat" w:eastAsia="Monserrat" w:hAnsi="Monserrat" w:cs="Monserrat"/>
          <w:sz w:val="22"/>
          <w:szCs w:val="22"/>
          <w:lang w:val="es-ES"/>
        </w:rPr>
        <w:t xml:space="preserve"> la publicación de</w:t>
      </w:r>
      <w:r w:rsidR="00A65F08" w:rsidRPr="006318FB">
        <w:rPr>
          <w:rFonts w:ascii="Monserrat" w:eastAsia="Monserrat" w:hAnsi="Monserrat" w:cs="Monserrat"/>
          <w:sz w:val="22"/>
          <w:szCs w:val="22"/>
          <w:lang w:val="es-ES"/>
        </w:rPr>
        <w:t xml:space="preserve"> </w:t>
      </w:r>
      <w:r w:rsidR="002A1994" w:rsidRPr="006318FB">
        <w:rPr>
          <w:rFonts w:ascii="Monserrat" w:eastAsia="Monserrat" w:hAnsi="Monserrat" w:cs="Monserrat"/>
          <w:sz w:val="22"/>
          <w:szCs w:val="22"/>
          <w:lang w:val="es-ES"/>
        </w:rPr>
        <w:t>hallazgos</w:t>
      </w:r>
      <w:r w:rsidR="00955868" w:rsidRPr="006318FB">
        <w:rPr>
          <w:rFonts w:ascii="Monserrat" w:eastAsia="Monserrat" w:hAnsi="Monserrat" w:cs="Monserrat"/>
          <w:sz w:val="22"/>
          <w:szCs w:val="22"/>
          <w:lang w:val="es-ES"/>
        </w:rPr>
        <w:t>,</w:t>
      </w:r>
      <w:r w:rsidR="002A1994" w:rsidRPr="006318FB">
        <w:rPr>
          <w:rFonts w:ascii="Monserrat" w:eastAsia="Monserrat" w:hAnsi="Monserrat" w:cs="Monserrat"/>
          <w:sz w:val="22"/>
          <w:szCs w:val="22"/>
          <w:lang w:val="es-ES"/>
        </w:rPr>
        <w:t xml:space="preserve"> </w:t>
      </w:r>
      <w:r w:rsidR="00955868" w:rsidRPr="006318FB">
        <w:rPr>
          <w:rFonts w:ascii="Monserrat" w:eastAsia="Monserrat" w:hAnsi="Monserrat" w:cs="Monserrat"/>
          <w:sz w:val="22"/>
          <w:szCs w:val="22"/>
          <w:lang w:val="es-ES"/>
        </w:rPr>
        <w:t>correlacionad</w:t>
      </w:r>
      <w:r w:rsidR="00955868" w:rsidRPr="006318FB">
        <w:rPr>
          <w:rFonts w:ascii="Monserrat" w:hAnsi="Monserrat" w:cstheme="majorBidi"/>
          <w:sz w:val="22"/>
          <w:szCs w:val="22"/>
          <w:lang w:val="es-ES"/>
        </w:rPr>
        <w:t>os con la aplicación de</w:t>
      </w:r>
      <w:r w:rsidR="002A1994" w:rsidRPr="006318FB">
        <w:rPr>
          <w:rFonts w:ascii="Monserrat" w:hAnsi="Monserrat" w:cstheme="majorBidi"/>
          <w:sz w:val="22"/>
          <w:szCs w:val="22"/>
          <w:lang w:val="es-ES"/>
        </w:rPr>
        <w:t xml:space="preserve"> dichos principios.</w:t>
      </w:r>
      <w:r w:rsidR="00955868" w:rsidRPr="006318FB">
        <w:rPr>
          <w:rFonts w:ascii="Monserrat" w:hAnsi="Monserrat" w:cstheme="majorBidi"/>
          <w:sz w:val="22"/>
          <w:szCs w:val="22"/>
          <w:lang w:val="es-ES"/>
        </w:rPr>
        <w:t xml:space="preserve"> A </w:t>
      </w:r>
      <w:r w:rsidR="00FB6759" w:rsidRPr="006318FB">
        <w:rPr>
          <w:rFonts w:ascii="Monserrat" w:hAnsi="Monserrat" w:cstheme="majorBidi"/>
          <w:sz w:val="22"/>
          <w:szCs w:val="22"/>
          <w:lang w:val="es-ES"/>
        </w:rPr>
        <w:t>continuación,</w:t>
      </w:r>
      <w:r w:rsidR="00955868" w:rsidRPr="006318FB">
        <w:rPr>
          <w:rFonts w:ascii="Monserrat" w:hAnsi="Monserrat" w:cstheme="majorBidi"/>
          <w:sz w:val="22"/>
          <w:szCs w:val="22"/>
          <w:lang w:val="es-ES"/>
        </w:rPr>
        <w:t xml:space="preserve"> se describen algunos de ellos:</w:t>
      </w:r>
      <w:r w:rsidR="002A1994"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1. Honradez y honestidad.</w:t>
      </w:r>
    </w:p>
    <w:p w14:paraId="30EC9522" w14:textId="3A22EEE5" w:rsidR="009B6091" w:rsidRPr="006318FB" w:rsidRDefault="00A65F08" w:rsidP="5D308D6A">
      <w:pPr>
        <w:spacing w:after="2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>Las actitudes, cualidades y valores que son promovidos por ECOSUR en el Código de Conducta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 vigente</w:t>
      </w:r>
      <w:r w:rsidR="00955868" w:rsidRPr="006318FB">
        <w:rPr>
          <w:rFonts w:ascii="Monserrat" w:hAnsi="Monserrat" w:cstheme="majorBidi"/>
          <w:sz w:val="22"/>
          <w:szCs w:val="22"/>
          <w:lang w:val="es-ES"/>
        </w:rPr>
        <w:t xml:space="preserve"> para las personas servidoras públicas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Pr="006318FB">
        <w:rPr>
          <w:rFonts w:ascii="Monserrat" w:hAnsi="Monserrat" w:cstheme="majorBidi"/>
          <w:sz w:val="22"/>
          <w:szCs w:val="22"/>
          <w:lang w:val="es-ES"/>
        </w:rPr>
        <w:t>se apegan a los principios de respeto, honradez y honestidad.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El Código de Conducta se difunde periódicamente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 a través del correo institucional, para promover el conocimiento y cumplimiento del código de conducta y suscribir una carta compromiso.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En cuanto a la selección de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 comités para convocatorias académicas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 xml:space="preserve"> se establecieron principios de paridad</w:t>
      </w:r>
      <w:r w:rsidR="009E05C1" w:rsidRPr="006318FB">
        <w:rPr>
          <w:rFonts w:ascii="Monserrat" w:hAnsi="Monserrat" w:cstheme="majorBidi"/>
          <w:sz w:val="22"/>
          <w:szCs w:val="22"/>
          <w:lang w:val="es-ES"/>
        </w:rPr>
        <w:t xml:space="preserve">. </w:t>
      </w:r>
    </w:p>
    <w:p w14:paraId="08570E66" w14:textId="77777777" w:rsidR="009B6091" w:rsidRPr="006318FB" w:rsidRDefault="009B6091" w:rsidP="5D308D6A">
      <w:pPr>
        <w:spacing w:after="2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="Segoe UI"/>
          <w:color w:val="000000" w:themeColor="text1"/>
          <w:sz w:val="22"/>
          <w:szCs w:val="22"/>
          <w:shd w:val="clear" w:color="auto" w:fill="FFFFFF"/>
        </w:rPr>
        <w:br/>
      </w:r>
      <w:r w:rsidRPr="006318FB"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  <w:t xml:space="preserve">   </w:t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2. No al gobierno rico con pueblo pobre.</w:t>
      </w:r>
    </w:p>
    <w:p w14:paraId="7D75CF3E" w14:textId="28FAA1A8" w:rsidR="00FB6759" w:rsidRPr="006318FB" w:rsidRDefault="00FB6759" w:rsidP="5D308D6A">
      <w:pPr>
        <w:spacing w:line="276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>En el periodo enero-junio 202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2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, </w:t>
      </w:r>
      <w:r w:rsidR="043CD8F2" w:rsidRPr="006318FB">
        <w:rPr>
          <w:rFonts w:ascii="Monserrat" w:hAnsi="Monserrat" w:cstheme="majorBidi"/>
          <w:sz w:val="22"/>
          <w:szCs w:val="22"/>
          <w:lang w:val="es-ES"/>
        </w:rPr>
        <w:t>se continua con e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l trabajo </w:t>
      </w:r>
      <w:r w:rsidR="1976B930" w:rsidRPr="006318FB">
        <w:rPr>
          <w:rFonts w:ascii="Monserrat" w:hAnsi="Monserrat" w:cstheme="majorBidi"/>
          <w:sz w:val="22"/>
          <w:szCs w:val="22"/>
          <w:lang w:val="es-ES"/>
        </w:rPr>
        <w:t>de gestión</w:t>
      </w:r>
      <w:r w:rsidR="08BC3016"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Pr="006318FB">
        <w:rPr>
          <w:rFonts w:ascii="Monserrat" w:hAnsi="Monserrat" w:cstheme="majorBidi"/>
          <w:sz w:val="22"/>
          <w:szCs w:val="22"/>
          <w:lang w:val="es-ES"/>
        </w:rPr>
        <w:t>desarroll</w:t>
      </w:r>
      <w:r w:rsidR="6B99E32E" w:rsidRPr="006318FB">
        <w:rPr>
          <w:rFonts w:ascii="Monserrat" w:hAnsi="Monserrat" w:cstheme="majorBidi"/>
          <w:sz w:val="22"/>
          <w:szCs w:val="22"/>
          <w:lang w:val="es-ES"/>
        </w:rPr>
        <w:t>ado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prioritariamente a través del sistema de videoconferencias y reuniones virtuales. A la vez, estas acciones son parte de las estrategias fomentadas en las cinco unidades de ECOSUR para disminuir los gastos de operación.</w:t>
      </w:r>
    </w:p>
    <w:p w14:paraId="66FC7001" w14:textId="77777777" w:rsidR="009B6091" w:rsidRPr="006318FB" w:rsidRDefault="009B6091" w:rsidP="5D308D6A">
      <w:pPr>
        <w:spacing w:after="2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3. Al margen de la ley, nada; por encima de la ley, nadie.</w:t>
      </w:r>
    </w:p>
    <w:p w14:paraId="7CE68971" w14:textId="7C2C0092" w:rsidR="00A55A15" w:rsidRPr="006318FB" w:rsidRDefault="00A55A15" w:rsidP="5D308D6A">
      <w:pPr>
        <w:spacing w:line="276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>El pronunciamiento “</w:t>
      </w:r>
      <w:proofErr w:type="gramStart"/>
      <w:r w:rsidRPr="006318FB">
        <w:rPr>
          <w:rFonts w:ascii="Monserrat" w:hAnsi="Monserrat" w:cstheme="majorBidi"/>
          <w:sz w:val="22"/>
          <w:szCs w:val="22"/>
          <w:lang w:val="es-ES"/>
        </w:rPr>
        <w:t>Cero tolerancia</w:t>
      </w:r>
      <w:proofErr w:type="gramEnd"/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” fue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 xml:space="preserve">actualizado y 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enviado a toda la comunidad, vía correo institucional, el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8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de marzo de 202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2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. </w:t>
      </w:r>
    </w:p>
    <w:p w14:paraId="1EA55EAF" w14:textId="43E7DCB8" w:rsidR="00FB6759" w:rsidRPr="006318FB" w:rsidRDefault="009B6091" w:rsidP="5D308D6A">
      <w:pPr>
        <w:spacing w:line="276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4. Economía para el bienestar.</w:t>
      </w:r>
    </w:p>
    <w:p w14:paraId="42F92412" w14:textId="5B4ECB27" w:rsidR="009B6091" w:rsidRPr="006318FB" w:rsidRDefault="7EA470E0" w:rsidP="5D308D6A">
      <w:pPr>
        <w:spacing w:after="20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Se participó como ponente en el Conversatorio Nacional de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ES"/>
        </w:rPr>
        <w:t>SADER</w:t>
      </w:r>
      <w:proofErr w:type="spellEnd"/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sobre Comercialización de productos para una agroforestería pecuaria 2022, en modalidad virtual lo que reveló los avances e importancia de la agroforestería pecuaria-Ganadería agroecológica de doble propósito y comercialización de sus productos en Chiapas.</w:t>
      </w:r>
    </w:p>
    <w:p w14:paraId="7FF7A2F3" w14:textId="0AD07D3F" w:rsidR="009B6091" w:rsidRPr="006318FB" w:rsidRDefault="009B6091" w:rsidP="5D308D6A">
      <w:pPr>
        <w:spacing w:after="20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5. El mercado no sustituye al Estado.</w:t>
      </w:r>
    </w:p>
    <w:p w14:paraId="4B96D53D" w14:textId="351C0CE8" w:rsidR="00FB6759" w:rsidRDefault="31837E21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</w:rPr>
      </w:pPr>
      <w:r w:rsidRPr="006318FB">
        <w:rPr>
          <w:rFonts w:ascii="Monserrat" w:hAnsi="Monserrat" w:cstheme="majorBidi"/>
          <w:sz w:val="22"/>
          <w:szCs w:val="22"/>
        </w:rPr>
        <w:t xml:space="preserve">Se colabora en un proyecto denominado “Plataforma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multiactor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 para la democratización energética desde iniciativas de economía social y solidaria en comunidades rurales y urbanas en Tabasco” es proyecto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PRONAII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 transdisciplinario,  generándose 6 experiencias piloto con organizaciones locales de carpinteros,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chocalateras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, cacaoteros, artesanos de fibra y madera, y productores de mangle, en el que participan 5 investigadores de ECOSUR, tres de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DASA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 y 2 de Sociedad y Cultura, además de investigadores de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UJAT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 e integrantes de una asociación civil.</w:t>
      </w:r>
    </w:p>
    <w:p w14:paraId="10280164" w14:textId="77777777" w:rsidR="006318FB" w:rsidRPr="006318FB" w:rsidRDefault="006318FB" w:rsidP="5D308D6A">
      <w:pPr>
        <w:spacing w:after="2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</w:rPr>
      </w:pPr>
    </w:p>
    <w:p w14:paraId="7293FE72" w14:textId="67232584" w:rsidR="00FB6759" w:rsidRPr="006318FB" w:rsidRDefault="009B6091" w:rsidP="5D308D6A">
      <w:pPr>
        <w:spacing w:after="2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18FB">
        <w:rPr>
          <w:rFonts w:ascii="Monserrat" w:hAnsi="Monserrat"/>
          <w:sz w:val="22"/>
          <w:szCs w:val="22"/>
        </w:rPr>
        <w:lastRenderedPageBreak/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6. Por el bien de todos, primero los pobres.</w:t>
      </w:r>
    </w:p>
    <w:p w14:paraId="6A4D5D94" w14:textId="7520D42E" w:rsidR="45AF980F" w:rsidRPr="006318FB" w:rsidRDefault="45AF980F" w:rsidP="45AF980F">
      <w:pPr>
        <w:jc w:val="both"/>
        <w:rPr>
          <w:rFonts w:ascii="Monserrat" w:hAnsi="Monserrat" w:cstheme="majorBidi"/>
          <w:sz w:val="22"/>
          <w:szCs w:val="22"/>
        </w:rPr>
      </w:pPr>
    </w:p>
    <w:p w14:paraId="0371A337" w14:textId="77777777" w:rsidR="006318FB" w:rsidRPr="006318FB" w:rsidRDefault="0998D9F0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</w:rPr>
      </w:pPr>
      <w:r w:rsidRPr="006318FB">
        <w:rPr>
          <w:rFonts w:ascii="Monserrat" w:hAnsi="Monserrat" w:cstheme="majorBidi"/>
          <w:sz w:val="22"/>
          <w:szCs w:val="22"/>
        </w:rPr>
        <w:t xml:space="preserve">ECOSUR cuenta con un Departamento denominado Sociedad y Cultura cuyo propósito es analizar, de manera integral, la relación entre los factores históricos, económicos, políticos, socioculturales y ambientales en las dinámicas de migración, educación, construcción de conocimientos, trabajo, salud y prácticas </w:t>
      </w:r>
      <w:proofErr w:type="spellStart"/>
      <w:r w:rsidRPr="006318FB">
        <w:rPr>
          <w:rFonts w:ascii="Monserrat" w:hAnsi="Monserrat" w:cstheme="majorBidi"/>
          <w:sz w:val="22"/>
          <w:szCs w:val="22"/>
        </w:rPr>
        <w:t>socioproductivas</w:t>
      </w:r>
      <w:proofErr w:type="spellEnd"/>
      <w:r w:rsidRPr="006318FB">
        <w:rPr>
          <w:rFonts w:ascii="Monserrat" w:hAnsi="Monserrat" w:cstheme="majorBidi"/>
          <w:sz w:val="22"/>
          <w:szCs w:val="22"/>
        </w:rPr>
        <w:t xml:space="preserve">. Lo hace a través de debatir, explicar, dar soporte y proponer alternativas de comprensión, respeto y solución a problemas de vulnerabilidad, iniquidad y discriminación social, colaborando con opciones, oportunidades y estrategias surgidas de distintos colectivos y ámbitos que permitan el fortalecimiento de la interculturalidad y la equidad en las relaciones de género, el ejercicio de los derechos humanos, la calidad de vida y el bienestar de los sistemas socioambientales de la frontera sur de México en conexión con Centroamérica y el Caribe. </w:t>
      </w:r>
    </w:p>
    <w:p w14:paraId="5E0E50B4" w14:textId="7FA1F645" w:rsidR="00FB6759" w:rsidRPr="006318FB" w:rsidRDefault="009B6091" w:rsidP="5D308D6A">
      <w:pPr>
        <w:spacing w:after="20" w:line="276" w:lineRule="auto"/>
        <w:jc w:val="both"/>
        <w:rPr>
          <w:rFonts w:ascii="Monserrat" w:hAnsi="Monserrat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7. No dejar a nadie atrás, no dejar a nadie afuera.</w:t>
      </w:r>
    </w:p>
    <w:p w14:paraId="674BEDF1" w14:textId="13A26382" w:rsidR="00D87F10" w:rsidRPr="006318FB" w:rsidRDefault="00FB6759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>Se present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ó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el avance semestral del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Programa Nacional para la Igualdad entre Mujeres y Hombres 2020-2024 (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ES"/>
        </w:rPr>
        <w:t>PROIGUALDAD</w:t>
      </w:r>
      <w:proofErr w:type="spellEnd"/>
      <w:r w:rsidRPr="006318FB">
        <w:rPr>
          <w:rFonts w:ascii="Monserrat" w:hAnsi="Monserrat" w:cstheme="majorBidi"/>
          <w:sz w:val="22"/>
          <w:szCs w:val="22"/>
          <w:lang w:val="es-ES"/>
        </w:rPr>
        <w:t>)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. Se avanzó en una recomendación para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utilizar un lenguaje inclusivo para todos los informes y normativa institucionales, así como presentar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la</w:t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información cuantitativa por sexo para visibilizar las oportunidades de mejora en cuanto a la política de igualdad de género. </w:t>
      </w:r>
      <w:r w:rsidR="00E15A37" w:rsidRPr="006318FB">
        <w:rPr>
          <w:rFonts w:ascii="Monserrat" w:hAnsi="Monserrat" w:cstheme="majorBidi"/>
          <w:sz w:val="22"/>
          <w:szCs w:val="22"/>
          <w:lang w:val="es-ES"/>
        </w:rPr>
        <w:t xml:space="preserve">Por otro </w:t>
      </w:r>
      <w:r w:rsidR="00201BCD" w:rsidRPr="006318FB">
        <w:rPr>
          <w:rFonts w:ascii="Monserrat" w:hAnsi="Monserrat" w:cstheme="majorBidi"/>
          <w:sz w:val="22"/>
          <w:szCs w:val="22"/>
          <w:lang w:val="es-ES"/>
        </w:rPr>
        <w:t>lado,</w:t>
      </w:r>
      <w:r w:rsidR="00E15A37" w:rsidRPr="006318FB">
        <w:rPr>
          <w:rFonts w:ascii="Monserrat" w:hAnsi="Monserrat" w:cstheme="majorBidi"/>
          <w:sz w:val="22"/>
          <w:szCs w:val="22"/>
          <w:lang w:val="es-ES"/>
        </w:rPr>
        <w:t xml:space="preserve"> h</w:t>
      </w:r>
      <w:r w:rsidR="00D87F10" w:rsidRPr="006318FB">
        <w:rPr>
          <w:rFonts w:ascii="Monserrat" w:hAnsi="Monserrat" w:cstheme="majorBidi"/>
          <w:sz w:val="22"/>
          <w:szCs w:val="22"/>
          <w:lang w:val="es-ES"/>
        </w:rPr>
        <w:t xml:space="preserve">emos fortalecido la revista </w:t>
      </w:r>
      <w:proofErr w:type="spellStart"/>
      <w:r w:rsidR="00D87F10" w:rsidRPr="006318FB">
        <w:rPr>
          <w:rFonts w:ascii="Monserrat" w:hAnsi="Monserrat" w:cstheme="majorBidi"/>
          <w:sz w:val="22"/>
          <w:szCs w:val="22"/>
          <w:lang w:val="es-ES"/>
        </w:rPr>
        <w:t>ECOFRONTERAS</w:t>
      </w:r>
      <w:proofErr w:type="spellEnd"/>
      <w:r w:rsidR="00D87F10" w:rsidRPr="006318FB">
        <w:rPr>
          <w:rFonts w:ascii="Monserrat" w:hAnsi="Monserrat" w:cstheme="majorBidi"/>
          <w:sz w:val="22"/>
          <w:szCs w:val="22"/>
          <w:lang w:val="es-ES"/>
        </w:rPr>
        <w:t xml:space="preserve"> con varias acciones que rebasan los criterios del CONACYT entre ellos la inclusión de lenguajes distintos al español (por ahora, </w:t>
      </w:r>
      <w:proofErr w:type="spellStart"/>
      <w:r w:rsidR="00D87F10" w:rsidRPr="006318FB">
        <w:rPr>
          <w:rFonts w:ascii="Monserrat" w:hAnsi="Monserrat" w:cstheme="majorBidi"/>
          <w:sz w:val="22"/>
          <w:szCs w:val="22"/>
          <w:lang w:val="es-ES"/>
        </w:rPr>
        <w:t>tsotsil</w:t>
      </w:r>
      <w:proofErr w:type="spellEnd"/>
      <w:r w:rsidR="00D87F10" w:rsidRPr="006318FB">
        <w:rPr>
          <w:rFonts w:ascii="Monserrat" w:hAnsi="Monserrat" w:cstheme="majorBidi"/>
          <w:sz w:val="22"/>
          <w:szCs w:val="22"/>
          <w:lang w:val="es-ES"/>
        </w:rPr>
        <w:t xml:space="preserve"> y maya yucateco en resúmenes de artículos y casi la totalidad de la página de inicio).</w:t>
      </w:r>
    </w:p>
    <w:p w14:paraId="4E4E87F5" w14:textId="77777777" w:rsidR="009B6091" w:rsidRPr="006318FB" w:rsidRDefault="009B6091" w:rsidP="5D308D6A">
      <w:pPr>
        <w:spacing w:after="2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="Segoe UI"/>
          <w:color w:val="000000" w:themeColor="text1"/>
          <w:sz w:val="22"/>
          <w:szCs w:val="22"/>
        </w:rPr>
        <w:br/>
      </w:r>
      <w:r w:rsidRPr="006318FB">
        <w:rPr>
          <w:rFonts w:ascii="Monserrat" w:hAnsi="Monserrat" w:cs="Segoe UI"/>
          <w:color w:val="000000" w:themeColor="text1"/>
          <w:sz w:val="22"/>
          <w:szCs w:val="22"/>
          <w:shd w:val="clear" w:color="auto" w:fill="FFFFFF"/>
        </w:rPr>
        <w:t xml:space="preserve">   </w:t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8. No puede haber paz sin justicia.</w:t>
      </w:r>
    </w:p>
    <w:p w14:paraId="3024E2C9" w14:textId="77777777" w:rsidR="00A65F08" w:rsidRPr="006318FB" w:rsidRDefault="00E15A37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ECOSUR mantiene acciones para el Seguimiento al Protocolo para la prevención, atención y sanción del hostigamiento y acoso sexual, entre las que se incluyen la Emisión del pronunciamiento de “Cero tolerancia”; Formulación de la convocatoria abierta al personal para proponer o invitar a las personas que consideren pueden desempeñarse como Personas Consejeras; Difusión del Protocolo a través de los medios o canales de comunicación institucional; Se ha difundido un tríptico de la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ES"/>
        </w:rPr>
        <w:t>SFP</w:t>
      </w:r>
      <w:proofErr w:type="spellEnd"/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sobre el Protocolo para la prevención, atención y sanción del hostigamiento sexual y acoso sexual, que orienta sobre las instancias a las que pueden acudir las personas víctimas de estas conductas. Además, se han difundido las capacitaciones de INMUJERES entre la comunidad.</w:t>
      </w:r>
    </w:p>
    <w:p w14:paraId="0A37501D" w14:textId="77777777" w:rsidR="00E15A37" w:rsidRPr="006318FB" w:rsidRDefault="00E15A37" w:rsidP="00CD668F">
      <w:pPr>
        <w:spacing w:after="20" w:line="360" w:lineRule="auto"/>
        <w:jc w:val="both"/>
        <w:rPr>
          <w:rFonts w:ascii="Monserrat" w:hAnsi="Monserrat" w:cstheme="majorHAnsi"/>
          <w:iCs/>
          <w:sz w:val="22"/>
          <w:szCs w:val="22"/>
          <w:lang w:val="es-ES"/>
        </w:rPr>
      </w:pPr>
    </w:p>
    <w:p w14:paraId="29A60863" w14:textId="77777777" w:rsidR="009B6091" w:rsidRPr="006318FB" w:rsidRDefault="009B6091" w:rsidP="00CD668F">
      <w:pPr>
        <w:spacing w:after="20" w:line="360" w:lineRule="auto"/>
        <w:jc w:val="both"/>
        <w:rPr>
          <w:rFonts w:ascii="Monserrat" w:hAnsi="Monserrat" w:cstheme="majorHAnsi"/>
          <w:b/>
          <w:bCs/>
          <w:iCs/>
          <w:sz w:val="22"/>
          <w:szCs w:val="22"/>
          <w:lang w:val="es-ES"/>
        </w:rPr>
      </w:pP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9. El respeto al derecho ajeno es la paz.</w:t>
      </w:r>
    </w:p>
    <w:p w14:paraId="521F827C" w14:textId="76E61CF8" w:rsidR="00FB6759" w:rsidRPr="006318FB" w:rsidRDefault="01901A2F" w:rsidP="5D308D6A">
      <w:pPr>
        <w:spacing w:after="20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Se atendió a la primera generación del Programa Interinstitucional de Especialidad en Soberanía Alimentaria y Gestión de Incidencia Local Estratégica (PIES AGILES), como parte de la colaboración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ES"/>
        </w:rPr>
        <w:t>CIATEJ</w:t>
      </w:r>
      <w:proofErr w:type="spellEnd"/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-ECOSUR. Se atendieron 22 becarios quienes fortalecieron su proceso de formación en las temáticas de suelos,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ES"/>
        </w:rPr>
        <w:t>bioinsumos</w:t>
      </w:r>
      <w:proofErr w:type="spellEnd"/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 y sistemas complejos.</w:t>
      </w:r>
      <w:r w:rsidR="1D4BC92F" w:rsidRPr="006318FB">
        <w:rPr>
          <w:rFonts w:ascii="Monserrat" w:hAnsi="Monserrat" w:cstheme="majorBidi"/>
          <w:sz w:val="22"/>
          <w:szCs w:val="22"/>
          <w:lang w:val="es-ES"/>
        </w:rPr>
        <w:t xml:space="preserve"> Por otro lado, se </w:t>
      </w:r>
      <w:proofErr w:type="spellStart"/>
      <w:r w:rsidR="1D4BC92F" w:rsidRPr="006318FB">
        <w:rPr>
          <w:rFonts w:ascii="Monserrat" w:hAnsi="Monserrat" w:cstheme="majorBidi"/>
          <w:sz w:val="22"/>
          <w:szCs w:val="22"/>
          <w:lang w:val="es-ES"/>
        </w:rPr>
        <w:t>co-diseñó</w:t>
      </w:r>
      <w:proofErr w:type="spellEnd"/>
      <w:r w:rsidR="1D4BC92F" w:rsidRPr="006318FB">
        <w:rPr>
          <w:rFonts w:ascii="Monserrat" w:hAnsi="Monserrat" w:cstheme="majorBidi"/>
          <w:sz w:val="22"/>
          <w:szCs w:val="22"/>
          <w:lang w:val="es-ES"/>
        </w:rPr>
        <w:t xml:space="preserve"> el 7° Seminario Binacional México-Belice y </w:t>
      </w:r>
      <w:r w:rsidR="19A298C6" w:rsidRPr="006318FB">
        <w:rPr>
          <w:rFonts w:ascii="Monserrat" w:hAnsi="Monserrat" w:cstheme="majorBidi"/>
          <w:sz w:val="22"/>
          <w:szCs w:val="22"/>
          <w:lang w:val="es-ES"/>
        </w:rPr>
        <w:t>s</w:t>
      </w:r>
      <w:r w:rsidR="1D4BC92F" w:rsidRPr="006318FB">
        <w:rPr>
          <w:rFonts w:ascii="Monserrat" w:hAnsi="Monserrat" w:cstheme="majorBidi"/>
          <w:sz w:val="22"/>
          <w:szCs w:val="22"/>
          <w:lang w:val="es-ES"/>
        </w:rPr>
        <w:t>e presentaron seis trabajos en el simposio binacional</w:t>
      </w:r>
      <w:r w:rsidR="235C8368" w:rsidRPr="006318FB">
        <w:rPr>
          <w:rFonts w:ascii="Monserrat" w:hAnsi="Monserrat" w:cstheme="majorBidi"/>
          <w:sz w:val="22"/>
          <w:szCs w:val="22"/>
          <w:lang w:val="es-ES"/>
        </w:rPr>
        <w:t xml:space="preserve">, </w:t>
      </w:r>
      <w:r w:rsidR="1D4BC92F" w:rsidRPr="006318FB">
        <w:rPr>
          <w:rFonts w:ascii="Monserrat" w:hAnsi="Monserrat" w:cstheme="majorBidi"/>
          <w:sz w:val="22"/>
          <w:szCs w:val="22"/>
          <w:lang w:val="es-ES"/>
        </w:rPr>
        <w:t>en particular, la ponencia</w:t>
      </w:r>
      <w:r w:rsidR="75DD781A" w:rsidRPr="006318FB">
        <w:rPr>
          <w:rFonts w:ascii="Monserrat" w:hAnsi="Monserrat" w:cstheme="majorBidi"/>
          <w:sz w:val="22"/>
          <w:szCs w:val="22"/>
          <w:lang w:val="es-ES"/>
        </w:rPr>
        <w:t xml:space="preserve"> con </w:t>
      </w:r>
      <w:r w:rsidR="1D4BC92F" w:rsidRPr="006318FB">
        <w:rPr>
          <w:rFonts w:ascii="Monserrat" w:hAnsi="Monserrat" w:cstheme="majorBidi"/>
          <w:sz w:val="22"/>
          <w:szCs w:val="22"/>
          <w:lang w:val="es-ES"/>
        </w:rPr>
        <w:t xml:space="preserve">colaboradores de Belice, Guatemala y </w:t>
      </w:r>
      <w:r w:rsidR="0E85BF70" w:rsidRPr="006318FB">
        <w:rPr>
          <w:rFonts w:ascii="Monserrat" w:hAnsi="Monserrat" w:cstheme="majorBidi"/>
          <w:sz w:val="22"/>
          <w:szCs w:val="22"/>
          <w:lang w:val="es-ES"/>
        </w:rPr>
        <w:t>Honduras</w:t>
      </w:r>
      <w:r w:rsidR="1D4BC92F" w:rsidRPr="006318FB">
        <w:rPr>
          <w:rFonts w:ascii="Monserrat" w:hAnsi="Monserrat" w:cstheme="majorBidi"/>
          <w:sz w:val="22"/>
          <w:szCs w:val="22"/>
          <w:lang w:val="es-ES"/>
        </w:rPr>
        <w:t xml:space="preserve"> es ejemplo de nuestra proyección científica hacia América Central</w:t>
      </w:r>
      <w:r w:rsidR="54DC4A5C" w:rsidRPr="006318FB">
        <w:rPr>
          <w:rFonts w:ascii="Monserrat" w:hAnsi="Monserrat" w:cstheme="majorBidi"/>
          <w:sz w:val="22"/>
          <w:szCs w:val="22"/>
          <w:lang w:val="es-ES"/>
        </w:rPr>
        <w:t>.</w:t>
      </w:r>
    </w:p>
    <w:p w14:paraId="5A2C24A4" w14:textId="58C1CDCC" w:rsidR="00FB6759" w:rsidRPr="006318FB" w:rsidRDefault="009B6091" w:rsidP="5D308D6A">
      <w:pPr>
        <w:spacing w:after="20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/>
          <w:sz w:val="22"/>
          <w:szCs w:val="22"/>
        </w:rPr>
        <w:lastRenderedPageBreak/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10.      No más migración por hambre o por violencia.</w:t>
      </w:r>
    </w:p>
    <w:p w14:paraId="1B063363" w14:textId="0926A977" w:rsidR="009B6091" w:rsidRPr="006318FB" w:rsidRDefault="30C3B08A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</w:rPr>
      </w:pPr>
      <w:r w:rsidRPr="006318FB">
        <w:rPr>
          <w:rFonts w:ascii="Monserrat" w:hAnsi="Monserrat" w:cstheme="majorBidi"/>
          <w:sz w:val="22"/>
          <w:szCs w:val="22"/>
          <w:lang w:val="es-419"/>
        </w:rPr>
        <w:t>En el caso del El Grupo Académico Estudios de Migración y Procesos Transfronterizos (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EMyPT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), en materia de proyectos, convenios y contratos (u otros mecanismos) y la participación en espacios interinstitucionales (consejos y comités), así como participación en proyectos y procesos que impulsen la agenda gubernamental, el Grupo ha tenido colaboración con instituciones públicas, privadas y de organizaciones de la sociedad civil nacionales como organismos y ONG internacionales. En México se ha vinculado a proyectos con gobiernos municipales, estatales y federales como los realizados en el municipio de Tapachula, estado de Yucatán, Quintana Roo,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Inmujeres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,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C</w:t>
      </w:r>
      <w:r w:rsidR="6CC09938" w:rsidRPr="006318FB">
        <w:rPr>
          <w:rFonts w:ascii="Monserrat" w:hAnsi="Monserrat" w:cstheme="majorBidi"/>
          <w:sz w:val="22"/>
          <w:szCs w:val="22"/>
          <w:lang w:val="es-419"/>
        </w:rPr>
        <w:t>onacyt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y Universidades de Centroamérica, América Latina y Europa con organizaciones de la sociedad civil en materia de migración e incidencia con grupos migrantes vulnerables. A nivel internacional en el Observatorio para el Desarrollo Sostenible del Sureste de México (ODS – Sureste de México) de la ONU-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Habitat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, Belmont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Forum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Hubs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Migration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2022: “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Integrated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Approaches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to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Human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Migration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>/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Mobility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in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an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Era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of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Rapid Global Change”. Sobresalen las participaciones en asesorías y consultorías especializadas con organismos como OXFAM,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World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Vision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,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Verité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, entre otros. Con sectores privados Cámara Nacional de las Agroindustrias Azucarera y Alcoholera y gubernamentales como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CONADESUCA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destaca la participación en proyectos de monitoreo COVID-19 con trabajadores agrícolas.</w:t>
      </w:r>
    </w:p>
    <w:p w14:paraId="26BC2800" w14:textId="2AE8D057" w:rsidR="009B6091" w:rsidRPr="006318FB" w:rsidRDefault="009B6091" w:rsidP="5D308D6A">
      <w:pPr>
        <w:spacing w:after="20" w:line="360" w:lineRule="auto"/>
        <w:jc w:val="both"/>
        <w:rPr>
          <w:rFonts w:ascii="Monserrat" w:hAnsi="Monserrat" w:cstheme="majorBidi"/>
          <w:sz w:val="22"/>
          <w:szCs w:val="22"/>
          <w:lang w:val="es-ES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sz w:val="22"/>
          <w:szCs w:val="22"/>
          <w:lang w:val="es-ES"/>
        </w:rPr>
        <w:t xml:space="preserve">   </w:t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11.      Democracia significa el poder del pueblo.</w:t>
      </w:r>
    </w:p>
    <w:p w14:paraId="04090B9B" w14:textId="539EA41E" w:rsidR="00CD668F" w:rsidRPr="006318FB" w:rsidRDefault="393FBDBB" w:rsidP="5D308D6A">
      <w:pPr>
        <w:spacing w:after="20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La participación del personal académico se están realizando por medio de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PRONACES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y otros proyectos con incidencia nacional, en busca alternativas a viejos problemas, que han tendido a agudizarse en la región, por ejemplo, la extrema pobreza y desigualdad social, por medio del trabajo de la soberanía alimentaria, reflexiones sobre el tren maya y un mayor conocimiento sobre los hidrocarburos, así como del importante conocimiento sobre la flora y fauna regional en forma de medicina herbolaria, alternativas y estudios sobre las organizaciones sociales y movilidades sociales.</w:t>
      </w:r>
    </w:p>
    <w:p w14:paraId="5D05FE6B" w14:textId="5974DD52" w:rsidR="00CD668F" w:rsidRPr="006318FB" w:rsidRDefault="009B6091" w:rsidP="5D308D6A">
      <w:pPr>
        <w:spacing w:after="200" w:line="276" w:lineRule="auto"/>
        <w:jc w:val="both"/>
        <w:rPr>
          <w:rFonts w:ascii="Monserrat" w:hAnsi="Monserrat" w:cstheme="majorBidi"/>
          <w:b/>
          <w:bCs/>
          <w:sz w:val="22"/>
          <w:szCs w:val="22"/>
          <w:lang w:val="es-ES"/>
        </w:rPr>
      </w:pPr>
      <w:r w:rsidRPr="006318FB">
        <w:rPr>
          <w:rFonts w:ascii="Monserrat" w:hAnsi="Monserrat"/>
          <w:sz w:val="22"/>
          <w:szCs w:val="22"/>
        </w:rPr>
        <w:br/>
      </w:r>
      <w:r w:rsidRPr="006318FB">
        <w:rPr>
          <w:rFonts w:ascii="Monserrat" w:hAnsi="Monserrat" w:cstheme="majorBidi"/>
          <w:b/>
          <w:bCs/>
          <w:sz w:val="22"/>
          <w:szCs w:val="22"/>
          <w:lang w:val="es-ES"/>
        </w:rPr>
        <w:t>   12.      Ética, libertad, confianza.</w:t>
      </w:r>
    </w:p>
    <w:p w14:paraId="3656B9AB" w14:textId="7B08A70A" w:rsidR="00FB6759" w:rsidRPr="006318FB" w:rsidRDefault="46E96C6A" w:rsidP="5D308D6A">
      <w:pPr>
        <w:spacing w:after="20" w:line="276" w:lineRule="auto"/>
        <w:jc w:val="both"/>
        <w:rPr>
          <w:rFonts w:ascii="Monserrat" w:hAnsi="Monserrat" w:cstheme="majorBidi"/>
          <w:sz w:val="22"/>
          <w:szCs w:val="22"/>
        </w:rPr>
      </w:pPr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Se elaboró un Programa transversal interno para un ECOSUR igualitario e incluyente, cuya función principal es articular los esfuerzos de las diferentes áreas y su personal al interior de la institución, para avanzar en materia de igualdad y no discriminación, así como visibilizar la diversidad de necesidades de las personas que integran la comunidad de ECOSUR. Para ello se estructuraron 5 ejes y 29 acciones puntuales a desarrollar durante los próximos años, que buscan articular los diversos programas vigentes para ECOSUR en la materia como son el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PROIGUALDAD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, el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PRONAIND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 xml:space="preserve"> y el </w:t>
      </w:r>
      <w:proofErr w:type="spellStart"/>
      <w:r w:rsidRPr="006318FB">
        <w:rPr>
          <w:rFonts w:ascii="Monserrat" w:hAnsi="Monserrat" w:cstheme="majorBidi"/>
          <w:sz w:val="22"/>
          <w:szCs w:val="22"/>
          <w:lang w:val="es-419"/>
        </w:rPr>
        <w:t>PNCCIMGP</w:t>
      </w:r>
      <w:proofErr w:type="spellEnd"/>
      <w:r w:rsidRPr="006318FB">
        <w:rPr>
          <w:rFonts w:ascii="Monserrat" w:hAnsi="Monserrat" w:cstheme="majorBidi"/>
          <w:sz w:val="22"/>
          <w:szCs w:val="22"/>
          <w:lang w:val="es-419"/>
        </w:rPr>
        <w:t>; así como los esfuerzos propios de la institución para instalar en ECOSUR una política de igualdad e inclusión.</w:t>
      </w:r>
    </w:p>
    <w:p w14:paraId="62EBF3C5" w14:textId="0D9330A0" w:rsidR="00FB6759" w:rsidRPr="006318FB" w:rsidRDefault="00FB6759" w:rsidP="027DCC1E">
      <w:pPr>
        <w:rPr>
          <w:rFonts w:ascii="Monserrat" w:hAnsi="Monserrat"/>
          <w:sz w:val="22"/>
          <w:szCs w:val="22"/>
        </w:rPr>
      </w:pPr>
    </w:p>
    <w:sectPr w:rsidR="00FB6759" w:rsidRPr="006318FB" w:rsidSect="00004C7C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B805" w14:textId="77777777" w:rsidR="00DA5418" w:rsidRDefault="00DA5418" w:rsidP="00004C7C">
      <w:r>
        <w:separator/>
      </w:r>
    </w:p>
  </w:endnote>
  <w:endnote w:type="continuationSeparator" w:id="0">
    <w:p w14:paraId="6E8CEDA4" w14:textId="77777777" w:rsidR="00DA5418" w:rsidRDefault="00DA5418" w:rsidP="0000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004C7C" w:rsidRDefault="00004C7C" w:rsidP="0022505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997CC1D" w14:textId="77777777" w:rsidR="00004C7C" w:rsidRDefault="00004C7C" w:rsidP="00004C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17EE66F" w:rsidR="00004C7C" w:rsidRDefault="00004C7C" w:rsidP="3A911F7C">
    <w:pPr>
      <w:pStyle w:val="Piedepgina"/>
      <w:framePr w:wrap="none" w:vAnchor="text" w:hAnchor="margin" w:xAlign="right" w:y="1"/>
      <w:rPr>
        <w:rStyle w:val="Nmerodepgina"/>
        <w:noProof/>
      </w:rPr>
    </w:pPr>
  </w:p>
  <w:p w14:paraId="5A0AD7AE" w14:textId="5EAFBE9C" w:rsidR="00004C7C" w:rsidRPr="004E32C1" w:rsidRDefault="3A911F7C" w:rsidP="3A911F7C">
    <w:pPr>
      <w:pStyle w:val="Piedepgina"/>
      <w:ind w:right="360"/>
      <w:jc w:val="center"/>
      <w:rPr>
        <w:rFonts w:ascii="Candara" w:eastAsia="Batang" w:hAnsi="Candara"/>
        <w:b/>
        <w:bCs/>
        <w:i/>
        <w:iCs/>
        <w:color w:val="A6A6A6" w:themeColor="background1" w:themeShade="A6"/>
        <w:sz w:val="18"/>
        <w:szCs w:val="18"/>
      </w:rPr>
    </w:pPr>
    <w:r w:rsidRPr="3A911F7C">
      <w:rPr>
        <w:rFonts w:ascii="Candara" w:eastAsia="Batang" w:hAnsi="Candara"/>
        <w:b/>
        <w:bCs/>
        <w:i/>
        <w:iCs/>
        <w:color w:val="A6A6A6" w:themeColor="background1" w:themeShade="A6"/>
        <w:sz w:val="18"/>
        <w:szCs w:val="18"/>
      </w:rPr>
      <w:t>Segunda Sesión Ordinaria de la Junta de Gobierno 2022</w:t>
    </w:r>
  </w:p>
  <w:p w14:paraId="6D98A12B" w14:textId="77777777" w:rsidR="00004C7C" w:rsidRDefault="00004C7C">
    <w:pPr>
      <w:pStyle w:val="Piedepgina"/>
    </w:pPr>
  </w:p>
  <w:p w14:paraId="2946DB82" w14:textId="77777777" w:rsidR="00004C7C" w:rsidRDefault="00004C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34A6" w14:textId="77777777" w:rsidR="00DA5418" w:rsidRDefault="00DA5418" w:rsidP="00004C7C">
      <w:r>
        <w:separator/>
      </w:r>
    </w:p>
  </w:footnote>
  <w:footnote w:type="continuationSeparator" w:id="0">
    <w:p w14:paraId="37ECDD26" w14:textId="77777777" w:rsidR="00DA5418" w:rsidRDefault="00DA5418" w:rsidP="0000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7564" w14:textId="24E48693" w:rsidR="00004C7C" w:rsidRDefault="3A911F7C">
    <w:pPr>
      <w:pStyle w:val="Encabezado"/>
    </w:pPr>
    <w:r>
      <w:rPr>
        <w:noProof/>
      </w:rPr>
      <w:drawing>
        <wp:inline distT="0" distB="0" distL="0" distR="0" wp14:anchorId="463AF1D4" wp14:editId="0CA3CCC4">
          <wp:extent cx="5610224" cy="1009650"/>
          <wp:effectExtent l="0" t="0" r="0" b="0"/>
          <wp:docPr id="1407008181" name="Imagen 1407008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4C7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2799"/>
    <w:multiLevelType w:val="hybridMultilevel"/>
    <w:tmpl w:val="26BC63AE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43085"/>
    <w:multiLevelType w:val="multilevel"/>
    <w:tmpl w:val="4C54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083244">
    <w:abstractNumId w:val="1"/>
  </w:num>
  <w:num w:numId="2" w16cid:durableId="152851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91"/>
    <w:rsid w:val="00004C7C"/>
    <w:rsid w:val="001D21E5"/>
    <w:rsid w:val="001E2A2F"/>
    <w:rsid w:val="00201BCD"/>
    <w:rsid w:val="002A1994"/>
    <w:rsid w:val="00552533"/>
    <w:rsid w:val="006318FB"/>
    <w:rsid w:val="00755ED2"/>
    <w:rsid w:val="00794995"/>
    <w:rsid w:val="0089412D"/>
    <w:rsid w:val="00955868"/>
    <w:rsid w:val="009B6091"/>
    <w:rsid w:val="009C3F8F"/>
    <w:rsid w:val="009E05C1"/>
    <w:rsid w:val="00A31408"/>
    <w:rsid w:val="00A55A15"/>
    <w:rsid w:val="00A61EDF"/>
    <w:rsid w:val="00A65F08"/>
    <w:rsid w:val="00BC1469"/>
    <w:rsid w:val="00BF3C06"/>
    <w:rsid w:val="00C416B7"/>
    <w:rsid w:val="00CD668F"/>
    <w:rsid w:val="00D87F10"/>
    <w:rsid w:val="00DA5418"/>
    <w:rsid w:val="00E15A37"/>
    <w:rsid w:val="00EF644C"/>
    <w:rsid w:val="00F73E12"/>
    <w:rsid w:val="00FB34A9"/>
    <w:rsid w:val="00FB6759"/>
    <w:rsid w:val="01901A2F"/>
    <w:rsid w:val="027DCC1E"/>
    <w:rsid w:val="033F3448"/>
    <w:rsid w:val="043CD8F2"/>
    <w:rsid w:val="054461B7"/>
    <w:rsid w:val="08BC3016"/>
    <w:rsid w:val="0998D9F0"/>
    <w:rsid w:val="0E85BF70"/>
    <w:rsid w:val="0ECD04FC"/>
    <w:rsid w:val="10D70027"/>
    <w:rsid w:val="15CF90BB"/>
    <w:rsid w:val="167BF0CE"/>
    <w:rsid w:val="16A888AE"/>
    <w:rsid w:val="1976B930"/>
    <w:rsid w:val="19A298C6"/>
    <w:rsid w:val="1CD209F5"/>
    <w:rsid w:val="1D4BC92F"/>
    <w:rsid w:val="235C8368"/>
    <w:rsid w:val="240A87A7"/>
    <w:rsid w:val="2768258F"/>
    <w:rsid w:val="2D2EFCF5"/>
    <w:rsid w:val="2E5F84A1"/>
    <w:rsid w:val="30C3B08A"/>
    <w:rsid w:val="31837E21"/>
    <w:rsid w:val="34C37F9B"/>
    <w:rsid w:val="393FBDBB"/>
    <w:rsid w:val="3A911F7C"/>
    <w:rsid w:val="3C21BEB5"/>
    <w:rsid w:val="3E3319F4"/>
    <w:rsid w:val="3E903C26"/>
    <w:rsid w:val="40687F73"/>
    <w:rsid w:val="43B6860B"/>
    <w:rsid w:val="45AF980F"/>
    <w:rsid w:val="46E96C6A"/>
    <w:rsid w:val="49238C4C"/>
    <w:rsid w:val="4BFE8A24"/>
    <w:rsid w:val="53DEFAA3"/>
    <w:rsid w:val="54A93CA9"/>
    <w:rsid w:val="54DC4A5C"/>
    <w:rsid w:val="58D02D43"/>
    <w:rsid w:val="5D308D6A"/>
    <w:rsid w:val="6B99E32E"/>
    <w:rsid w:val="6C8D9AC5"/>
    <w:rsid w:val="6CC09938"/>
    <w:rsid w:val="6DBC3D0D"/>
    <w:rsid w:val="721C57FE"/>
    <w:rsid w:val="75DD781A"/>
    <w:rsid w:val="7679D99C"/>
    <w:rsid w:val="77E38C14"/>
    <w:rsid w:val="7A8197B8"/>
    <w:rsid w:val="7EA4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5B4114"/>
  <w15:chartTrackingRefBased/>
  <w15:docId w15:val="{5FD03C13-E205-D144-A4C9-2810D736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91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15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B60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B609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A65F08"/>
  </w:style>
  <w:style w:type="character" w:styleId="Hipervnculo">
    <w:name w:val="Hyperlink"/>
    <w:basedOn w:val="Fuentedeprrafopredeter"/>
    <w:uiPriority w:val="99"/>
    <w:unhideWhenUsed/>
    <w:rsid w:val="009558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58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04C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4C7C"/>
    <w:rPr>
      <w:rFonts w:ascii="Times New Roman" w:eastAsia="Times New Roman" w:hAnsi="Times New Roman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04C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C7C"/>
    <w:rPr>
      <w:rFonts w:ascii="Times New Roman" w:eastAsia="Times New Roman" w:hAnsi="Times New Roman" w:cs="Times New Roman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004C7C"/>
  </w:style>
  <w:style w:type="character" w:customStyle="1" w:styleId="Ttulo1Car">
    <w:name w:val="Título 1 Car"/>
    <w:basedOn w:val="Fuentedeprrafopredeter"/>
    <w:link w:val="Ttulo1"/>
    <w:uiPriority w:val="9"/>
    <w:rsid w:val="00E15A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Alicia Quiroga Carapia</dc:creator>
  <cp:keywords/>
  <dc:description/>
  <cp:lastModifiedBy>Elizabeth Torres Suarez</cp:lastModifiedBy>
  <cp:revision>3</cp:revision>
  <cp:lastPrinted>2022-09-27T22:56:00Z</cp:lastPrinted>
  <dcterms:created xsi:type="dcterms:W3CDTF">2022-09-21T15:58:00Z</dcterms:created>
  <dcterms:modified xsi:type="dcterms:W3CDTF">2022-09-27T22:56:00Z</dcterms:modified>
</cp:coreProperties>
</file>