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020E" w14:textId="77777777" w:rsidR="001219ED" w:rsidRPr="00823400" w:rsidRDefault="0413D42C" w:rsidP="5CE0AE33">
      <w:pPr>
        <w:spacing w:line="276" w:lineRule="auto"/>
        <w:jc w:val="both"/>
        <w:rPr>
          <w:rFonts w:ascii="Montserrat" w:eastAsia="Montserrat" w:hAnsi="Montserrat" w:cs="Montserrat"/>
          <w:b/>
          <w:bCs/>
          <w:color w:val="000000" w:themeColor="text1"/>
          <w:sz w:val="22"/>
          <w:szCs w:val="22"/>
          <w:lang w:val="es-ES"/>
        </w:rPr>
      </w:pPr>
      <w:r w:rsidRPr="5CE0AE33">
        <w:rPr>
          <w:rFonts w:ascii="Montserrat" w:eastAsia="Montserrat" w:hAnsi="Montserrat" w:cs="Montserrat"/>
          <w:b/>
          <w:bCs/>
          <w:color w:val="000000" w:themeColor="text1"/>
          <w:sz w:val="22"/>
          <w:szCs w:val="22"/>
        </w:rPr>
        <w:t xml:space="preserve">5.16 </w:t>
      </w:r>
      <w:r w:rsidRPr="5CE0AE33">
        <w:rPr>
          <w:rFonts w:ascii="Montserrat" w:eastAsia="Montserrat" w:hAnsi="Montserrat" w:cs="Montserrat"/>
          <w:b/>
          <w:bCs/>
          <w:color w:val="000000" w:themeColor="text1"/>
          <w:sz w:val="22"/>
          <w:szCs w:val="22"/>
          <w:lang w:val="es-ES"/>
        </w:rPr>
        <w:t>Cumplimiento al Plan Nacional de Desarrollo (alineación a planes institucionales, criterios, metas e indicadores)</w:t>
      </w:r>
    </w:p>
    <w:p w14:paraId="6E63B89C" w14:textId="77777777" w:rsidR="001219ED" w:rsidRDefault="001219ED" w:rsidP="5CE0AE33">
      <w:pPr>
        <w:pStyle w:val="paragraph"/>
        <w:spacing w:before="0" w:beforeAutospacing="0" w:after="0" w:afterAutospacing="0" w:line="276" w:lineRule="auto"/>
        <w:textAlignment w:val="baseline"/>
        <w:rPr>
          <w:rFonts w:ascii="Montserrat" w:eastAsia="Montserrat" w:hAnsi="Montserrat" w:cs="Montserrat"/>
          <w:color w:val="000000" w:themeColor="text1"/>
          <w:sz w:val="22"/>
          <w:szCs w:val="22"/>
        </w:rPr>
      </w:pPr>
    </w:p>
    <w:p w14:paraId="02AE3D99" w14:textId="7AC8F450" w:rsidR="001219ED" w:rsidRPr="00823400" w:rsidRDefault="0413D42C" w:rsidP="5CE0AE33">
      <w:pPr>
        <w:spacing w:line="276" w:lineRule="auto"/>
        <w:jc w:val="both"/>
        <w:rPr>
          <w:rFonts w:ascii="Montserrat" w:eastAsia="Montserrat" w:hAnsi="Montserrat" w:cs="Montserrat"/>
          <w:color w:val="000000" w:themeColor="text1"/>
          <w:sz w:val="22"/>
          <w:szCs w:val="22"/>
          <w:lang w:val="es-ES"/>
        </w:rPr>
      </w:pPr>
      <w:r w:rsidRPr="5CE0AE33">
        <w:rPr>
          <w:rFonts w:ascii="Montserrat" w:eastAsia="Montserrat" w:hAnsi="Montserrat" w:cs="Montserrat"/>
          <w:color w:val="000000" w:themeColor="text1"/>
          <w:sz w:val="22"/>
          <w:szCs w:val="22"/>
          <w:lang w:val="es-ES"/>
        </w:rPr>
        <w:t>ECOSUR es un centro público de investigación, cuya creación ha sido para contribuir al desarrollo sustentable de la frontera sur de México, Centroamérica y el Caribe a través de la generación de conocimientos, la formación de recursos humanos y la vinculación desde las ciencias sociales y naturales. En este sentido, la alineación a los ejes generales contenidos en el P</w:t>
      </w:r>
      <w:r w:rsidR="285580DD" w:rsidRPr="5CE0AE33">
        <w:rPr>
          <w:rFonts w:ascii="Montserrat" w:eastAsia="Montserrat" w:hAnsi="Montserrat" w:cs="Montserrat"/>
          <w:color w:val="000000" w:themeColor="text1"/>
          <w:sz w:val="22"/>
          <w:szCs w:val="22"/>
          <w:lang w:val="es-ES"/>
        </w:rPr>
        <w:t xml:space="preserve">lan </w:t>
      </w:r>
      <w:r w:rsidRPr="5CE0AE33">
        <w:rPr>
          <w:rFonts w:ascii="Montserrat" w:eastAsia="Montserrat" w:hAnsi="Montserrat" w:cs="Montserrat"/>
          <w:color w:val="000000" w:themeColor="text1"/>
          <w:sz w:val="22"/>
          <w:szCs w:val="22"/>
          <w:lang w:val="es-ES"/>
        </w:rPr>
        <w:t>N</w:t>
      </w:r>
      <w:r w:rsidR="285580DD" w:rsidRPr="5CE0AE33">
        <w:rPr>
          <w:rFonts w:ascii="Montserrat" w:eastAsia="Montserrat" w:hAnsi="Montserrat" w:cs="Montserrat"/>
          <w:color w:val="000000" w:themeColor="text1"/>
          <w:sz w:val="22"/>
          <w:szCs w:val="22"/>
          <w:lang w:val="es-ES"/>
        </w:rPr>
        <w:t xml:space="preserve">acional de </w:t>
      </w:r>
      <w:r w:rsidRPr="5CE0AE33">
        <w:rPr>
          <w:rFonts w:ascii="Montserrat" w:eastAsia="Montserrat" w:hAnsi="Montserrat" w:cs="Montserrat"/>
          <w:color w:val="000000" w:themeColor="text1"/>
          <w:sz w:val="22"/>
          <w:szCs w:val="22"/>
          <w:lang w:val="es-ES"/>
        </w:rPr>
        <w:t>D</w:t>
      </w:r>
      <w:r w:rsidR="285580DD" w:rsidRPr="5CE0AE33">
        <w:rPr>
          <w:rFonts w:ascii="Montserrat" w:eastAsia="Montserrat" w:hAnsi="Montserrat" w:cs="Montserrat"/>
          <w:color w:val="000000" w:themeColor="text1"/>
          <w:sz w:val="22"/>
          <w:szCs w:val="22"/>
          <w:lang w:val="es-ES"/>
        </w:rPr>
        <w:t>esarrollo 2019-2024</w:t>
      </w:r>
      <w:r w:rsidRPr="5CE0AE33">
        <w:rPr>
          <w:rFonts w:ascii="Montserrat" w:eastAsia="Montserrat" w:hAnsi="Montserrat" w:cs="Montserrat"/>
          <w:color w:val="000000" w:themeColor="text1"/>
          <w:sz w:val="22"/>
          <w:szCs w:val="22"/>
          <w:lang w:val="es-ES"/>
        </w:rPr>
        <w:t xml:space="preserve">, se describen a continuación. </w:t>
      </w:r>
    </w:p>
    <w:p w14:paraId="717DD30C" w14:textId="77777777" w:rsidR="001219ED" w:rsidRPr="00E33CD4" w:rsidRDefault="001219ED" w:rsidP="5CE0AE33">
      <w:pPr>
        <w:spacing w:line="276" w:lineRule="auto"/>
        <w:jc w:val="both"/>
        <w:rPr>
          <w:rFonts w:ascii="Montserrat" w:eastAsia="Montserrat" w:hAnsi="Montserrat" w:cs="Montserrat"/>
          <w:color w:val="000000" w:themeColor="text1"/>
          <w:sz w:val="22"/>
          <w:szCs w:val="22"/>
        </w:rPr>
      </w:pPr>
    </w:p>
    <w:p w14:paraId="0316639C" w14:textId="77777777" w:rsidR="001219ED" w:rsidRPr="00E33CD4" w:rsidRDefault="0413D42C" w:rsidP="5CE0AE33">
      <w:pPr>
        <w:spacing w:line="276" w:lineRule="auto"/>
        <w:jc w:val="center"/>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Eje General Bienestar</w:t>
      </w:r>
    </w:p>
    <w:p w14:paraId="0CF7FF9D" w14:textId="77777777" w:rsidR="001219ED" w:rsidRPr="00E33CD4" w:rsidRDefault="001219ED" w:rsidP="5CE0AE33">
      <w:pPr>
        <w:spacing w:line="276" w:lineRule="auto"/>
        <w:jc w:val="both"/>
        <w:rPr>
          <w:rFonts w:ascii="Montserrat" w:eastAsia="Montserrat" w:hAnsi="Montserrat" w:cs="Montserrat"/>
          <w:color w:val="000000" w:themeColor="text1"/>
          <w:sz w:val="22"/>
          <w:szCs w:val="22"/>
        </w:rPr>
      </w:pPr>
    </w:p>
    <w:p w14:paraId="2115D666" w14:textId="143A52EC" w:rsidR="001219ED" w:rsidRPr="00D11277" w:rsidRDefault="0413D42C" w:rsidP="5CE0AE33">
      <w:pPr>
        <w:spacing w:line="276" w:lineRule="auto"/>
        <w:jc w:val="both"/>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Objetivo 2.2 Garantizar el derecho a la educación laica, gratuita, incluyente, pertinente y de calidad en todos los tipos, niveles y modalidades del Sistema Educativo Nacional y para todas las personas.</w:t>
      </w:r>
    </w:p>
    <w:p w14:paraId="1C8BF3A4" w14:textId="400E8E21" w:rsidR="00823400" w:rsidRDefault="00823400" w:rsidP="5CE0AE33">
      <w:pPr>
        <w:spacing w:line="276" w:lineRule="auto"/>
        <w:jc w:val="both"/>
        <w:rPr>
          <w:rFonts w:ascii="Montserrat" w:eastAsia="Montserrat" w:hAnsi="Montserrat" w:cs="Montserrat"/>
          <w:color w:val="000000" w:themeColor="text1"/>
          <w:sz w:val="22"/>
          <w:szCs w:val="22"/>
        </w:rPr>
      </w:pPr>
    </w:p>
    <w:p w14:paraId="6070F6AB" w14:textId="02AB1FAE" w:rsidR="6DA177B7" w:rsidRDefault="71D44AE6" w:rsidP="5CE0AE33">
      <w:pPr>
        <w:spacing w:line="276" w:lineRule="auto"/>
        <w:jc w:val="both"/>
        <w:rPr>
          <w:rFonts w:ascii="Montserrat" w:eastAsia="Montserrat" w:hAnsi="Montserrat" w:cs="Montserrat"/>
          <w:color w:val="000000" w:themeColor="text1"/>
          <w:sz w:val="22"/>
          <w:szCs w:val="22"/>
        </w:rPr>
      </w:pPr>
      <w:r w:rsidRPr="5CE0AE33">
        <w:rPr>
          <w:rFonts w:ascii="Montserrat" w:eastAsia="Montserrat" w:hAnsi="Montserrat" w:cs="Montserrat"/>
          <w:color w:val="000000" w:themeColor="text1"/>
          <w:sz w:val="22"/>
          <w:szCs w:val="22"/>
        </w:rPr>
        <w:t xml:space="preserve">La acción clave de nuestro </w:t>
      </w:r>
      <w:r w:rsidR="4563B9AA" w:rsidRPr="5CE0AE33">
        <w:rPr>
          <w:rFonts w:ascii="Montserrat" w:eastAsia="Montserrat" w:hAnsi="Montserrat" w:cs="Montserrat"/>
          <w:color w:val="000000" w:themeColor="text1"/>
          <w:sz w:val="22"/>
          <w:szCs w:val="22"/>
        </w:rPr>
        <w:t>Posgrado en 2022</w:t>
      </w:r>
      <w:r w:rsidRPr="5CE0AE33">
        <w:rPr>
          <w:rFonts w:ascii="Montserrat" w:eastAsia="Montserrat" w:hAnsi="Montserrat" w:cs="Montserrat"/>
          <w:color w:val="000000" w:themeColor="text1"/>
          <w:sz w:val="22"/>
          <w:szCs w:val="22"/>
        </w:rPr>
        <w:t xml:space="preserve"> fue la apertura de Maestría en Agroecología, pues se acompañó de un programa de incidencia, también tuvo un ejercicio de </w:t>
      </w:r>
      <w:proofErr w:type="spellStart"/>
      <w:r w:rsidRPr="5CE0AE33">
        <w:rPr>
          <w:rFonts w:ascii="Montserrat" w:eastAsia="Montserrat" w:hAnsi="Montserrat" w:cs="Montserrat"/>
          <w:color w:val="000000" w:themeColor="text1"/>
          <w:sz w:val="22"/>
          <w:szCs w:val="22"/>
        </w:rPr>
        <w:t>microfinanciamiento</w:t>
      </w:r>
      <w:proofErr w:type="spellEnd"/>
      <w:r w:rsidRPr="5CE0AE33">
        <w:rPr>
          <w:rFonts w:ascii="Montserrat" w:eastAsia="Montserrat" w:hAnsi="Montserrat" w:cs="Montserrat"/>
          <w:color w:val="000000" w:themeColor="text1"/>
          <w:sz w:val="22"/>
          <w:szCs w:val="22"/>
        </w:rPr>
        <w:t xml:space="preserve">. En marzo 2022 recibieron a 11 estudiantes, la característica principal del programa es que sus tesis están insertas en una pluralidad de experiencias educativas y organizativas campesinas: La Marcha Mundial de las Mujeres-Chile, Asociación de Trabajadores del Campo, Conciencia e Investigación para la salud A.C, El Instituto de Educación Superior en Desarrollo Humano Sustentable, </w:t>
      </w:r>
      <w:proofErr w:type="spellStart"/>
      <w:r w:rsidRPr="5CE0AE33">
        <w:rPr>
          <w:rFonts w:ascii="Montserrat" w:eastAsia="Montserrat" w:hAnsi="Montserrat" w:cs="Montserrat"/>
          <w:color w:val="000000" w:themeColor="text1"/>
          <w:sz w:val="22"/>
          <w:szCs w:val="22"/>
        </w:rPr>
        <w:t>Moxviquil</w:t>
      </w:r>
      <w:proofErr w:type="spellEnd"/>
      <w:r w:rsidRPr="5CE0AE33">
        <w:rPr>
          <w:rFonts w:ascii="Montserrat" w:eastAsia="Montserrat" w:hAnsi="Montserrat" w:cs="Montserrat"/>
          <w:color w:val="000000" w:themeColor="text1"/>
          <w:sz w:val="22"/>
          <w:szCs w:val="22"/>
        </w:rPr>
        <w:t xml:space="preserve"> A.C., La Sociedad cooperativa. Construir en raíces, Los Institutos Agroecológicos Latinoamericanos (IALA), Instituto para el Desarrollo Sustentable en Mesoamérica A.C., Solidaridad y lucha por un mundo diferente (SOLMUNDI A.C.), La Asociación Policarpa Paramo, La Coordinadora Latinoamericana de Organizaciones del Campo (CLOC) y La vía Campesina, Asociación de Prosumidores Agroecológicos </w:t>
      </w:r>
      <w:proofErr w:type="spellStart"/>
      <w:r w:rsidRPr="5CE0AE33">
        <w:rPr>
          <w:rFonts w:ascii="Montserrat" w:eastAsia="Montserrat" w:hAnsi="Montserrat" w:cs="Montserrat"/>
          <w:color w:val="000000" w:themeColor="text1"/>
          <w:sz w:val="22"/>
          <w:szCs w:val="22"/>
        </w:rPr>
        <w:t>Agrosolidaria</w:t>
      </w:r>
      <w:proofErr w:type="spellEnd"/>
      <w:r w:rsidRPr="5CE0AE33">
        <w:rPr>
          <w:rFonts w:ascii="Montserrat" w:eastAsia="Montserrat" w:hAnsi="Montserrat" w:cs="Montserrat"/>
          <w:color w:val="000000" w:themeColor="text1"/>
          <w:sz w:val="22"/>
          <w:szCs w:val="22"/>
        </w:rPr>
        <w:t xml:space="preserve"> Seccional Socotá-Boyacá.  Para solventar gastos de campo de la maestría se logró la primera recaudación de fondos con </w:t>
      </w:r>
      <w:proofErr w:type="spellStart"/>
      <w:proofErr w:type="gramStart"/>
      <w:r w:rsidRPr="5CE0AE33">
        <w:rPr>
          <w:rFonts w:ascii="Montserrat" w:eastAsia="Montserrat" w:hAnsi="Montserrat" w:cs="Montserrat"/>
          <w:color w:val="000000" w:themeColor="text1"/>
          <w:sz w:val="22"/>
          <w:szCs w:val="22"/>
        </w:rPr>
        <w:t>microfinanciación</w:t>
      </w:r>
      <w:proofErr w:type="spellEnd"/>
      <w:r w:rsidRPr="5CE0AE33">
        <w:rPr>
          <w:rFonts w:ascii="Montserrat" w:eastAsia="Montserrat" w:hAnsi="Montserrat" w:cs="Montserrat"/>
          <w:color w:val="000000" w:themeColor="text1"/>
          <w:sz w:val="22"/>
          <w:szCs w:val="22"/>
        </w:rPr>
        <w:t>  con</w:t>
      </w:r>
      <w:proofErr w:type="gramEnd"/>
      <w:r w:rsidRPr="5CE0AE33">
        <w:rPr>
          <w:rFonts w:ascii="Montserrat" w:eastAsia="Montserrat" w:hAnsi="Montserrat" w:cs="Montserrat"/>
          <w:color w:val="000000" w:themeColor="text1"/>
          <w:sz w:val="22"/>
          <w:szCs w:val="22"/>
        </w:rPr>
        <w:t xml:space="preserve"> </w:t>
      </w:r>
      <w:proofErr w:type="spellStart"/>
      <w:r w:rsidRPr="5CE0AE33">
        <w:rPr>
          <w:rFonts w:ascii="Montserrat" w:eastAsia="Montserrat" w:hAnsi="Montserrat" w:cs="Montserrat"/>
          <w:color w:val="000000" w:themeColor="text1"/>
          <w:sz w:val="22"/>
          <w:szCs w:val="22"/>
        </w:rPr>
        <w:t>Grow</w:t>
      </w:r>
      <w:proofErr w:type="spellEnd"/>
      <w:r w:rsidRPr="5CE0AE33">
        <w:rPr>
          <w:rFonts w:ascii="Montserrat" w:eastAsia="Montserrat" w:hAnsi="Montserrat" w:cs="Montserrat"/>
          <w:color w:val="000000" w:themeColor="text1"/>
          <w:sz w:val="22"/>
          <w:szCs w:val="22"/>
        </w:rPr>
        <w:t xml:space="preserve"> </w:t>
      </w:r>
      <w:proofErr w:type="spellStart"/>
      <w:r w:rsidRPr="5CE0AE33">
        <w:rPr>
          <w:rFonts w:ascii="Montserrat" w:eastAsia="Montserrat" w:hAnsi="Montserrat" w:cs="Montserrat"/>
          <w:color w:val="000000" w:themeColor="text1"/>
          <w:sz w:val="22"/>
          <w:szCs w:val="22"/>
        </w:rPr>
        <w:t>Ahead</w:t>
      </w:r>
      <w:proofErr w:type="spellEnd"/>
      <w:r w:rsidRPr="5CE0AE33">
        <w:rPr>
          <w:rFonts w:ascii="Montserrat" w:eastAsia="Montserrat" w:hAnsi="Montserrat" w:cs="Montserrat"/>
          <w:color w:val="000000" w:themeColor="text1"/>
          <w:sz w:val="22"/>
          <w:szCs w:val="22"/>
        </w:rPr>
        <w:t>.  </w:t>
      </w:r>
    </w:p>
    <w:p w14:paraId="3EF8AF0A" w14:textId="77777777" w:rsidR="001219ED" w:rsidRPr="00E33CD4" w:rsidRDefault="001219ED" w:rsidP="5CE0AE33">
      <w:pPr>
        <w:spacing w:line="276" w:lineRule="auto"/>
        <w:jc w:val="both"/>
        <w:rPr>
          <w:rFonts w:ascii="Montserrat" w:eastAsia="Montserrat" w:hAnsi="Montserrat" w:cs="Montserrat"/>
          <w:color w:val="000000" w:themeColor="text1"/>
          <w:sz w:val="22"/>
          <w:szCs w:val="22"/>
        </w:rPr>
      </w:pPr>
    </w:p>
    <w:p w14:paraId="1836F9A4" w14:textId="77777777" w:rsidR="001219ED" w:rsidRPr="00D11277" w:rsidRDefault="0413D42C" w:rsidP="5CE0AE33">
      <w:pPr>
        <w:spacing w:line="276" w:lineRule="auto"/>
        <w:jc w:val="both"/>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Objetivo 2.3 Promover y garantizar el derecho a la alimentación nutritiva, suficiente y de calidad.</w:t>
      </w:r>
    </w:p>
    <w:p w14:paraId="468B293C" w14:textId="77777777" w:rsidR="001219ED" w:rsidRDefault="001219ED" w:rsidP="5CE0AE33">
      <w:pPr>
        <w:spacing w:line="276" w:lineRule="auto"/>
        <w:jc w:val="both"/>
        <w:rPr>
          <w:rFonts w:ascii="Montserrat" w:eastAsia="Montserrat" w:hAnsi="Montserrat" w:cs="Montserrat"/>
          <w:color w:val="000000" w:themeColor="text1"/>
          <w:sz w:val="22"/>
          <w:szCs w:val="22"/>
        </w:rPr>
      </w:pPr>
    </w:p>
    <w:p w14:paraId="63B9B1D8" w14:textId="77777777" w:rsidR="001219ED" w:rsidRPr="00D11277" w:rsidRDefault="0413D42C" w:rsidP="5CE0AE33">
      <w:pPr>
        <w:spacing w:line="276" w:lineRule="auto"/>
        <w:jc w:val="both"/>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lastRenderedPageBreak/>
        <w:t>Objetivo 2.4 Promover y garantizar el acceso efectivo, universal y gratuito de la población a los servicios de salud, la asistencia social y los medicamentos, bajo los principios de participación social, competencia técnica, calidad médica, pertinencia cultural y trato no discriminatorio.</w:t>
      </w:r>
    </w:p>
    <w:p w14:paraId="65E89D82" w14:textId="77777777" w:rsidR="001219ED" w:rsidRDefault="001219ED" w:rsidP="5CE0AE33">
      <w:pPr>
        <w:spacing w:line="276" w:lineRule="auto"/>
        <w:jc w:val="both"/>
        <w:rPr>
          <w:rFonts w:ascii="Montserrat" w:eastAsia="Montserrat" w:hAnsi="Montserrat" w:cs="Montserrat"/>
          <w:color w:val="000000" w:themeColor="text1"/>
          <w:sz w:val="22"/>
          <w:szCs w:val="22"/>
        </w:rPr>
      </w:pPr>
    </w:p>
    <w:p w14:paraId="4E8AE007" w14:textId="2C3C6E6A" w:rsidR="001219ED" w:rsidRDefault="2F775F61" w:rsidP="5CE0AE33">
      <w:pPr>
        <w:spacing w:after="200" w:line="276" w:lineRule="auto"/>
        <w:jc w:val="both"/>
        <w:rPr>
          <w:rFonts w:ascii="Montserrat" w:eastAsia="Montserrat" w:hAnsi="Montserrat" w:cs="Montserrat"/>
          <w:color w:val="000000" w:themeColor="text1"/>
          <w:sz w:val="22"/>
          <w:szCs w:val="22"/>
        </w:rPr>
      </w:pPr>
      <w:r w:rsidRPr="5CE0AE33">
        <w:rPr>
          <w:rFonts w:ascii="Montserrat" w:eastAsia="Montserrat" w:hAnsi="Montserrat" w:cs="Montserrat"/>
          <w:color w:val="000000" w:themeColor="text1"/>
          <w:sz w:val="22"/>
          <w:szCs w:val="22"/>
          <w:lang w:val="es-419"/>
        </w:rPr>
        <w:t>En el primer semestre de 2022 fue autorizado y publicado el Programa Institucional de ECOSUR 2022-2024. De él se desprende el Objetivo prioritario 5: Impulsar el desempeño eficiente y la cohesión interna entre el personal académico, administrativo y estudiantil, para favorecer la vida colegiada, el buen clima organizacional y el liderazgo científico y ético en beneficio de la región, mismo que se vincula con el Objetivo estratégico 5 del PECITI de Garantizar los mecanismos de acceso universal al conocimiento científico, tecnológico y humanístico y sus beneficios a todos los sectores de la población, particularmente a los grupos subrepresentados como base del bienestar social. Dentro de este contexto, el punto 4 abunda en avanzar hacia una política institucional y transversal de igualdad y no discriminación mediante el desarrollo de instrumentos y procesos que favorezcan la equidad, reduzcan las desigualdades e impliquen la aplicación de la cero tolerancia al hostigamiento y acoso sexual.</w:t>
      </w:r>
    </w:p>
    <w:p w14:paraId="3943BFA3" w14:textId="633B9B46" w:rsidR="001219ED" w:rsidRDefault="001219ED" w:rsidP="5CE0AE33">
      <w:pPr>
        <w:spacing w:line="276" w:lineRule="auto"/>
        <w:jc w:val="both"/>
        <w:rPr>
          <w:rFonts w:ascii="Montserrat" w:eastAsia="Montserrat" w:hAnsi="Montserrat" w:cs="Montserrat"/>
          <w:color w:val="000000" w:themeColor="text1"/>
          <w:sz w:val="22"/>
          <w:szCs w:val="22"/>
        </w:rPr>
      </w:pPr>
    </w:p>
    <w:p w14:paraId="771BA960" w14:textId="77777777" w:rsidR="001219ED" w:rsidRPr="00D11277" w:rsidRDefault="0413D42C" w:rsidP="5CE0AE33">
      <w:pPr>
        <w:spacing w:line="276" w:lineRule="auto"/>
        <w:jc w:val="both"/>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Objetivo 2.5 Garantizar el derecho a un medio ambiente sano con enfoque de sostenibilidad de los ecosistemas, la biodiversidad, el patrimonio y los paisajes bioculturales.</w:t>
      </w:r>
    </w:p>
    <w:p w14:paraId="682A04AD" w14:textId="7121AA36" w:rsidR="001219ED" w:rsidRDefault="001219ED" w:rsidP="5CE0AE33">
      <w:pPr>
        <w:spacing w:line="276" w:lineRule="auto"/>
        <w:jc w:val="both"/>
        <w:rPr>
          <w:rFonts w:ascii="Montserrat" w:eastAsia="Montserrat" w:hAnsi="Montserrat" w:cs="Montserrat"/>
          <w:color w:val="000000" w:themeColor="text1"/>
          <w:sz w:val="22"/>
          <w:szCs w:val="22"/>
        </w:rPr>
      </w:pPr>
    </w:p>
    <w:p w14:paraId="3F5E15B8" w14:textId="24FBB900" w:rsidR="00D11277" w:rsidRPr="00D11277" w:rsidRDefault="285580DD" w:rsidP="5CE0AE33">
      <w:pPr>
        <w:spacing w:after="20" w:line="276" w:lineRule="auto"/>
        <w:jc w:val="both"/>
        <w:rPr>
          <w:rFonts w:ascii="Montserrat" w:eastAsia="Montserrat" w:hAnsi="Montserrat" w:cs="Montserrat"/>
          <w:color w:val="000000" w:themeColor="text1"/>
          <w:sz w:val="22"/>
          <w:szCs w:val="22"/>
          <w:lang w:val="es-ES"/>
        </w:rPr>
      </w:pPr>
      <w:r w:rsidRPr="5CE0AE33">
        <w:rPr>
          <w:rFonts w:ascii="Montserrat" w:eastAsia="Montserrat" w:hAnsi="Montserrat" w:cs="Montserrat"/>
          <w:color w:val="000000" w:themeColor="text1"/>
          <w:sz w:val="22"/>
          <w:szCs w:val="22"/>
          <w:lang w:val="es-ES"/>
        </w:rPr>
        <w:t xml:space="preserve">ECOSUR cuenta con cinco de sus siete departamentos académicos dedicados a la investigación, vinculación y formación de recursos humanos en los grandes temas de Biodiversidad, Sistemas Socio ecológicos con un enfoque de sostenibilidad. Un encuentro emblemático entre la diversidad disciplinaria es la Semana de Intercambio Académico, evento interno que en el 2022 se llevó a cabo del 28 de marzo al 1 de abril de 2022, en un formato híbrido. El tema elegido en este año, fue "Límites y Alcances de la Investigación en Sistemas </w:t>
      </w:r>
      <w:proofErr w:type="spellStart"/>
      <w:r w:rsidRPr="5CE0AE33">
        <w:rPr>
          <w:rFonts w:ascii="Montserrat" w:eastAsia="Montserrat" w:hAnsi="Montserrat" w:cs="Montserrat"/>
          <w:color w:val="000000" w:themeColor="text1"/>
          <w:sz w:val="22"/>
          <w:szCs w:val="22"/>
          <w:lang w:val="es-ES"/>
        </w:rPr>
        <w:t>Socioecológicos</w:t>
      </w:r>
      <w:proofErr w:type="spellEnd"/>
      <w:r w:rsidRPr="5CE0AE33">
        <w:rPr>
          <w:rFonts w:ascii="Montserrat" w:eastAsia="Montserrat" w:hAnsi="Montserrat" w:cs="Montserrat"/>
          <w:color w:val="000000" w:themeColor="text1"/>
          <w:sz w:val="22"/>
          <w:szCs w:val="22"/>
          <w:lang w:val="es-ES"/>
        </w:rPr>
        <w:t xml:space="preserve">", en las conferencias magistrales tuvimos la participación de personas con trayectoria reconocida o con papeles importantes dentro del tema, Dra. María del Pilar Blanco Parra impartió la plática “Estado de conservación de las especies de megafauna marina en el caribe mexicano: estrategias y perspectivas a futuro” el lunes 28 de marzo en la Unidad Chetumal; la Dra. Juliana </w:t>
      </w:r>
      <w:proofErr w:type="spellStart"/>
      <w:r w:rsidRPr="5CE0AE33">
        <w:rPr>
          <w:rFonts w:ascii="Montserrat" w:eastAsia="Montserrat" w:hAnsi="Montserrat" w:cs="Montserrat"/>
          <w:color w:val="000000" w:themeColor="text1"/>
          <w:sz w:val="22"/>
          <w:szCs w:val="22"/>
          <w:lang w:val="es-ES"/>
        </w:rPr>
        <w:lastRenderedPageBreak/>
        <w:t>Mercon</w:t>
      </w:r>
      <w:proofErr w:type="spellEnd"/>
      <w:r w:rsidRPr="5CE0AE33">
        <w:rPr>
          <w:rFonts w:ascii="Montserrat" w:eastAsia="Montserrat" w:hAnsi="Montserrat" w:cs="Montserrat"/>
          <w:color w:val="000000" w:themeColor="text1"/>
          <w:sz w:val="22"/>
          <w:szCs w:val="22"/>
          <w:lang w:val="es-ES"/>
        </w:rPr>
        <w:t xml:space="preserve">​​​​​​​,  participó con la conferencia denominada, “Investigación transdisciplinaria: </w:t>
      </w:r>
      <w:proofErr w:type="spellStart"/>
      <w:r w:rsidRPr="5CE0AE33">
        <w:rPr>
          <w:rFonts w:ascii="Montserrat" w:eastAsia="Montserrat" w:hAnsi="Montserrat" w:cs="Montserrat"/>
          <w:color w:val="000000" w:themeColor="text1"/>
          <w:sz w:val="22"/>
          <w:szCs w:val="22"/>
          <w:lang w:val="es-ES"/>
        </w:rPr>
        <w:t>co-creando</w:t>
      </w:r>
      <w:proofErr w:type="spellEnd"/>
      <w:r w:rsidRPr="5CE0AE33">
        <w:rPr>
          <w:rFonts w:ascii="Montserrat" w:eastAsia="Montserrat" w:hAnsi="Montserrat" w:cs="Montserrat"/>
          <w:color w:val="000000" w:themeColor="text1"/>
          <w:sz w:val="22"/>
          <w:szCs w:val="22"/>
          <w:lang w:val="es-ES"/>
        </w:rPr>
        <w:t xml:space="preserve"> saberes, prácticas y poderes hacia la transformación </w:t>
      </w:r>
      <w:proofErr w:type="spellStart"/>
      <w:r w:rsidRPr="5CE0AE33">
        <w:rPr>
          <w:rFonts w:ascii="Montserrat" w:eastAsia="Montserrat" w:hAnsi="Montserrat" w:cs="Montserrat"/>
          <w:color w:val="000000" w:themeColor="text1"/>
          <w:sz w:val="22"/>
          <w:szCs w:val="22"/>
          <w:lang w:val="es-ES"/>
        </w:rPr>
        <w:t>socioecológica</w:t>
      </w:r>
      <w:proofErr w:type="spellEnd"/>
      <w:r w:rsidRPr="5CE0AE33">
        <w:rPr>
          <w:rFonts w:ascii="Montserrat" w:eastAsia="Montserrat" w:hAnsi="Montserrat" w:cs="Montserrat"/>
          <w:color w:val="000000" w:themeColor="text1"/>
          <w:sz w:val="22"/>
          <w:szCs w:val="22"/>
          <w:lang w:val="es-ES"/>
        </w:rPr>
        <w:t xml:space="preserve">" el martes 29 de marzo desde la unidad San Cristóbal, el Dr. Gerardo </w:t>
      </w:r>
      <w:proofErr w:type="spellStart"/>
      <w:r w:rsidRPr="5CE0AE33">
        <w:rPr>
          <w:rFonts w:ascii="Montserrat" w:eastAsia="Montserrat" w:hAnsi="Montserrat" w:cs="Montserrat"/>
          <w:color w:val="000000" w:themeColor="text1"/>
          <w:sz w:val="22"/>
          <w:szCs w:val="22"/>
          <w:lang w:val="es-ES"/>
        </w:rPr>
        <w:t>Bocco</w:t>
      </w:r>
      <w:proofErr w:type="spellEnd"/>
      <w:r w:rsidRPr="5CE0AE33">
        <w:rPr>
          <w:rFonts w:ascii="Montserrat" w:eastAsia="Montserrat" w:hAnsi="Montserrat" w:cs="Montserrat"/>
          <w:color w:val="000000" w:themeColor="text1"/>
          <w:sz w:val="22"/>
          <w:szCs w:val="22"/>
          <w:lang w:val="es-ES"/>
        </w:rPr>
        <w:t xml:space="preserve">, participó con la conferencia denominada, “Interdisciplina y transdisciplina en la investigación ambiental. Retos y alcances de la incidencia esperada”, el miércoles 30 de marzo desde la Unidad Tapachula; el Dr. Edward Allan Ellis con su participación denominada, “Las selvas manejadas de la península de Yucatán: una solución natural contra el cambio climático y para el bienestar social”, desde la Unidad Villahermosa el jueves 31 de marzo y por último desde la Unidad Campeche la </w:t>
      </w:r>
      <w:proofErr w:type="spellStart"/>
      <w:r w:rsidRPr="5CE0AE33">
        <w:rPr>
          <w:rFonts w:ascii="Montserrat" w:eastAsia="Montserrat" w:hAnsi="Montserrat" w:cs="Montserrat"/>
          <w:color w:val="000000" w:themeColor="text1"/>
          <w:sz w:val="22"/>
          <w:szCs w:val="22"/>
          <w:lang w:val="es-ES"/>
        </w:rPr>
        <w:t>Biól</w:t>
      </w:r>
      <w:proofErr w:type="spellEnd"/>
      <w:r w:rsidRPr="5CE0AE33">
        <w:rPr>
          <w:rFonts w:ascii="Montserrat" w:eastAsia="Montserrat" w:hAnsi="Montserrat" w:cs="Montserrat"/>
          <w:color w:val="000000" w:themeColor="text1"/>
          <w:sz w:val="22"/>
          <w:szCs w:val="22"/>
          <w:lang w:val="es-ES"/>
        </w:rPr>
        <w:t xml:space="preserve">. Liliana Ximena López Cruz, con la conferencia titulada, " “Un camino ineludible: ciencia con incidencia”. En las mesas de discusión participaron 27 panelistas. En cuanto a la participación se registraron 730 asistentes, 255 asistentes presenciales y 2,179 visitas al portal. </w:t>
      </w:r>
    </w:p>
    <w:p w14:paraId="643126BB" w14:textId="77777777" w:rsidR="001219ED" w:rsidRDefault="001219ED" w:rsidP="5CE0AE33">
      <w:pPr>
        <w:spacing w:line="276" w:lineRule="auto"/>
        <w:jc w:val="both"/>
        <w:rPr>
          <w:rFonts w:ascii="Montserrat" w:eastAsia="Montserrat" w:hAnsi="Montserrat" w:cs="Montserrat"/>
          <w:color w:val="000000" w:themeColor="text1"/>
          <w:sz w:val="22"/>
          <w:szCs w:val="22"/>
        </w:rPr>
      </w:pPr>
    </w:p>
    <w:p w14:paraId="4CA7C3A7" w14:textId="77777777" w:rsidR="001219ED" w:rsidRPr="00D11277" w:rsidRDefault="0413D42C" w:rsidP="5CE0AE33">
      <w:pPr>
        <w:spacing w:line="276" w:lineRule="auto"/>
        <w:jc w:val="center"/>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Eje general 3. Desarrollo económico</w:t>
      </w:r>
    </w:p>
    <w:p w14:paraId="5B09B0D6" w14:textId="77777777" w:rsidR="001219ED" w:rsidRPr="00E33CD4" w:rsidRDefault="001219ED" w:rsidP="5CE0AE33">
      <w:pPr>
        <w:spacing w:line="276" w:lineRule="auto"/>
        <w:jc w:val="both"/>
        <w:rPr>
          <w:rFonts w:ascii="Montserrat" w:eastAsia="Montserrat" w:hAnsi="Montserrat" w:cs="Montserrat"/>
          <w:color w:val="000000" w:themeColor="text1"/>
          <w:sz w:val="22"/>
          <w:szCs w:val="22"/>
        </w:rPr>
      </w:pPr>
    </w:p>
    <w:p w14:paraId="1DD1F369" w14:textId="62681660" w:rsidR="001219ED" w:rsidRPr="00D11277" w:rsidRDefault="0413D42C" w:rsidP="5CE0AE33">
      <w:pPr>
        <w:pStyle w:val="paragraph"/>
        <w:spacing w:line="276" w:lineRule="auto"/>
        <w:jc w:val="both"/>
        <w:textAlignment w:val="baseline"/>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Objetivo 3.3 Promover la innovación, la competencia, la integración en las cadenas de valor y la generación de un mayor valor agregado en todos los sectores productivos bajo un enfoque de sostenibilidad</w:t>
      </w:r>
      <w:r w:rsidR="7F8D9D50" w:rsidRPr="5CE0AE33">
        <w:rPr>
          <w:rFonts w:ascii="Montserrat" w:eastAsia="Montserrat" w:hAnsi="Montserrat" w:cs="Montserrat"/>
          <w:b/>
          <w:bCs/>
          <w:color w:val="000000" w:themeColor="text1"/>
          <w:sz w:val="22"/>
          <w:szCs w:val="22"/>
        </w:rPr>
        <w:t>.</w:t>
      </w:r>
    </w:p>
    <w:p w14:paraId="5BA583A0" w14:textId="5B64612B" w:rsidR="7F8D9D50" w:rsidRDefault="7F8D9D50" w:rsidP="5CE0AE33">
      <w:pPr>
        <w:pStyle w:val="paragraph"/>
        <w:spacing w:line="276" w:lineRule="auto"/>
        <w:jc w:val="both"/>
        <w:rPr>
          <w:rFonts w:ascii="Montserrat" w:eastAsia="Montserrat" w:hAnsi="Montserrat" w:cs="Montserrat"/>
          <w:color w:val="000000" w:themeColor="text1"/>
          <w:sz w:val="22"/>
          <w:szCs w:val="22"/>
        </w:rPr>
      </w:pPr>
      <w:r w:rsidRPr="5CE0AE33">
        <w:rPr>
          <w:rFonts w:ascii="Montserrat" w:eastAsia="Montserrat" w:hAnsi="Montserrat" w:cs="Montserrat"/>
          <w:color w:val="000000" w:themeColor="text1"/>
          <w:sz w:val="22"/>
          <w:szCs w:val="22"/>
        </w:rPr>
        <w:t>Durante el primer semestre 2022 se han reportado 45 convenios, de los cuales 12 son proyectos interinstitucionales, 9 Convenios Generales, y 24 Convenios de Transferencia de Tecnología, los cuales fueron gestionados por personal en las diferentes Unidades.</w:t>
      </w:r>
      <w:r w:rsidR="10003CC9" w:rsidRPr="5CE0AE33">
        <w:rPr>
          <w:rFonts w:ascii="Montserrat" w:eastAsia="Montserrat" w:hAnsi="Montserrat" w:cs="Montserrat"/>
          <w:color w:val="000000" w:themeColor="text1"/>
          <w:sz w:val="22"/>
          <w:szCs w:val="22"/>
        </w:rPr>
        <w:t xml:space="preserve"> En cuanto a proyectos con posibilidades de transferencia, se han trabajado con 7 de ellos y se analizaron sus respectivos niveles de madurez tecnológica con el fin de atender apropiadamente a los consumidores interesados.</w:t>
      </w:r>
    </w:p>
    <w:p w14:paraId="29D24C26" w14:textId="693E0E6A" w:rsidR="001219ED" w:rsidRPr="007D5D79" w:rsidRDefault="0413D42C" w:rsidP="5CE0AE33">
      <w:pPr>
        <w:pStyle w:val="paragraph"/>
        <w:spacing w:line="276" w:lineRule="auto"/>
        <w:jc w:val="both"/>
        <w:textAlignment w:val="baseline"/>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Objetivo 3.7 Facilitar a la población, el acceso y desarrollo transparente y sostenible a las redes de radiodifusión y telecomunicaciones, con énfasis en internet y banda ancha</w:t>
      </w:r>
      <w:r w:rsidR="4EA521FA" w:rsidRPr="5CE0AE33">
        <w:rPr>
          <w:rFonts w:ascii="Montserrat" w:eastAsia="Montserrat" w:hAnsi="Montserrat" w:cs="Montserrat"/>
          <w:b/>
          <w:bCs/>
          <w:color w:val="000000" w:themeColor="text1"/>
          <w:sz w:val="22"/>
          <w:szCs w:val="22"/>
        </w:rPr>
        <w:t>.</w:t>
      </w:r>
    </w:p>
    <w:p w14:paraId="45FA1862" w14:textId="71AF21D5" w:rsidR="001219ED" w:rsidRPr="007D5D79" w:rsidRDefault="3CF6C4D6" w:rsidP="5CE0AE33">
      <w:pPr>
        <w:spacing w:after="200" w:line="276" w:lineRule="auto"/>
        <w:jc w:val="both"/>
        <w:textAlignment w:val="baseline"/>
        <w:rPr>
          <w:rFonts w:ascii="Montserrat" w:eastAsia="Montserrat" w:hAnsi="Montserrat" w:cs="Montserrat"/>
          <w:color w:val="000000" w:themeColor="text1"/>
          <w:sz w:val="22"/>
          <w:szCs w:val="22"/>
        </w:rPr>
      </w:pPr>
      <w:r w:rsidRPr="5CE0AE33">
        <w:rPr>
          <w:rFonts w:ascii="Montserrat" w:eastAsia="Montserrat" w:hAnsi="Montserrat" w:cs="Montserrat"/>
          <w:color w:val="000000" w:themeColor="text1"/>
          <w:sz w:val="22"/>
          <w:szCs w:val="22"/>
          <w:lang w:val="es"/>
        </w:rPr>
        <w:t xml:space="preserve">La UTIC se está preparando para la transición de IPv4 a Ipv6 para la navegación por la intranet e Internet. Está en proceso de obtener dictamen de la CEDN para su contratación. El uso de </w:t>
      </w:r>
      <w:proofErr w:type="gramStart"/>
      <w:r w:rsidRPr="5CE0AE33">
        <w:rPr>
          <w:rFonts w:ascii="Montserrat" w:eastAsia="Montserrat" w:hAnsi="Montserrat" w:cs="Montserrat"/>
          <w:color w:val="000000" w:themeColor="text1"/>
          <w:sz w:val="22"/>
          <w:szCs w:val="22"/>
          <w:lang w:val="es"/>
        </w:rPr>
        <w:t>las plataforma</w:t>
      </w:r>
      <w:proofErr w:type="gramEnd"/>
      <w:r w:rsidRPr="5CE0AE33">
        <w:rPr>
          <w:rFonts w:ascii="Montserrat" w:eastAsia="Montserrat" w:hAnsi="Montserrat" w:cs="Montserrat"/>
          <w:color w:val="000000" w:themeColor="text1"/>
          <w:sz w:val="22"/>
          <w:szCs w:val="22"/>
          <w:lang w:val="es"/>
        </w:rPr>
        <w:t xml:space="preserve"> para clases, teletrabajo, seminarios, diplomados, conferencias ha sido de 12,747 conexiones (más de 91,000 horas), </w:t>
      </w:r>
      <w:r w:rsidRPr="5CE0AE33">
        <w:rPr>
          <w:rFonts w:ascii="Montserrat" w:eastAsia="Montserrat" w:hAnsi="Montserrat" w:cs="Montserrat"/>
          <w:color w:val="000000" w:themeColor="text1"/>
          <w:sz w:val="22"/>
          <w:szCs w:val="22"/>
          <w:lang w:val="es"/>
        </w:rPr>
        <w:lastRenderedPageBreak/>
        <w:t xml:space="preserve">logrando un nivel de adopción tecnológica superior al 80%, compartiendo y almacenando poco más de 10 millones de archivos. El número de servicios de apoyo técnico en línea y presencial fue de un total 700 servicios, para: Campeche 146, Chetumal 50, San Cristóbal 164, </w:t>
      </w:r>
      <w:r w:rsidR="004A5071" w:rsidRPr="5CE0AE33">
        <w:rPr>
          <w:rFonts w:ascii="Montserrat" w:eastAsia="Montserrat" w:hAnsi="Montserrat" w:cs="Montserrat"/>
          <w:color w:val="000000" w:themeColor="text1"/>
          <w:sz w:val="22"/>
          <w:szCs w:val="22"/>
          <w:lang w:val="es"/>
        </w:rPr>
        <w:t>Tapachula 225</w:t>
      </w:r>
      <w:r w:rsidRPr="5CE0AE33">
        <w:rPr>
          <w:rFonts w:ascii="Montserrat" w:eastAsia="Montserrat" w:hAnsi="Montserrat" w:cs="Montserrat"/>
          <w:color w:val="000000" w:themeColor="text1"/>
          <w:sz w:val="22"/>
          <w:szCs w:val="22"/>
          <w:lang w:val="es"/>
        </w:rPr>
        <w:t xml:space="preserve"> y Villahermosa con 110.</w:t>
      </w:r>
    </w:p>
    <w:p w14:paraId="68CA590B" w14:textId="7893DAC0" w:rsidR="001219ED" w:rsidRPr="007D5D79" w:rsidRDefault="0413D42C" w:rsidP="5CE0AE33">
      <w:pPr>
        <w:pStyle w:val="paragraph"/>
        <w:spacing w:line="276" w:lineRule="auto"/>
        <w:jc w:val="both"/>
        <w:rPr>
          <w:rFonts w:ascii="Montserrat" w:eastAsia="Montserrat" w:hAnsi="Montserrat" w:cs="Montserrat"/>
          <w:b/>
          <w:bCs/>
          <w:color w:val="000000" w:themeColor="text1"/>
          <w:sz w:val="22"/>
          <w:szCs w:val="22"/>
        </w:rPr>
      </w:pPr>
      <w:r w:rsidRPr="5CE0AE33">
        <w:rPr>
          <w:rFonts w:ascii="Montserrat" w:eastAsia="Montserrat" w:hAnsi="Montserrat" w:cs="Montserrat"/>
          <w:b/>
          <w:bCs/>
          <w:color w:val="000000" w:themeColor="text1"/>
          <w:sz w:val="22"/>
          <w:szCs w:val="22"/>
        </w:rPr>
        <w:t>Objetivo 3.8 Desarrollar de manera sostenible e incluyente los sectores agropecuario y acuícola-pesquero en los territorios rurales, y en los pueblos y comunidades indígenas y afromexicanas.</w:t>
      </w:r>
    </w:p>
    <w:p w14:paraId="511733B9" w14:textId="46CC559C" w:rsidR="003B6E1A" w:rsidRPr="00EE1715" w:rsidRDefault="3381FF27" w:rsidP="5CE0AE33">
      <w:pPr>
        <w:spacing w:after="200" w:line="276" w:lineRule="auto"/>
        <w:jc w:val="both"/>
        <w:rPr>
          <w:rFonts w:ascii="Montserrat" w:eastAsia="Montserrat" w:hAnsi="Montserrat" w:cs="Montserrat"/>
          <w:color w:val="000000" w:themeColor="text1"/>
          <w:sz w:val="22"/>
          <w:szCs w:val="22"/>
          <w:lang w:val="es-ES"/>
        </w:rPr>
      </w:pPr>
      <w:r w:rsidRPr="5CE0AE33">
        <w:rPr>
          <w:rFonts w:ascii="Montserrat" w:eastAsia="Montserrat" w:hAnsi="Montserrat" w:cs="Montserrat"/>
          <w:color w:val="000000" w:themeColor="text1"/>
          <w:sz w:val="22"/>
          <w:szCs w:val="22"/>
        </w:rPr>
        <w:t>En este semestre se promovió el consumo de productos locales y de la economía local fomentando el consumo responsable y comercio justo. Se buscó producir y consumir alimentos sanos y saludables en beneficio de la salud; se compartió entre la comunidad de la Unidad 54 kg de productos comestibles, medicinales y ornamentales producto de los huertos agroecológicos de ECOSUR. Se cuenta con un Banco de semillas que contiene 87 tipos de semillas pertenecientes a 18 familias, y se donaron 70 sobres con semillas de 18 especies para ser establecidas en diferentes municipios. Esta área se apoya con personas becarias, de servicio social y estudiantes de licenciatura que han terminado sus estudios. Es de destacar la participación de estudiantes del posgrado.</w:t>
      </w:r>
    </w:p>
    <w:p w14:paraId="506A4D02" w14:textId="4A75109F" w:rsidR="003B6E1A" w:rsidRPr="00EE1715" w:rsidRDefault="003B6E1A" w:rsidP="5CE0AE33">
      <w:pPr>
        <w:spacing w:after="200" w:line="276" w:lineRule="auto"/>
        <w:jc w:val="both"/>
        <w:rPr>
          <w:rFonts w:ascii="Montserrat" w:eastAsia="Montserrat" w:hAnsi="Montserrat" w:cs="Montserrat"/>
          <w:color w:val="000000" w:themeColor="text1"/>
          <w:sz w:val="22"/>
          <w:szCs w:val="22"/>
          <w:lang w:val="es-ES"/>
        </w:rPr>
      </w:pPr>
    </w:p>
    <w:sectPr w:rsidR="003B6E1A" w:rsidRPr="00EE1715" w:rsidSect="00140C21">
      <w:headerReference w:type="default" r:id="rId6"/>
      <w:footerReference w:type="default" r:id="rId7"/>
      <w:pgSz w:w="12240" w:h="15840"/>
      <w:pgMar w:top="175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62B6" w14:textId="77777777" w:rsidR="00370A35" w:rsidRDefault="00370A35" w:rsidP="00E57969">
      <w:r>
        <w:separator/>
      </w:r>
    </w:p>
  </w:endnote>
  <w:endnote w:type="continuationSeparator" w:id="0">
    <w:p w14:paraId="6C570432" w14:textId="77777777" w:rsidR="00370A35" w:rsidRDefault="00370A35"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132E1AF0" w:rsidR="00E57969" w:rsidRPr="009E5A53" w:rsidRDefault="00E364CC" w:rsidP="5848CDB3">
    <w:pPr>
      <w:pStyle w:val="Piedepgina"/>
      <w:tabs>
        <w:tab w:val="left" w:pos="7668"/>
      </w:tabs>
      <w:rPr>
        <w:rFonts w:ascii="Montserrat" w:eastAsia="Batang" w:hAnsi="Montserrat"/>
        <w:b/>
        <w:bCs/>
        <w:i/>
        <w:iCs/>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5848CDB3" w:rsidRPr="5848CDB3">
      <w:rPr>
        <w:rFonts w:ascii="Montserrat" w:eastAsia="Batang" w:hAnsi="Montserrat"/>
        <w:b/>
        <w:bCs/>
        <w:i/>
        <w:iCs/>
        <w:color w:val="A6A6A6" w:themeColor="background1" w:themeShade="A6"/>
        <w:sz w:val="18"/>
        <w:szCs w:val="18"/>
      </w:rPr>
      <w:t>Segunda Sesión Ordinaria de la Junta de Gobierno 2022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E57969" w:rsidRPr="009E5A53">
      <w:rPr>
        <w:rFonts w:ascii="Montserrat" w:hAnsi="Montserrat"/>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4127" w14:textId="77777777" w:rsidR="00370A35" w:rsidRDefault="00370A35" w:rsidP="00E57969">
      <w:r>
        <w:separator/>
      </w:r>
    </w:p>
  </w:footnote>
  <w:footnote w:type="continuationSeparator" w:id="0">
    <w:p w14:paraId="38A2DCB9" w14:textId="77777777" w:rsidR="00370A35" w:rsidRDefault="00370A35"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6FFE" w14:textId="46F0A340" w:rsidR="00EE1715" w:rsidRDefault="5848CDB3" w:rsidP="00E364CC">
    <w:pPr>
      <w:pStyle w:val="Encabezado"/>
      <w:tabs>
        <w:tab w:val="left" w:pos="1134"/>
      </w:tabs>
    </w:pPr>
    <w:r>
      <w:rPr>
        <w:noProof/>
      </w:rPr>
      <w:drawing>
        <wp:inline distT="0" distB="0" distL="0" distR="0" wp14:anchorId="5E4CD6C7" wp14:editId="5848CDB3">
          <wp:extent cx="5610224" cy="1009650"/>
          <wp:effectExtent l="0" t="0" r="0" b="0"/>
          <wp:docPr id="131697778" name="Imagen 13169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4" cy="1009650"/>
                  </a:xfrm>
                  <a:prstGeom prst="rect">
                    <a:avLst/>
                  </a:prstGeom>
                </pic:spPr>
              </pic:pic>
            </a:graphicData>
          </a:graphic>
        </wp:inline>
      </w:drawing>
    </w:r>
    <w:r w:rsidR="00EE1715">
      <w:br/>
    </w:r>
  </w:p>
  <w:p w14:paraId="0D0547FB" w14:textId="223BF91F" w:rsidR="00E57969" w:rsidRDefault="00E57969" w:rsidP="00E364CC">
    <w:pPr>
      <w:pStyle w:val="Encabezado"/>
      <w:tabs>
        <w:tab w:val="left" w:pos="113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1219ED"/>
    <w:rsid w:val="00140C21"/>
    <w:rsid w:val="00146DD7"/>
    <w:rsid w:val="00154FF8"/>
    <w:rsid w:val="0020676A"/>
    <w:rsid w:val="0021496C"/>
    <w:rsid w:val="003308E5"/>
    <w:rsid w:val="00370A35"/>
    <w:rsid w:val="003A1C6A"/>
    <w:rsid w:val="003B6E1A"/>
    <w:rsid w:val="003C2737"/>
    <w:rsid w:val="0045608F"/>
    <w:rsid w:val="00462FDB"/>
    <w:rsid w:val="00480087"/>
    <w:rsid w:val="004A5071"/>
    <w:rsid w:val="005D56A6"/>
    <w:rsid w:val="00645FBE"/>
    <w:rsid w:val="00657D31"/>
    <w:rsid w:val="00795739"/>
    <w:rsid w:val="00810D23"/>
    <w:rsid w:val="00823400"/>
    <w:rsid w:val="00981B4F"/>
    <w:rsid w:val="0098340D"/>
    <w:rsid w:val="009E5A53"/>
    <w:rsid w:val="00A936C0"/>
    <w:rsid w:val="00AC7A14"/>
    <w:rsid w:val="00B83F85"/>
    <w:rsid w:val="00BC1469"/>
    <w:rsid w:val="00BF3C06"/>
    <w:rsid w:val="00CA039F"/>
    <w:rsid w:val="00CF7D33"/>
    <w:rsid w:val="00D11277"/>
    <w:rsid w:val="00D303B5"/>
    <w:rsid w:val="00D3488F"/>
    <w:rsid w:val="00DB7382"/>
    <w:rsid w:val="00E24D51"/>
    <w:rsid w:val="00E364CC"/>
    <w:rsid w:val="00E57969"/>
    <w:rsid w:val="00ED17A4"/>
    <w:rsid w:val="00EE1715"/>
    <w:rsid w:val="00FA7510"/>
    <w:rsid w:val="03A79B42"/>
    <w:rsid w:val="0413D42C"/>
    <w:rsid w:val="043DEEA7"/>
    <w:rsid w:val="087345E4"/>
    <w:rsid w:val="08DA674A"/>
    <w:rsid w:val="08F43744"/>
    <w:rsid w:val="093380C4"/>
    <w:rsid w:val="096640B0"/>
    <w:rsid w:val="0A3F5F07"/>
    <w:rsid w:val="0AC0E36D"/>
    <w:rsid w:val="0E19E70F"/>
    <w:rsid w:val="10003CC9"/>
    <w:rsid w:val="1116FC94"/>
    <w:rsid w:val="137858DE"/>
    <w:rsid w:val="1675D4A1"/>
    <w:rsid w:val="19FA6F44"/>
    <w:rsid w:val="1A6A475B"/>
    <w:rsid w:val="1E488A34"/>
    <w:rsid w:val="1E4E8476"/>
    <w:rsid w:val="1FF99836"/>
    <w:rsid w:val="20E1243C"/>
    <w:rsid w:val="211EA80E"/>
    <w:rsid w:val="24B43450"/>
    <w:rsid w:val="26871D99"/>
    <w:rsid w:val="2749DC06"/>
    <w:rsid w:val="285580DD"/>
    <w:rsid w:val="2930AA5F"/>
    <w:rsid w:val="2ACC7AC0"/>
    <w:rsid w:val="2C309687"/>
    <w:rsid w:val="2DE6B54D"/>
    <w:rsid w:val="2F775F61"/>
    <w:rsid w:val="30820E5D"/>
    <w:rsid w:val="30FDB5C1"/>
    <w:rsid w:val="31A43688"/>
    <w:rsid w:val="3305B917"/>
    <w:rsid w:val="3381FF27"/>
    <w:rsid w:val="34AAEEF8"/>
    <w:rsid w:val="34DBD74A"/>
    <w:rsid w:val="370686C7"/>
    <w:rsid w:val="37F0496B"/>
    <w:rsid w:val="3AF73202"/>
    <w:rsid w:val="3B418724"/>
    <w:rsid w:val="3CF6C4D6"/>
    <w:rsid w:val="3E5BF56F"/>
    <w:rsid w:val="3F389749"/>
    <w:rsid w:val="406775FF"/>
    <w:rsid w:val="44BC0360"/>
    <w:rsid w:val="450D5228"/>
    <w:rsid w:val="4563B9AA"/>
    <w:rsid w:val="45EE64E2"/>
    <w:rsid w:val="48A9C539"/>
    <w:rsid w:val="4904366C"/>
    <w:rsid w:val="4B0C0E8C"/>
    <w:rsid w:val="4B8C6930"/>
    <w:rsid w:val="4C9DEB99"/>
    <w:rsid w:val="4DD0D86C"/>
    <w:rsid w:val="4EA521FA"/>
    <w:rsid w:val="4FCDD1A6"/>
    <w:rsid w:val="534DDB1D"/>
    <w:rsid w:val="5484B6D0"/>
    <w:rsid w:val="57AC59A9"/>
    <w:rsid w:val="57EC6C4F"/>
    <w:rsid w:val="5848CDB3"/>
    <w:rsid w:val="5948B289"/>
    <w:rsid w:val="5A821BC6"/>
    <w:rsid w:val="5AA73E4E"/>
    <w:rsid w:val="5AA92EBB"/>
    <w:rsid w:val="5B5CE54A"/>
    <w:rsid w:val="5CE0AE33"/>
    <w:rsid w:val="5E60B90D"/>
    <w:rsid w:val="5ECF81B7"/>
    <w:rsid w:val="6047D638"/>
    <w:rsid w:val="622492E7"/>
    <w:rsid w:val="666969F9"/>
    <w:rsid w:val="67AC7D5A"/>
    <w:rsid w:val="6C0F831F"/>
    <w:rsid w:val="6DA177B7"/>
    <w:rsid w:val="704B4C8C"/>
    <w:rsid w:val="7170B8D8"/>
    <w:rsid w:val="718CC7CD"/>
    <w:rsid w:val="71D44AE6"/>
    <w:rsid w:val="72362D42"/>
    <w:rsid w:val="7433685D"/>
    <w:rsid w:val="74AF0626"/>
    <w:rsid w:val="74BEF782"/>
    <w:rsid w:val="76569245"/>
    <w:rsid w:val="783421DA"/>
    <w:rsid w:val="7AEC8E68"/>
    <w:rsid w:val="7C926EE0"/>
    <w:rsid w:val="7EE5F1D5"/>
    <w:rsid w:val="7F334835"/>
    <w:rsid w:val="7F47A240"/>
    <w:rsid w:val="7F8D9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paragraph" w:customStyle="1" w:styleId="paragraph">
    <w:name w:val="paragraph"/>
    <w:basedOn w:val="Normal"/>
    <w:rsid w:val="001219ED"/>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1219ED"/>
  </w:style>
  <w:style w:type="character" w:customStyle="1" w:styleId="eop">
    <w:name w:val="eop"/>
    <w:basedOn w:val="Fuentedeprrafopredeter"/>
    <w:uiPriority w:val="1"/>
    <w:rsid w:val="0A3F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6678</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Torres Suarez</cp:lastModifiedBy>
  <cp:revision>12</cp:revision>
  <cp:lastPrinted>2022-09-26T23:16:00Z</cp:lastPrinted>
  <dcterms:created xsi:type="dcterms:W3CDTF">2021-09-08T19:43:00Z</dcterms:created>
  <dcterms:modified xsi:type="dcterms:W3CDTF">2022-09-26T23:16:00Z</dcterms:modified>
</cp:coreProperties>
</file>