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F695" w14:textId="77777777" w:rsidR="00094B85" w:rsidRPr="0070500B" w:rsidRDefault="00094B85" w:rsidP="00094B85">
      <w:pPr>
        <w:ind w:left="720" w:hanging="360"/>
        <w:jc w:val="center"/>
        <w:rPr>
          <w:rFonts w:ascii="Montserrat" w:hAnsi="Montserrat" w:cs="Arial"/>
          <w:b/>
          <w:i/>
        </w:rPr>
      </w:pPr>
      <w:r w:rsidRPr="0070500B">
        <w:rPr>
          <w:rFonts w:ascii="Montserrat" w:hAnsi="Montserrat" w:cs="Arial"/>
          <w:b/>
          <w:i/>
        </w:rPr>
        <w:t xml:space="preserve">Orden del día </w:t>
      </w:r>
    </w:p>
    <w:p w14:paraId="75BBA045" w14:textId="4BA15D70" w:rsidR="00094B85" w:rsidRPr="0070500B" w:rsidRDefault="00094B85" w:rsidP="00094B85">
      <w:pPr>
        <w:ind w:left="720" w:hanging="360"/>
        <w:jc w:val="center"/>
        <w:rPr>
          <w:rFonts w:ascii="Montserrat" w:hAnsi="Montserrat" w:cs="Arial"/>
          <w:b/>
          <w:i/>
        </w:rPr>
      </w:pPr>
      <w:r w:rsidRPr="0070500B">
        <w:rPr>
          <w:rFonts w:ascii="Montserrat" w:hAnsi="Montserrat" w:cs="Arial"/>
          <w:b/>
          <w:i/>
        </w:rPr>
        <w:t>Primera Sesión Ordinaria de la Junta de Gobierno 2022</w:t>
      </w:r>
    </w:p>
    <w:p w14:paraId="3A0077B8" w14:textId="77777777" w:rsidR="00094B85" w:rsidRPr="001A7E30" w:rsidRDefault="00094B85" w:rsidP="00094B85">
      <w:pPr>
        <w:pStyle w:val="Sinespaciado"/>
        <w:jc w:val="center"/>
        <w:rPr>
          <w:rFonts w:ascii="Monserrat" w:hAnsi="Monserrat" w:cs="Arial"/>
          <w:b/>
          <w:i/>
          <w:sz w:val="26"/>
          <w:szCs w:val="26"/>
        </w:rPr>
      </w:pPr>
    </w:p>
    <w:p w14:paraId="3EFDA30A" w14:textId="133DBBEC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 xml:space="preserve">Lista de asistencia y declaración del </w:t>
      </w:r>
      <w:r w:rsidRPr="0070500B">
        <w:rPr>
          <w:rFonts w:ascii="Montserrat" w:hAnsi="Montserrat"/>
          <w:i/>
          <w:sz w:val="22"/>
          <w:szCs w:val="22"/>
        </w:rPr>
        <w:t>qu</w:t>
      </w:r>
      <w:r w:rsidR="00902340" w:rsidRPr="0070500B">
        <w:rPr>
          <w:rFonts w:ascii="Montserrat" w:hAnsi="Montserrat"/>
          <w:i/>
          <w:sz w:val="22"/>
          <w:szCs w:val="22"/>
        </w:rPr>
        <w:t>ó</w:t>
      </w:r>
      <w:r w:rsidRPr="0070500B">
        <w:rPr>
          <w:rFonts w:ascii="Montserrat" w:hAnsi="Montserrat"/>
          <w:i/>
          <w:sz w:val="22"/>
          <w:szCs w:val="22"/>
        </w:rPr>
        <w:t xml:space="preserve">rum </w:t>
      </w:r>
      <w:r w:rsidRPr="0070500B">
        <w:rPr>
          <w:rFonts w:ascii="Montserrat" w:hAnsi="Montserrat"/>
          <w:sz w:val="22"/>
          <w:szCs w:val="22"/>
        </w:rPr>
        <w:t>legal.</w:t>
      </w:r>
    </w:p>
    <w:p w14:paraId="23647E44" w14:textId="77777777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>Lectura y, en su caso, aprobación del orden del día.</w:t>
      </w:r>
    </w:p>
    <w:p w14:paraId="614CC30E" w14:textId="77777777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>Lectura y, en su caso, presentación del acta de la sesión anterior.</w:t>
      </w:r>
    </w:p>
    <w:p w14:paraId="58E3CD72" w14:textId="5106040A" w:rsidR="00094B85" w:rsidRPr="0070500B" w:rsidRDefault="00087333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Informe sobre el cumplimiento de los acuerdos previos, adoptados por el Órgano de Gobierno</w:t>
      </w:r>
      <w:r w:rsidR="00094B85" w:rsidRPr="0070500B">
        <w:rPr>
          <w:rFonts w:ascii="Montserrat" w:hAnsi="Montserrat"/>
          <w:sz w:val="22"/>
          <w:szCs w:val="22"/>
        </w:rPr>
        <w:t>.</w:t>
      </w:r>
    </w:p>
    <w:p w14:paraId="364D74B1" w14:textId="79F42A08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 xml:space="preserve">Presentación por </w:t>
      </w:r>
      <w:r w:rsidR="00A903FC" w:rsidRPr="0070500B">
        <w:rPr>
          <w:rFonts w:ascii="Montserrat" w:hAnsi="Montserrat"/>
          <w:sz w:val="22"/>
          <w:szCs w:val="22"/>
        </w:rPr>
        <w:t>la</w:t>
      </w:r>
      <w:r w:rsidRPr="0070500B">
        <w:rPr>
          <w:rFonts w:ascii="Montserrat" w:hAnsi="Montserrat"/>
          <w:sz w:val="22"/>
          <w:szCs w:val="22"/>
        </w:rPr>
        <w:t xml:space="preserve"> Titular del Centro Público de Investigación del Informe de Autoevaluación del ejercicio fiscal 202</w:t>
      </w:r>
      <w:r w:rsidR="00FA2027" w:rsidRPr="0070500B">
        <w:rPr>
          <w:rFonts w:ascii="Montserrat" w:hAnsi="Montserrat"/>
          <w:sz w:val="22"/>
          <w:szCs w:val="22"/>
        </w:rPr>
        <w:t>1</w:t>
      </w:r>
      <w:r w:rsidRPr="0070500B">
        <w:rPr>
          <w:rFonts w:ascii="Montserrat" w:hAnsi="Montserrat"/>
          <w:sz w:val="22"/>
          <w:szCs w:val="22"/>
        </w:rPr>
        <w:t>.</w:t>
      </w:r>
    </w:p>
    <w:p w14:paraId="548281D1" w14:textId="64040A9B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>Presentación del Dictamen del Comité Externo de Evaluación (CEE) sobre el Informe de Autoevaluación Anual 202</w:t>
      </w:r>
      <w:r w:rsidR="00FA2027" w:rsidRPr="0070500B">
        <w:rPr>
          <w:rFonts w:ascii="Montserrat" w:hAnsi="Montserrat"/>
          <w:sz w:val="22"/>
          <w:szCs w:val="22"/>
        </w:rPr>
        <w:t>1</w:t>
      </w:r>
      <w:r w:rsidRPr="0070500B">
        <w:rPr>
          <w:rFonts w:ascii="Montserrat" w:hAnsi="Montserrat"/>
          <w:sz w:val="22"/>
          <w:szCs w:val="22"/>
        </w:rPr>
        <w:t>, presentado por el Presidente o Representante del CEE del Centro.</w:t>
      </w:r>
    </w:p>
    <w:p w14:paraId="2DBB0EC3" w14:textId="77777777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>Presentación de la evaluación por parte de CONACYT.</w:t>
      </w:r>
    </w:p>
    <w:p w14:paraId="7C320E87" w14:textId="52F56FE4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>Presentación de la Opinión de los Comisarios Públicos de la Secretaría de la Función Pública, sobre el Informe de Autoevaluación del ejercicio fiscal 202</w:t>
      </w:r>
      <w:r w:rsidR="00D62CB2" w:rsidRPr="0070500B">
        <w:rPr>
          <w:rFonts w:ascii="Montserrat" w:hAnsi="Montserrat"/>
          <w:sz w:val="22"/>
          <w:szCs w:val="22"/>
        </w:rPr>
        <w:t>1</w:t>
      </w:r>
      <w:r w:rsidRPr="0070500B">
        <w:rPr>
          <w:rFonts w:ascii="Montserrat" w:hAnsi="Montserrat"/>
          <w:sz w:val="22"/>
          <w:szCs w:val="22"/>
        </w:rPr>
        <w:t xml:space="preserve">, </w:t>
      </w:r>
      <w:r w:rsidR="00087333">
        <w:rPr>
          <w:rFonts w:ascii="Montserrat" w:hAnsi="Montserrat"/>
          <w:sz w:val="22"/>
          <w:szCs w:val="22"/>
        </w:rPr>
        <w:t>que presenta</w:t>
      </w:r>
      <w:r w:rsidRPr="0070500B">
        <w:rPr>
          <w:rFonts w:ascii="Montserrat" w:hAnsi="Montserrat"/>
          <w:sz w:val="22"/>
          <w:szCs w:val="22"/>
        </w:rPr>
        <w:t xml:space="preserve"> </w:t>
      </w:r>
      <w:r w:rsidR="00946061" w:rsidRPr="0070500B">
        <w:rPr>
          <w:rFonts w:ascii="Montserrat" w:hAnsi="Montserrat"/>
          <w:sz w:val="22"/>
          <w:szCs w:val="22"/>
        </w:rPr>
        <w:t>la</w:t>
      </w:r>
      <w:r w:rsidRPr="0070500B">
        <w:rPr>
          <w:rFonts w:ascii="Montserrat" w:hAnsi="Montserrat"/>
          <w:sz w:val="22"/>
          <w:szCs w:val="22"/>
        </w:rPr>
        <w:t xml:space="preserve"> Titular del Centro</w:t>
      </w:r>
      <w:r w:rsidR="00087333">
        <w:rPr>
          <w:rFonts w:ascii="Montserrat" w:hAnsi="Montserrat"/>
          <w:sz w:val="22"/>
          <w:szCs w:val="22"/>
        </w:rPr>
        <w:t xml:space="preserve"> Público de Investigación</w:t>
      </w:r>
      <w:r w:rsidRPr="0070500B">
        <w:rPr>
          <w:rFonts w:ascii="Montserrat" w:hAnsi="Montserrat"/>
          <w:sz w:val="22"/>
          <w:szCs w:val="22"/>
        </w:rPr>
        <w:t>.</w:t>
      </w:r>
    </w:p>
    <w:p w14:paraId="27643A05" w14:textId="1E294180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bCs/>
          <w:sz w:val="22"/>
          <w:szCs w:val="22"/>
        </w:rPr>
        <w:t>Análisis y, en su caso, aprobación del Informe de Autoevaluación del ejercicio fiscal 202</w:t>
      </w:r>
      <w:r w:rsidR="00946061" w:rsidRPr="0070500B">
        <w:rPr>
          <w:rFonts w:ascii="Montserrat" w:hAnsi="Montserrat"/>
          <w:bCs/>
          <w:sz w:val="22"/>
          <w:szCs w:val="22"/>
        </w:rPr>
        <w:t>1</w:t>
      </w:r>
      <w:r w:rsidRPr="0070500B">
        <w:rPr>
          <w:rFonts w:ascii="Montserrat" w:hAnsi="Montserrat"/>
          <w:bCs/>
          <w:sz w:val="22"/>
          <w:szCs w:val="22"/>
        </w:rPr>
        <w:t xml:space="preserve">, presentado por </w:t>
      </w:r>
      <w:r w:rsidR="00946061" w:rsidRPr="0070500B">
        <w:rPr>
          <w:rFonts w:ascii="Montserrat" w:hAnsi="Montserrat"/>
          <w:bCs/>
          <w:sz w:val="22"/>
          <w:szCs w:val="22"/>
        </w:rPr>
        <w:t>la</w:t>
      </w:r>
      <w:r w:rsidRPr="0070500B">
        <w:rPr>
          <w:rFonts w:ascii="Montserrat" w:hAnsi="Montserrat"/>
          <w:bCs/>
          <w:sz w:val="22"/>
          <w:szCs w:val="22"/>
        </w:rPr>
        <w:t xml:space="preserve"> Titular del Centro Publico de Investigación.</w:t>
      </w:r>
    </w:p>
    <w:p w14:paraId="4B1297B9" w14:textId="5D955B24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>Presentación de los Estados Financieros Dictaminados del ejercicio 202</w:t>
      </w:r>
      <w:r w:rsidR="002C2E12" w:rsidRPr="0070500B">
        <w:rPr>
          <w:rFonts w:ascii="Montserrat" w:hAnsi="Montserrat"/>
          <w:sz w:val="22"/>
          <w:szCs w:val="22"/>
        </w:rPr>
        <w:t>1</w:t>
      </w:r>
      <w:r w:rsidRPr="0070500B">
        <w:rPr>
          <w:rFonts w:ascii="Montserrat" w:hAnsi="Montserrat"/>
          <w:sz w:val="22"/>
          <w:szCs w:val="22"/>
        </w:rPr>
        <w:t>.</w:t>
      </w:r>
    </w:p>
    <w:p w14:paraId="2353801B" w14:textId="4C15C3E9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>Presentación del Informe de los Comisarios Públicos sobre los Estados Financieros Dictaminados del ejercicio 202</w:t>
      </w:r>
      <w:r w:rsidR="002C2E12" w:rsidRPr="0070500B">
        <w:rPr>
          <w:rFonts w:ascii="Montserrat" w:hAnsi="Montserrat"/>
          <w:sz w:val="22"/>
          <w:szCs w:val="22"/>
        </w:rPr>
        <w:t>1</w:t>
      </w:r>
      <w:r w:rsidRPr="0070500B">
        <w:rPr>
          <w:rFonts w:ascii="Montserrat" w:hAnsi="Montserrat"/>
          <w:sz w:val="22"/>
          <w:szCs w:val="22"/>
        </w:rPr>
        <w:t>.</w:t>
      </w:r>
    </w:p>
    <w:p w14:paraId="556654DD" w14:textId="5D62586F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>Aprobación, en su caso, de los Estados Financieros Dictaminados del ejercicio 202</w:t>
      </w:r>
      <w:r w:rsidR="002C2E12" w:rsidRPr="0070500B">
        <w:rPr>
          <w:rFonts w:ascii="Montserrat" w:hAnsi="Montserrat"/>
          <w:sz w:val="22"/>
          <w:szCs w:val="22"/>
        </w:rPr>
        <w:t>1</w:t>
      </w:r>
      <w:r w:rsidRPr="0070500B">
        <w:rPr>
          <w:rFonts w:ascii="Montserrat" w:hAnsi="Montserrat"/>
          <w:sz w:val="22"/>
          <w:szCs w:val="22"/>
        </w:rPr>
        <w:t>.</w:t>
      </w:r>
    </w:p>
    <w:p w14:paraId="51D27FF2" w14:textId="5D32E952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 xml:space="preserve">Presentación </w:t>
      </w:r>
      <w:r w:rsidR="00B24D82">
        <w:rPr>
          <w:rFonts w:ascii="Montserrat" w:hAnsi="Montserrat"/>
          <w:sz w:val="22"/>
          <w:szCs w:val="22"/>
        </w:rPr>
        <w:t xml:space="preserve">y en su caso, </w:t>
      </w:r>
      <w:r w:rsidR="002E35F0">
        <w:rPr>
          <w:rFonts w:ascii="Montserrat" w:hAnsi="Montserrat"/>
          <w:sz w:val="22"/>
          <w:szCs w:val="22"/>
        </w:rPr>
        <w:t xml:space="preserve">aprobación </w:t>
      </w:r>
      <w:r w:rsidRPr="0070500B">
        <w:rPr>
          <w:rFonts w:ascii="Montserrat" w:hAnsi="Montserrat"/>
          <w:sz w:val="22"/>
          <w:szCs w:val="22"/>
        </w:rPr>
        <w:t xml:space="preserve">del </w:t>
      </w:r>
      <w:r w:rsidR="00860912" w:rsidRPr="0070500B">
        <w:rPr>
          <w:rFonts w:ascii="Montserrat" w:hAnsi="Montserrat"/>
          <w:sz w:val="22"/>
          <w:szCs w:val="22"/>
        </w:rPr>
        <w:t xml:space="preserve">finiquito </w:t>
      </w:r>
      <w:r w:rsidR="002E35F0">
        <w:rPr>
          <w:rFonts w:ascii="Montserrat" w:hAnsi="Montserrat"/>
          <w:sz w:val="22"/>
          <w:szCs w:val="22"/>
        </w:rPr>
        <w:t>del</w:t>
      </w:r>
      <w:r w:rsidR="005547B6" w:rsidRPr="0070500B">
        <w:rPr>
          <w:rFonts w:ascii="Montserrat" w:hAnsi="Montserrat"/>
          <w:sz w:val="22"/>
          <w:szCs w:val="22"/>
        </w:rPr>
        <w:t xml:space="preserve"> </w:t>
      </w:r>
      <w:r w:rsidRPr="0070500B">
        <w:rPr>
          <w:rFonts w:ascii="Montserrat" w:hAnsi="Montserrat"/>
          <w:sz w:val="22"/>
          <w:szCs w:val="22"/>
        </w:rPr>
        <w:t xml:space="preserve">Fondo de Investigación Científica y Desarrollo Tecnológico </w:t>
      </w:r>
      <w:r w:rsidRPr="0070500B">
        <w:rPr>
          <w:rFonts w:ascii="Montserrat" w:hAnsi="Montserrat"/>
          <w:bCs/>
          <w:sz w:val="22"/>
          <w:szCs w:val="22"/>
        </w:rPr>
        <w:t>del Centro</w:t>
      </w:r>
      <w:r w:rsidR="00A6494E" w:rsidRPr="0070500B">
        <w:rPr>
          <w:rFonts w:ascii="Montserrat" w:hAnsi="Montserrat"/>
          <w:bCs/>
          <w:sz w:val="22"/>
          <w:szCs w:val="22"/>
        </w:rPr>
        <w:t>.</w:t>
      </w:r>
    </w:p>
    <w:p w14:paraId="138342B4" w14:textId="77777777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 xml:space="preserve"> Informe del estado que guarda el Control Interno y Desempeño Institucional (COCODI).</w:t>
      </w:r>
    </w:p>
    <w:p w14:paraId="2DA2BA6D" w14:textId="77777777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lastRenderedPageBreak/>
        <w:t>Presentación y, en su caso, aprobación del calendario de sesiones ordinarias del Órgano de Gobierno del año en curso.</w:t>
      </w:r>
    </w:p>
    <w:p w14:paraId="56D6A291" w14:textId="627033AC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>Solicitud y, en su caso, adopción de acuerdos del Órgano de Gobierno del Centro Público de Investigación.</w:t>
      </w:r>
    </w:p>
    <w:p w14:paraId="0B305FFA" w14:textId="6E0AC5DD" w:rsidR="006D6ECD" w:rsidRPr="0070500B" w:rsidRDefault="00190C66" w:rsidP="00CE631C">
      <w:pPr>
        <w:pStyle w:val="Sinespaciado"/>
        <w:numPr>
          <w:ilvl w:val="1"/>
          <w:numId w:val="1"/>
        </w:numPr>
        <w:spacing w:before="240"/>
        <w:ind w:left="993" w:hanging="567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>Presentación y</w:t>
      </w:r>
      <w:r w:rsidR="001B2873" w:rsidRPr="0070500B">
        <w:rPr>
          <w:rFonts w:ascii="Montserrat" w:hAnsi="Montserrat"/>
          <w:sz w:val="22"/>
          <w:szCs w:val="22"/>
        </w:rPr>
        <w:t>,</w:t>
      </w:r>
      <w:r w:rsidRPr="0070500B">
        <w:rPr>
          <w:rFonts w:ascii="Montserrat" w:hAnsi="Montserrat"/>
          <w:sz w:val="22"/>
          <w:szCs w:val="22"/>
        </w:rPr>
        <w:t xml:space="preserve"> en su caso, </w:t>
      </w:r>
      <w:r w:rsidR="001B2873" w:rsidRPr="0070500B">
        <w:rPr>
          <w:rFonts w:ascii="Montserrat" w:hAnsi="Montserrat"/>
          <w:sz w:val="22"/>
          <w:szCs w:val="22"/>
        </w:rPr>
        <w:t xml:space="preserve">aprobación </w:t>
      </w:r>
      <w:r w:rsidRPr="0070500B">
        <w:rPr>
          <w:rFonts w:ascii="Montserrat" w:hAnsi="Montserrat"/>
          <w:sz w:val="22"/>
          <w:szCs w:val="22"/>
        </w:rPr>
        <w:t>de la distribución del presupuesto anual definitivo de la entidad, de acuerdo con el monto total autorizado de su presupuesto.</w:t>
      </w:r>
    </w:p>
    <w:p w14:paraId="03276CA5" w14:textId="2DFD2259" w:rsidR="00094B85" w:rsidRDefault="00094B85" w:rsidP="00CE631C">
      <w:pPr>
        <w:pStyle w:val="Sinespaciado"/>
        <w:numPr>
          <w:ilvl w:val="1"/>
          <w:numId w:val="1"/>
        </w:numPr>
        <w:spacing w:before="240"/>
        <w:ind w:left="993" w:hanging="567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>Presentación y, en su caso, aprobación de la relación de proyectos, productos y/o servicios que generaron ingresos propios durante el ejercicio fiscal anterior.</w:t>
      </w:r>
    </w:p>
    <w:p w14:paraId="631B8839" w14:textId="1DA567AF" w:rsidR="006E5568" w:rsidRPr="001C4F8E" w:rsidRDefault="006E5568" w:rsidP="00CE631C">
      <w:pPr>
        <w:pStyle w:val="Sinespaciado"/>
        <w:numPr>
          <w:ilvl w:val="1"/>
          <w:numId w:val="1"/>
        </w:numPr>
        <w:spacing w:before="240"/>
        <w:ind w:left="993" w:hanging="567"/>
        <w:jc w:val="both"/>
        <w:rPr>
          <w:rFonts w:ascii="Montserrat" w:hAnsi="Montserrat"/>
          <w:sz w:val="22"/>
          <w:szCs w:val="22"/>
        </w:rPr>
      </w:pPr>
      <w:r w:rsidRPr="001C4F8E">
        <w:rPr>
          <w:rFonts w:ascii="Montserrat" w:hAnsi="Montserrat"/>
          <w:sz w:val="22"/>
          <w:szCs w:val="22"/>
        </w:rPr>
        <w:t>Presentación y, en su caso, aprobación para el registro de la disponibilidad inicial y final del ejercicio fiscal 2022, de El Colegio de la Frontera Sur.</w:t>
      </w:r>
    </w:p>
    <w:p w14:paraId="6D877485" w14:textId="1B24CED9" w:rsidR="006E5568" w:rsidRDefault="006E47FB" w:rsidP="00CE631C">
      <w:pPr>
        <w:pStyle w:val="Sinespaciado"/>
        <w:numPr>
          <w:ilvl w:val="1"/>
          <w:numId w:val="1"/>
        </w:numPr>
        <w:spacing w:before="240"/>
        <w:ind w:left="993" w:hanging="567"/>
        <w:jc w:val="both"/>
        <w:rPr>
          <w:rFonts w:ascii="Montserrat" w:hAnsi="Montserrat"/>
          <w:sz w:val="22"/>
          <w:szCs w:val="22"/>
        </w:rPr>
      </w:pPr>
      <w:r w:rsidRPr="006E47FB">
        <w:rPr>
          <w:rFonts w:ascii="Montserrat" w:hAnsi="Montserrat"/>
          <w:sz w:val="22"/>
          <w:szCs w:val="22"/>
        </w:rPr>
        <w:t>Presentación y, en su caso, aprobación del uso y destino de recursos autogenerados derivados de disponibilidades de proyectos y remanentes de las actividades de investigación, docencia, vinculación, desarrollo tecnológico o innovación</w:t>
      </w:r>
      <w:r>
        <w:rPr>
          <w:rFonts w:ascii="Montserrat" w:hAnsi="Montserrat"/>
          <w:sz w:val="22"/>
          <w:szCs w:val="22"/>
        </w:rPr>
        <w:t>.</w:t>
      </w:r>
    </w:p>
    <w:p w14:paraId="6E201187" w14:textId="2B2E0160" w:rsidR="00711936" w:rsidRPr="006E47FB" w:rsidRDefault="00711936" w:rsidP="00CE631C">
      <w:pPr>
        <w:pStyle w:val="Sinespaciado"/>
        <w:numPr>
          <w:ilvl w:val="1"/>
          <w:numId w:val="1"/>
        </w:numPr>
        <w:spacing w:before="240"/>
        <w:ind w:left="993" w:hanging="567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Presentación </w:t>
      </w:r>
      <w:r w:rsidR="00EE7E6E">
        <w:rPr>
          <w:rFonts w:ascii="Montserrat" w:hAnsi="Montserrat"/>
          <w:sz w:val="22"/>
          <w:szCs w:val="22"/>
        </w:rPr>
        <w:t xml:space="preserve">y, en su caso, </w:t>
      </w:r>
      <w:r w:rsidR="00670BF6">
        <w:rPr>
          <w:rFonts w:ascii="Montserrat" w:hAnsi="Montserrat"/>
          <w:sz w:val="22"/>
          <w:szCs w:val="22"/>
        </w:rPr>
        <w:t xml:space="preserve">aprobación </w:t>
      </w:r>
      <w:r w:rsidR="00BC4266">
        <w:rPr>
          <w:rFonts w:ascii="Montserrat" w:hAnsi="Montserrat"/>
          <w:sz w:val="22"/>
          <w:szCs w:val="22"/>
        </w:rPr>
        <w:t>del nombramiento</w:t>
      </w:r>
      <w:r w:rsidR="00156EA7">
        <w:rPr>
          <w:rFonts w:ascii="Montserrat" w:hAnsi="Montserrat"/>
          <w:sz w:val="22"/>
          <w:szCs w:val="22"/>
        </w:rPr>
        <w:t xml:space="preserve"> de la Subdirectora </w:t>
      </w:r>
      <w:r w:rsidR="006E192E">
        <w:rPr>
          <w:rFonts w:ascii="Montserrat" w:hAnsi="Montserrat"/>
          <w:sz w:val="22"/>
          <w:szCs w:val="22"/>
        </w:rPr>
        <w:t>de Recursos Humanos</w:t>
      </w:r>
      <w:r w:rsidR="005A69BF">
        <w:rPr>
          <w:rFonts w:ascii="Montserrat" w:hAnsi="Montserrat"/>
          <w:sz w:val="22"/>
          <w:szCs w:val="22"/>
        </w:rPr>
        <w:t xml:space="preserve"> de El Colegio de la Frontera Sur.</w:t>
      </w:r>
    </w:p>
    <w:p w14:paraId="1A7FB2DC" w14:textId="77777777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 xml:space="preserve">Informe de resultados de auditorías, exámenes y evaluaciones realizadas por el Órgano Interno de Control </w:t>
      </w:r>
      <w:r w:rsidRPr="0070500B">
        <w:rPr>
          <w:rFonts w:ascii="Montserrat" w:hAnsi="Montserrat"/>
          <w:bCs/>
          <w:sz w:val="22"/>
          <w:szCs w:val="22"/>
        </w:rPr>
        <w:t>(artículo 62, fracción III de la Ley Federal de las Entidades Paraestatales).</w:t>
      </w:r>
    </w:p>
    <w:p w14:paraId="2FFD6F40" w14:textId="6887059C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>Cuenta de la Hacienda Pública Federal 202</w:t>
      </w:r>
      <w:r w:rsidR="00DE38DC" w:rsidRPr="0070500B">
        <w:rPr>
          <w:rFonts w:ascii="Montserrat" w:hAnsi="Montserrat"/>
          <w:sz w:val="22"/>
          <w:szCs w:val="22"/>
        </w:rPr>
        <w:t>1</w:t>
      </w:r>
      <w:r w:rsidRPr="0070500B">
        <w:rPr>
          <w:rFonts w:ascii="Montserrat" w:hAnsi="Montserrat"/>
          <w:sz w:val="22"/>
          <w:szCs w:val="22"/>
        </w:rPr>
        <w:t>.</w:t>
      </w:r>
    </w:p>
    <w:p w14:paraId="28A1C61D" w14:textId="77777777" w:rsidR="00094B85" w:rsidRPr="0070500B" w:rsidRDefault="00094B85" w:rsidP="00CE631C">
      <w:pPr>
        <w:pStyle w:val="Sinespaciado"/>
        <w:numPr>
          <w:ilvl w:val="0"/>
          <w:numId w:val="1"/>
        </w:numPr>
        <w:spacing w:before="240"/>
        <w:jc w:val="both"/>
        <w:rPr>
          <w:rFonts w:ascii="Montserrat" w:hAnsi="Montserrat"/>
          <w:sz w:val="22"/>
          <w:szCs w:val="22"/>
        </w:rPr>
      </w:pPr>
      <w:r w:rsidRPr="0070500B">
        <w:rPr>
          <w:rFonts w:ascii="Montserrat" w:hAnsi="Montserrat"/>
          <w:sz w:val="22"/>
          <w:szCs w:val="22"/>
        </w:rPr>
        <w:t xml:space="preserve">Asuntos Generales. </w:t>
      </w:r>
    </w:p>
    <w:p w14:paraId="23C19C4F" w14:textId="77777777" w:rsidR="00AE7D0E" w:rsidRPr="00DB27CA" w:rsidRDefault="00AE7D0E" w:rsidP="00094B85">
      <w:pPr>
        <w:jc w:val="center"/>
        <w:rPr>
          <w:rFonts w:ascii="Montserrat" w:hAnsi="Montserrat" w:cs="Arial"/>
          <w:szCs w:val="22"/>
        </w:rPr>
      </w:pPr>
    </w:p>
    <w:sectPr w:rsidR="00AE7D0E" w:rsidRPr="00DB27CA" w:rsidSect="00422F43">
      <w:headerReference w:type="default" r:id="rId8"/>
      <w:footerReference w:type="default" r:id="rId9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5AF2" w14:textId="77777777" w:rsidR="002A39E1" w:rsidRDefault="002A39E1">
      <w:r>
        <w:separator/>
      </w:r>
    </w:p>
  </w:endnote>
  <w:endnote w:type="continuationSeparator" w:id="0">
    <w:p w14:paraId="251A42B1" w14:textId="77777777" w:rsidR="002A39E1" w:rsidRDefault="002A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2D45" w14:textId="77777777" w:rsidR="003A63EB" w:rsidRPr="004C16DA" w:rsidRDefault="002A39E1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</w:p>
  <w:p w14:paraId="2E1DAB53" w14:textId="73E0883D" w:rsidR="003A63EB" w:rsidRPr="004C16DA" w:rsidRDefault="00E87E85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  <w:r>
      <w:rPr>
        <w:rFonts w:ascii="Montserrat" w:eastAsia="Batang" w:hAnsi="Montserrat"/>
        <w:b/>
        <w:i/>
        <w:color w:val="A6A6A6"/>
        <w:sz w:val="18"/>
        <w:szCs w:val="18"/>
      </w:rPr>
      <w:t>Primera</w:t>
    </w:r>
    <w:r w:rsidR="00C96130" w:rsidRPr="004C16DA">
      <w:rPr>
        <w:rFonts w:ascii="Montserrat" w:eastAsia="Batang" w:hAnsi="Montserrat"/>
        <w:b/>
        <w:i/>
        <w:color w:val="A6A6A6"/>
        <w:sz w:val="18"/>
        <w:szCs w:val="18"/>
      </w:rPr>
      <w:t xml:space="preserve"> Sesión Ordinaria de la Junta de Gobierno 202</w:t>
    </w:r>
    <w:r>
      <w:rPr>
        <w:rFonts w:ascii="Montserrat" w:eastAsia="Batang" w:hAnsi="Montserrat"/>
        <w:b/>
        <w:i/>
        <w:color w:val="A6A6A6"/>
        <w:sz w:val="18"/>
        <w:szCs w:val="18"/>
      </w:rPr>
      <w:t>2</w:t>
    </w:r>
  </w:p>
  <w:p w14:paraId="43426146" w14:textId="77777777" w:rsidR="003A63EB" w:rsidRDefault="002A39E1" w:rsidP="003A63EB">
    <w:pPr>
      <w:pStyle w:val="Piedepgina"/>
      <w:jc w:val="center"/>
    </w:pPr>
  </w:p>
  <w:sdt>
    <w:sdtPr>
      <w:id w:val="1156028607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649A9744" w14:textId="77777777" w:rsidR="003A63EB" w:rsidRDefault="00C96130">
        <w:pPr>
          <w:pStyle w:val="Piedepgina"/>
          <w:jc w:val="right"/>
        </w:pPr>
        <w:r w:rsidRPr="00822148">
          <w:rPr>
            <w:rFonts w:ascii="Montserrat" w:hAnsi="Montserrat"/>
            <w:sz w:val="20"/>
            <w:szCs w:val="20"/>
          </w:rPr>
          <w:fldChar w:fldCharType="begin"/>
        </w:r>
        <w:r w:rsidRPr="00822148">
          <w:rPr>
            <w:rFonts w:ascii="Montserrat" w:hAnsi="Montserrat"/>
            <w:sz w:val="20"/>
            <w:szCs w:val="20"/>
          </w:rPr>
          <w:instrText>PAGE   \* MERGEFORMAT</w:instrText>
        </w:r>
        <w:r w:rsidRPr="00822148">
          <w:rPr>
            <w:rFonts w:ascii="Montserrat" w:hAnsi="Montserrat"/>
            <w:sz w:val="20"/>
            <w:szCs w:val="20"/>
          </w:rPr>
          <w:fldChar w:fldCharType="separate"/>
        </w:r>
        <w:r w:rsidRPr="00822148">
          <w:rPr>
            <w:rFonts w:ascii="Montserrat" w:hAnsi="Montserrat"/>
            <w:sz w:val="20"/>
            <w:szCs w:val="20"/>
            <w:lang w:val="es-ES"/>
          </w:rPr>
          <w:t>2</w:t>
        </w:r>
        <w:r w:rsidRPr="00822148">
          <w:rPr>
            <w:rFonts w:ascii="Montserrat" w:hAnsi="Montserrat"/>
            <w:sz w:val="20"/>
            <w:szCs w:val="20"/>
          </w:rPr>
          <w:fldChar w:fldCharType="end"/>
        </w:r>
      </w:p>
    </w:sdtContent>
  </w:sdt>
  <w:p w14:paraId="19A9E791" w14:textId="77777777" w:rsidR="00E57969" w:rsidRPr="004C16DA" w:rsidRDefault="002A39E1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2EAE" w14:textId="77777777" w:rsidR="002A39E1" w:rsidRDefault="002A39E1">
      <w:r>
        <w:separator/>
      </w:r>
    </w:p>
  </w:footnote>
  <w:footnote w:type="continuationSeparator" w:id="0">
    <w:p w14:paraId="69B3E070" w14:textId="77777777" w:rsidR="002A39E1" w:rsidRDefault="002A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3D7D" w14:textId="635C8498" w:rsidR="00EE1715" w:rsidRDefault="00094B2B" w:rsidP="00E364CC">
    <w:pPr>
      <w:pStyle w:val="Encabezado"/>
      <w:tabs>
        <w:tab w:val="left" w:pos="1134"/>
      </w:tabs>
    </w:pPr>
    <w:r>
      <w:rPr>
        <w:noProof/>
      </w:rPr>
      <w:drawing>
        <wp:inline distT="0" distB="0" distL="0" distR="0" wp14:anchorId="28B5BC15" wp14:editId="2B836DC7">
          <wp:extent cx="5468400" cy="954000"/>
          <wp:effectExtent l="0" t="0" r="0" b="0"/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84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74838F" w14:textId="53DAA3BB" w:rsidR="00CB67EE" w:rsidRDefault="002777F8" w:rsidP="002777F8">
    <w:pPr>
      <w:jc w:val="center"/>
      <w:rPr>
        <w:sz w:val="28"/>
        <w:szCs w:val="28"/>
      </w:rPr>
    </w:pPr>
    <w:r w:rsidRPr="002777F8">
      <w:rPr>
        <w:sz w:val="28"/>
        <w:szCs w:val="28"/>
      </w:rPr>
      <w:t>EL COLEGIO DE LA FRONTERA SUR</w:t>
    </w:r>
  </w:p>
  <w:p w14:paraId="05C80E9C" w14:textId="77777777" w:rsidR="009B3E3F" w:rsidRPr="002777F8" w:rsidRDefault="009B3E3F" w:rsidP="002777F8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22413">
    <w:abstractNumId w:val="1"/>
  </w:num>
  <w:num w:numId="2" w16cid:durableId="354232111">
    <w:abstractNumId w:val="0"/>
  </w:num>
  <w:num w:numId="3" w16cid:durableId="1659992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3433B"/>
    <w:rsid w:val="00062CF1"/>
    <w:rsid w:val="000733EA"/>
    <w:rsid w:val="00087333"/>
    <w:rsid w:val="000934AA"/>
    <w:rsid w:val="00094B2B"/>
    <w:rsid w:val="00094B85"/>
    <w:rsid w:val="000D6934"/>
    <w:rsid w:val="000E3223"/>
    <w:rsid w:val="00156EA7"/>
    <w:rsid w:val="00190C66"/>
    <w:rsid w:val="001A5A60"/>
    <w:rsid w:val="001B2873"/>
    <w:rsid w:val="001B7CC2"/>
    <w:rsid w:val="001C4F8E"/>
    <w:rsid w:val="001D0AAD"/>
    <w:rsid w:val="001D37C7"/>
    <w:rsid w:val="0024762E"/>
    <w:rsid w:val="00266457"/>
    <w:rsid w:val="002777F8"/>
    <w:rsid w:val="002A39E1"/>
    <w:rsid w:val="002C2E12"/>
    <w:rsid w:val="002E35F0"/>
    <w:rsid w:val="00340281"/>
    <w:rsid w:val="00452284"/>
    <w:rsid w:val="004531C7"/>
    <w:rsid w:val="004C16DA"/>
    <w:rsid w:val="004F6473"/>
    <w:rsid w:val="004F78FC"/>
    <w:rsid w:val="005012F9"/>
    <w:rsid w:val="00550F14"/>
    <w:rsid w:val="005547B6"/>
    <w:rsid w:val="0058714C"/>
    <w:rsid w:val="005A69BF"/>
    <w:rsid w:val="005D5FEE"/>
    <w:rsid w:val="005E25E9"/>
    <w:rsid w:val="005E3C8A"/>
    <w:rsid w:val="00642EB5"/>
    <w:rsid w:val="00655A94"/>
    <w:rsid w:val="006614F5"/>
    <w:rsid w:val="00665CBC"/>
    <w:rsid w:val="00670BF6"/>
    <w:rsid w:val="0067345A"/>
    <w:rsid w:val="006739E7"/>
    <w:rsid w:val="006C6F0B"/>
    <w:rsid w:val="006D628C"/>
    <w:rsid w:val="006D6ECD"/>
    <w:rsid w:val="006E192E"/>
    <w:rsid w:val="006E47FB"/>
    <w:rsid w:val="006E5568"/>
    <w:rsid w:val="0070500B"/>
    <w:rsid w:val="00711936"/>
    <w:rsid w:val="007650F6"/>
    <w:rsid w:val="00820BFA"/>
    <w:rsid w:val="00822148"/>
    <w:rsid w:val="00842569"/>
    <w:rsid w:val="00860912"/>
    <w:rsid w:val="00884C76"/>
    <w:rsid w:val="008A0D19"/>
    <w:rsid w:val="008A1FB2"/>
    <w:rsid w:val="008B7852"/>
    <w:rsid w:val="008C57F3"/>
    <w:rsid w:val="008F6F13"/>
    <w:rsid w:val="00902340"/>
    <w:rsid w:val="00946061"/>
    <w:rsid w:val="009B3E3F"/>
    <w:rsid w:val="009B48AB"/>
    <w:rsid w:val="009C671A"/>
    <w:rsid w:val="00A56ADE"/>
    <w:rsid w:val="00A6494E"/>
    <w:rsid w:val="00A6738C"/>
    <w:rsid w:val="00A903FC"/>
    <w:rsid w:val="00AE7D0E"/>
    <w:rsid w:val="00AF656F"/>
    <w:rsid w:val="00B10316"/>
    <w:rsid w:val="00B24D82"/>
    <w:rsid w:val="00B255BD"/>
    <w:rsid w:val="00B40BC9"/>
    <w:rsid w:val="00B76E4E"/>
    <w:rsid w:val="00BC4266"/>
    <w:rsid w:val="00C04FB0"/>
    <w:rsid w:val="00C96130"/>
    <w:rsid w:val="00CB67EE"/>
    <w:rsid w:val="00CE631C"/>
    <w:rsid w:val="00D01212"/>
    <w:rsid w:val="00D049A9"/>
    <w:rsid w:val="00D1238A"/>
    <w:rsid w:val="00D360E9"/>
    <w:rsid w:val="00D62CB2"/>
    <w:rsid w:val="00DB27CA"/>
    <w:rsid w:val="00DB4BD8"/>
    <w:rsid w:val="00DE0521"/>
    <w:rsid w:val="00DE38DC"/>
    <w:rsid w:val="00E036DB"/>
    <w:rsid w:val="00E715D7"/>
    <w:rsid w:val="00E87E85"/>
    <w:rsid w:val="00E90B82"/>
    <w:rsid w:val="00EB6A26"/>
    <w:rsid w:val="00EE7E6E"/>
    <w:rsid w:val="00F00D3B"/>
    <w:rsid w:val="00F5248F"/>
    <w:rsid w:val="00F5603B"/>
    <w:rsid w:val="00F81B1E"/>
    <w:rsid w:val="00FA2027"/>
    <w:rsid w:val="00F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9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cuerdo">
    <w:name w:val="tituloAcuerdo"/>
    <w:basedOn w:val="Normal"/>
    <w:link w:val="tituloAcuerdoCar"/>
    <w:qFormat/>
    <w:rsid w:val="006739E7"/>
    <w:pPr>
      <w:jc w:val="both"/>
    </w:pPr>
    <w:rPr>
      <w:rFonts w:ascii="Arial" w:eastAsia="Calibri" w:hAnsi="Arial" w:cs="Times New Roman"/>
      <w:b/>
      <w:sz w:val="22"/>
      <w:lang w:eastAsia="es-ES"/>
    </w:rPr>
  </w:style>
  <w:style w:type="character" w:customStyle="1" w:styleId="tituloAcuerdoCar">
    <w:name w:val="tituloAcuerdo Car"/>
    <w:basedOn w:val="Fuentedeprrafopredeter"/>
    <w:link w:val="tituloAcuerdo"/>
    <w:rsid w:val="006739E7"/>
    <w:rPr>
      <w:rFonts w:ascii="Arial" w:eastAsia="Calibri" w:hAnsi="Arial" w:cs="Times New Roman"/>
      <w:b/>
      <w:szCs w:val="24"/>
      <w:lang w:eastAsia="es-ES"/>
    </w:rPr>
  </w:style>
  <w:style w:type="character" w:styleId="Textoennegrita">
    <w:name w:val="Strong"/>
    <w:qFormat/>
    <w:rsid w:val="00AE7D0E"/>
    <w:rPr>
      <w:b/>
      <w:bCs/>
    </w:rPr>
  </w:style>
  <w:style w:type="paragraph" w:customStyle="1" w:styleId="EstiloNegritasAcuerdo">
    <w:name w:val="Estilo Negritas Acuerdo"/>
    <w:basedOn w:val="Prrafodelista"/>
    <w:link w:val="EstiloNegritasAcuerdoCar"/>
    <w:qFormat/>
    <w:locked/>
    <w:rsid w:val="00AE7D0E"/>
    <w:pPr>
      <w:ind w:left="2410" w:hanging="2410"/>
      <w:contextualSpacing w:val="0"/>
      <w:jc w:val="both"/>
    </w:pPr>
    <w:rPr>
      <w:rFonts w:ascii="Arial" w:eastAsia="Times New Roman" w:hAnsi="Arial" w:cs="Times New Roman"/>
      <w:b/>
      <w:sz w:val="22"/>
      <w:lang w:val="es-ES" w:eastAsia="es-ES"/>
    </w:rPr>
  </w:style>
  <w:style w:type="character" w:customStyle="1" w:styleId="EstiloNegritasAcuerdoCar">
    <w:name w:val="Estilo Negritas Acuerdo Car"/>
    <w:link w:val="EstiloNegritasAcuerdo"/>
    <w:rsid w:val="00AE7D0E"/>
    <w:rPr>
      <w:rFonts w:ascii="Arial" w:eastAsia="Times New Roman" w:hAnsi="Arial" w:cs="Times New Roman"/>
      <w:b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3A65-E0C4-44D7-A265-6AEC452B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Noé Gilberto Martínez Gómez</cp:lastModifiedBy>
  <cp:revision>33</cp:revision>
  <dcterms:created xsi:type="dcterms:W3CDTF">2022-03-28T19:02:00Z</dcterms:created>
  <dcterms:modified xsi:type="dcterms:W3CDTF">2022-05-24T17:04:00Z</dcterms:modified>
</cp:coreProperties>
</file>