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C3365" w14:textId="77777777" w:rsidR="003B1953" w:rsidRPr="003B1953" w:rsidRDefault="003B1953" w:rsidP="00486143">
      <w:pPr>
        <w:widowControl w:val="0"/>
        <w:tabs>
          <w:tab w:val="num" w:pos="0"/>
          <w:tab w:val="right" w:leader="dot" w:pos="7200"/>
        </w:tabs>
        <w:autoSpaceDE w:val="0"/>
        <w:autoSpaceDN w:val="0"/>
        <w:spacing w:line="276" w:lineRule="auto"/>
        <w:jc w:val="both"/>
        <w:outlineLvl w:val="0"/>
        <w:rPr>
          <w:rFonts w:ascii="Montserrat" w:eastAsia="Times New Roman" w:hAnsi="Montserrat" w:cs="Arial"/>
          <w:b/>
          <w:i/>
          <w:lang w:eastAsia="es-ES"/>
        </w:rPr>
      </w:pPr>
      <w:r w:rsidRPr="003B1953">
        <w:rPr>
          <w:rFonts w:ascii="Montserrat" w:eastAsia="Times New Roman" w:hAnsi="Montserrat" w:cs="Arial"/>
          <w:b/>
          <w:i/>
          <w:lang w:eastAsia="es-ES"/>
        </w:rPr>
        <w:t>5.15. Avance en la atención a observaciones de instancias fiscalizadoras</w:t>
      </w:r>
    </w:p>
    <w:p w14:paraId="476C6EB3" w14:textId="77777777" w:rsidR="003B1953" w:rsidRPr="003B1953" w:rsidRDefault="003B1953" w:rsidP="003B1953">
      <w:pPr>
        <w:widowControl w:val="0"/>
        <w:tabs>
          <w:tab w:val="num" w:pos="0"/>
          <w:tab w:val="right" w:leader="dot" w:pos="7200"/>
        </w:tabs>
        <w:autoSpaceDE w:val="0"/>
        <w:autoSpaceDN w:val="0"/>
        <w:spacing w:line="276" w:lineRule="auto"/>
        <w:outlineLvl w:val="0"/>
        <w:rPr>
          <w:rFonts w:ascii="Montserrata" w:eastAsia="Times New Roman" w:hAnsi="Montserrata" w:cs="Arial"/>
          <w:i/>
          <w:sz w:val="22"/>
          <w:szCs w:val="22"/>
          <w:lang w:eastAsia="es-ES"/>
        </w:rPr>
      </w:pPr>
    </w:p>
    <w:p w14:paraId="25DFAE08" w14:textId="77777777" w:rsidR="003B1953" w:rsidRPr="003B1953" w:rsidRDefault="003B1953" w:rsidP="003B1953">
      <w:pPr>
        <w:autoSpaceDE w:val="0"/>
        <w:autoSpaceDN w:val="0"/>
        <w:spacing w:line="276" w:lineRule="auto"/>
        <w:jc w:val="both"/>
        <w:rPr>
          <w:rFonts w:ascii="Montserrat" w:eastAsia="Times New Roman" w:hAnsi="Montserrat" w:cs="Arial"/>
          <w:sz w:val="22"/>
          <w:szCs w:val="22"/>
          <w:lang w:eastAsia="es-ES"/>
        </w:rPr>
      </w:pPr>
      <w:r w:rsidRPr="003B1953">
        <w:rPr>
          <w:rFonts w:ascii="Montserrat" w:eastAsia="Times New Roman" w:hAnsi="Montserrat" w:cs="Arial"/>
          <w:sz w:val="22"/>
          <w:szCs w:val="22"/>
          <w:lang w:eastAsia="es-ES"/>
        </w:rPr>
        <w:t>Al inicio del ejercicio 2021, la institución tenía 11 observaciones pendientes de atender, durante el primer semestre del año en curso, se determinaron 4 nuevas observaciones (3 emitidas por el Órgano Interno de Control y 1 por el Despacho de Auditores Externos); al cierre del primer semestre se solventaron 10 observaciones, quedando pendientes de solventar 5 observaciones, como a continuación se detalla:</w:t>
      </w:r>
    </w:p>
    <w:p w14:paraId="11243D0E" w14:textId="77777777" w:rsidR="003B1953" w:rsidRPr="003B1953" w:rsidRDefault="003B1953" w:rsidP="003B1953">
      <w:pPr>
        <w:autoSpaceDE w:val="0"/>
        <w:autoSpaceDN w:val="0"/>
        <w:spacing w:line="360" w:lineRule="auto"/>
        <w:jc w:val="both"/>
        <w:rPr>
          <w:rFonts w:ascii="Montserrata" w:eastAsia="Times New Roman" w:hAnsi="Montserrata" w:cs="Arial"/>
          <w:sz w:val="22"/>
          <w:szCs w:val="22"/>
          <w:lang w:eastAsia="es-ES"/>
        </w:rPr>
      </w:pPr>
    </w:p>
    <w:tbl>
      <w:tblPr>
        <w:tblW w:w="882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6"/>
        <w:gridCol w:w="1212"/>
        <w:gridCol w:w="990"/>
        <w:gridCol w:w="930"/>
        <w:gridCol w:w="865"/>
        <w:gridCol w:w="632"/>
        <w:gridCol w:w="2037"/>
      </w:tblGrid>
      <w:tr w:rsidR="003B1953" w:rsidRPr="00486143" w14:paraId="0EA1ABD0" w14:textId="77777777" w:rsidTr="003B1953">
        <w:tc>
          <w:tcPr>
            <w:tcW w:w="215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46F4E3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INSTANCIA FISCALIZADORA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5B2D8826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SALDO INICIAL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CCF1EB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DETERMINADAS 2021 SEMESTRE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69B596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ATENDIDAS 2021</w:t>
            </w:r>
          </w:p>
          <w:p w14:paraId="3B682704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SEMESTRE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0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D9108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OBSERVACIONES PENDIENTES AL 30/06/2021</w:t>
            </w:r>
          </w:p>
        </w:tc>
      </w:tr>
      <w:tr w:rsidR="003B1953" w:rsidRPr="00486143" w14:paraId="5FC80A0E" w14:textId="77777777" w:rsidTr="003B1953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48FE1C" w14:textId="77777777" w:rsidR="003B1953" w:rsidRPr="00486143" w:rsidRDefault="003B1953" w:rsidP="003B1953">
            <w:pPr>
              <w:spacing w:line="276" w:lineRule="auto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49772C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01/01/2021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6DCEB1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I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9F31DE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II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8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48FC1F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I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6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FD0F5F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II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438EBE" w14:textId="77777777" w:rsidR="003B1953" w:rsidRPr="00486143" w:rsidRDefault="003B1953" w:rsidP="003B1953">
            <w:pPr>
              <w:spacing w:line="276" w:lineRule="auto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</w:p>
        </w:tc>
      </w:tr>
      <w:tr w:rsidR="003B1953" w:rsidRPr="00486143" w14:paraId="2C59861A" w14:textId="77777777" w:rsidTr="003B1953">
        <w:tc>
          <w:tcPr>
            <w:tcW w:w="21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369EAB" w14:textId="77777777" w:rsidR="003B1953" w:rsidRPr="00486143" w:rsidRDefault="003B1953" w:rsidP="003B1953">
            <w:pPr>
              <w:spacing w:line="276" w:lineRule="auto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proofErr w:type="spellStart"/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Órgano</w:t>
            </w:r>
            <w:proofErr w:type="spellEnd"/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 </w:t>
            </w:r>
            <w:proofErr w:type="spellStart"/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Interno</w:t>
            </w:r>
            <w:proofErr w:type="spellEnd"/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 de Control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71C8F6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11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3739BE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4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AF0696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0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9CB42A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10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B8528D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43B3E7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18"/>
                <w:szCs w:val="18"/>
                <w:lang w:val="en-US" w:eastAsia="es-MX"/>
              </w:rPr>
              <w:t>4</w:t>
            </w:r>
          </w:p>
        </w:tc>
      </w:tr>
      <w:tr w:rsidR="003B1953" w:rsidRPr="00486143" w14:paraId="35027C7B" w14:textId="77777777" w:rsidTr="003B1953">
        <w:trPr>
          <w:trHeight w:val="360"/>
        </w:trPr>
        <w:tc>
          <w:tcPr>
            <w:tcW w:w="21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7A5D7B" w14:textId="77777777" w:rsidR="003B1953" w:rsidRPr="00486143" w:rsidRDefault="003B1953" w:rsidP="003B1953">
            <w:pPr>
              <w:spacing w:line="276" w:lineRule="auto"/>
              <w:jc w:val="both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proofErr w:type="spellStart"/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Auditores</w:t>
            </w:r>
            <w:proofErr w:type="spellEnd"/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 </w:t>
            </w:r>
            <w:proofErr w:type="spellStart"/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externos</w:t>
            </w:r>
            <w:proofErr w:type="spellEnd"/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60D67B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10F942" w14:textId="77777777" w:rsidR="003B1953" w:rsidRPr="00486143" w:rsidRDefault="003B1953" w:rsidP="003B1953">
            <w:pPr>
              <w:spacing w:line="276" w:lineRule="auto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18"/>
                <w:szCs w:val="18"/>
                <w:lang w:val="en-US" w:eastAsia="es-MX"/>
              </w:rPr>
              <w:t xml:space="preserve">         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3756B5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0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062FCD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0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64A157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8E6697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18"/>
                <w:szCs w:val="18"/>
                <w:lang w:val="en-US" w:eastAsia="es-MX"/>
              </w:rPr>
              <w:t>1</w:t>
            </w:r>
          </w:p>
        </w:tc>
      </w:tr>
      <w:tr w:rsidR="003B1953" w:rsidRPr="00486143" w14:paraId="78B49B52" w14:textId="77777777" w:rsidTr="003B1953">
        <w:trPr>
          <w:trHeight w:val="360"/>
        </w:trPr>
        <w:tc>
          <w:tcPr>
            <w:tcW w:w="21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6E5B6B" w14:textId="77777777" w:rsidR="003B1953" w:rsidRPr="00486143" w:rsidRDefault="003B1953" w:rsidP="003B1953">
            <w:pPr>
              <w:spacing w:line="276" w:lineRule="auto"/>
              <w:jc w:val="right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Total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B5DE75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18"/>
                <w:szCs w:val="18"/>
                <w:lang w:val="en-US" w:eastAsia="es-MX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23E607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18"/>
                <w:szCs w:val="18"/>
                <w:lang w:val="en-US" w:eastAsia="es-MX"/>
              </w:rPr>
              <w:t>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C64DF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0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F6A00B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b/>
                <w:bCs/>
                <w:sz w:val="22"/>
                <w:szCs w:val="22"/>
                <w:lang w:val="en-US" w:eastAsia="es-MX"/>
              </w:rPr>
              <w:t>10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66A873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>0</w:t>
            </w:r>
            <w:r w:rsidRPr="00486143">
              <w:rPr>
                <w:rFonts w:ascii="Montserrat" w:eastAsia="Times New Roman" w:hAnsi="Montserrat" w:cs="Segoe U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59378C" w14:textId="77777777" w:rsidR="003B1953" w:rsidRPr="00486143" w:rsidRDefault="003B1953" w:rsidP="003B1953">
            <w:pPr>
              <w:spacing w:line="276" w:lineRule="auto"/>
              <w:jc w:val="center"/>
              <w:textAlignment w:val="baseline"/>
              <w:rPr>
                <w:rFonts w:ascii="Montserrat" w:eastAsia="Times New Roman" w:hAnsi="Montserrat" w:cs="Segoe UI"/>
                <w:sz w:val="18"/>
                <w:szCs w:val="18"/>
                <w:lang w:eastAsia="es-MX"/>
              </w:rPr>
            </w:pPr>
            <w:r w:rsidRPr="00486143">
              <w:rPr>
                <w:rFonts w:ascii="Montserrat" w:eastAsia="Times New Roman" w:hAnsi="Montserrat" w:cs="Segoe UI"/>
                <w:sz w:val="22"/>
                <w:szCs w:val="22"/>
                <w:lang w:val="en-US" w:eastAsia="es-MX"/>
              </w:rPr>
              <w:t xml:space="preserve"> 5</w:t>
            </w:r>
          </w:p>
        </w:tc>
      </w:tr>
    </w:tbl>
    <w:p w14:paraId="5FCF73C0" w14:textId="77777777" w:rsidR="003B1953" w:rsidRPr="003B1953" w:rsidRDefault="003B1953" w:rsidP="003B1953">
      <w:pPr>
        <w:autoSpaceDE w:val="0"/>
        <w:autoSpaceDN w:val="0"/>
        <w:spacing w:line="360" w:lineRule="auto"/>
        <w:jc w:val="both"/>
        <w:rPr>
          <w:rFonts w:ascii="Montserrata" w:eastAsia="Times New Roman" w:hAnsi="Montserrata" w:cs="Arial"/>
          <w:sz w:val="22"/>
          <w:szCs w:val="22"/>
          <w:lang w:eastAsia="es-ES"/>
        </w:rPr>
      </w:pPr>
    </w:p>
    <w:p w14:paraId="746CA5EA" w14:textId="77777777" w:rsidR="003B1953" w:rsidRPr="003B1953" w:rsidRDefault="003B1953" w:rsidP="003B1953">
      <w:pPr>
        <w:autoSpaceDE w:val="0"/>
        <w:autoSpaceDN w:val="0"/>
        <w:spacing w:line="276" w:lineRule="auto"/>
        <w:jc w:val="both"/>
        <w:rPr>
          <w:rFonts w:ascii="Montserrat" w:eastAsia="Times New Roman" w:hAnsi="Montserrat" w:cs="Arial"/>
          <w:sz w:val="22"/>
          <w:szCs w:val="22"/>
          <w:lang w:eastAsia="es-ES"/>
        </w:rPr>
      </w:pPr>
      <w:r w:rsidRPr="003B1953">
        <w:rPr>
          <w:rFonts w:ascii="Montserrat" w:eastAsia="Times New Roman" w:hAnsi="Montserrat" w:cs="Arial"/>
          <w:sz w:val="22"/>
          <w:szCs w:val="22"/>
          <w:lang w:eastAsia="es-ES"/>
        </w:rPr>
        <w:t>La descripción genérica de las observaciones pendientes de atención al cierre del primer semestre 2021 clasificadas de bajo y mediano riesgo, es la siguiente:</w:t>
      </w:r>
    </w:p>
    <w:p w14:paraId="0726043D" w14:textId="77777777" w:rsidR="003B1953" w:rsidRPr="003B1953" w:rsidRDefault="003B1953" w:rsidP="003B1953">
      <w:pPr>
        <w:autoSpaceDE w:val="0"/>
        <w:autoSpaceDN w:val="0"/>
        <w:spacing w:line="360" w:lineRule="auto"/>
        <w:rPr>
          <w:rFonts w:ascii="Montserrata" w:eastAsia="Times New Roman" w:hAnsi="Montserrata" w:cs="Arial"/>
          <w:sz w:val="22"/>
          <w:szCs w:val="22"/>
          <w:lang w:eastAsia="es-ES"/>
        </w:rPr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097"/>
      </w:tblGrid>
      <w:tr w:rsidR="003B1953" w:rsidRPr="00486143" w14:paraId="4BEA6635" w14:textId="77777777" w:rsidTr="003B1953">
        <w:trPr>
          <w:jc w:val="center"/>
        </w:trPr>
        <w:tc>
          <w:tcPr>
            <w:tcW w:w="951" w:type="pct"/>
            <w:shd w:val="clear" w:color="auto" w:fill="auto"/>
            <w:vAlign w:val="center"/>
          </w:tcPr>
          <w:p w14:paraId="587D3FF2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No. DE AUDITORÍA Y</w:t>
            </w:r>
          </w:p>
          <w:p w14:paraId="580B120F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OBSERVACIÓN</w:t>
            </w:r>
          </w:p>
        </w:tc>
        <w:tc>
          <w:tcPr>
            <w:tcW w:w="1192" w:type="pct"/>
            <w:shd w:val="clear" w:color="auto" w:fill="auto"/>
            <w:vAlign w:val="center"/>
          </w:tcPr>
          <w:p w14:paraId="3BC0BFE9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NOMBRE DE LA AUDITORÍA</w:t>
            </w:r>
          </w:p>
        </w:tc>
        <w:tc>
          <w:tcPr>
            <w:tcW w:w="2857" w:type="pct"/>
            <w:shd w:val="clear" w:color="auto" w:fill="auto"/>
            <w:vAlign w:val="center"/>
          </w:tcPr>
          <w:p w14:paraId="6C8F2E26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OBSERVACIÓN</w:t>
            </w:r>
          </w:p>
        </w:tc>
      </w:tr>
      <w:tr w:rsidR="003B1953" w:rsidRPr="00486143" w14:paraId="0009E56C" w14:textId="77777777" w:rsidTr="003B1953">
        <w:trPr>
          <w:jc w:val="center"/>
        </w:trPr>
        <w:tc>
          <w:tcPr>
            <w:tcW w:w="951" w:type="pct"/>
            <w:shd w:val="clear" w:color="auto" w:fill="auto"/>
          </w:tcPr>
          <w:p w14:paraId="7A5FE993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</w:pPr>
            <w:r w:rsidRPr="00486143"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  <w:t>003/2020</w:t>
            </w:r>
          </w:p>
        </w:tc>
        <w:tc>
          <w:tcPr>
            <w:tcW w:w="1192" w:type="pct"/>
            <w:shd w:val="clear" w:color="auto" w:fill="auto"/>
          </w:tcPr>
          <w:p w14:paraId="4C90A2F0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>210 “Adquisiciones, Arrendamientos y Servicios”</w:t>
            </w:r>
          </w:p>
        </w:tc>
        <w:tc>
          <w:tcPr>
            <w:tcW w:w="2857" w:type="pct"/>
            <w:shd w:val="clear" w:color="auto" w:fill="auto"/>
          </w:tcPr>
          <w:p w14:paraId="63C7B8D0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both"/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  <w:t xml:space="preserve">Desactualización de las Políticas, Bases y Lineamientos en Materia de Adquisiciones, Arrendamientos y Servicios, Disposiciones Generales a las que se sujetan las autorizaciones que otorgue el Titular de El Colegio de la Frontera Sur (ECOSUR), para la celebración de Contratos Plurianuales en materia de Adquisiciones, Arrendamientos y Servicios y Manual de Integración y </w:t>
            </w:r>
            <w:r w:rsidRPr="00486143"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  <w:lastRenderedPageBreak/>
              <w:t>Funcionamiento del Comité de Adquisiciones, Arrendamientos y Servicios ambas de El Colegio de la Frontera Sur.</w:t>
            </w:r>
          </w:p>
        </w:tc>
      </w:tr>
      <w:tr w:rsidR="003B1953" w:rsidRPr="00486143" w14:paraId="701C65D4" w14:textId="77777777" w:rsidTr="003B1953">
        <w:trPr>
          <w:jc w:val="center"/>
        </w:trPr>
        <w:tc>
          <w:tcPr>
            <w:tcW w:w="951" w:type="pct"/>
            <w:shd w:val="clear" w:color="auto" w:fill="auto"/>
          </w:tcPr>
          <w:p w14:paraId="16B31C41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</w:pPr>
            <w:r w:rsidRPr="00486143"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  <w:lastRenderedPageBreak/>
              <w:t>001/2021</w:t>
            </w:r>
          </w:p>
        </w:tc>
        <w:tc>
          <w:tcPr>
            <w:tcW w:w="1192" w:type="pct"/>
            <w:shd w:val="clear" w:color="auto" w:fill="auto"/>
          </w:tcPr>
          <w:p w14:paraId="704FB00B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 xml:space="preserve">370 "Fideicomisos, Mandatos y Contratos Análogos sin Estructura Orgánica" </w:t>
            </w:r>
          </w:p>
        </w:tc>
        <w:tc>
          <w:tcPr>
            <w:tcW w:w="2857" w:type="pct"/>
            <w:shd w:val="clear" w:color="auto" w:fill="auto"/>
          </w:tcPr>
          <w:p w14:paraId="3C2199F7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both"/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  <w:t>Falta de documentación para la extinción total del Fondo de Investigación Científica y Desarrollo Tecnológico de El Colegio de la Frontera Sur (FID-784).</w:t>
            </w:r>
          </w:p>
        </w:tc>
      </w:tr>
      <w:tr w:rsidR="003B1953" w:rsidRPr="00486143" w14:paraId="7E17914F" w14:textId="77777777" w:rsidTr="003B1953">
        <w:trPr>
          <w:jc w:val="center"/>
        </w:trPr>
        <w:tc>
          <w:tcPr>
            <w:tcW w:w="951" w:type="pct"/>
            <w:shd w:val="clear" w:color="auto" w:fill="auto"/>
          </w:tcPr>
          <w:p w14:paraId="0C7B72B3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</w:pPr>
            <w:r w:rsidRPr="00486143"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  <w:t>002/2021</w:t>
            </w:r>
          </w:p>
        </w:tc>
        <w:tc>
          <w:tcPr>
            <w:tcW w:w="1192" w:type="pct"/>
            <w:shd w:val="clear" w:color="auto" w:fill="auto"/>
          </w:tcPr>
          <w:p w14:paraId="76EBFA17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 xml:space="preserve">370 “Recursos Humanos” </w:t>
            </w:r>
          </w:p>
        </w:tc>
        <w:tc>
          <w:tcPr>
            <w:tcW w:w="2857" w:type="pct"/>
            <w:shd w:val="clear" w:color="auto" w:fill="auto"/>
          </w:tcPr>
          <w:p w14:paraId="55E645FB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both"/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  <w:t>Falta de homogeneidad en los procedimientos para reclutamiento y selección de candidatos a puestos vacantes de las diversas áreas Administrativas de El Colegio de la Frontera Sur.</w:t>
            </w:r>
          </w:p>
        </w:tc>
      </w:tr>
      <w:tr w:rsidR="003B1953" w:rsidRPr="00486143" w14:paraId="2F79EB22" w14:textId="77777777" w:rsidTr="003B1953">
        <w:trPr>
          <w:jc w:val="center"/>
        </w:trPr>
        <w:tc>
          <w:tcPr>
            <w:tcW w:w="951" w:type="pct"/>
            <w:shd w:val="clear" w:color="auto" w:fill="auto"/>
          </w:tcPr>
          <w:p w14:paraId="692E8FD0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</w:pPr>
            <w:r w:rsidRPr="00486143"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  <w:t>002/2021</w:t>
            </w:r>
          </w:p>
        </w:tc>
        <w:tc>
          <w:tcPr>
            <w:tcW w:w="1192" w:type="pct"/>
            <w:shd w:val="clear" w:color="auto" w:fill="auto"/>
          </w:tcPr>
          <w:p w14:paraId="3A50122D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>370 “Recursos Humanos”</w:t>
            </w:r>
          </w:p>
        </w:tc>
        <w:tc>
          <w:tcPr>
            <w:tcW w:w="2857" w:type="pct"/>
            <w:shd w:val="clear" w:color="auto" w:fill="auto"/>
          </w:tcPr>
          <w:p w14:paraId="2CD62C9A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both"/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  <w:t>Insuficiencias y deficiencias en el control interno de la Administración de Recursos Humanos.</w:t>
            </w:r>
          </w:p>
        </w:tc>
      </w:tr>
      <w:tr w:rsidR="003B1953" w:rsidRPr="00486143" w14:paraId="5CDE0F4E" w14:textId="77777777" w:rsidTr="003B1953">
        <w:trPr>
          <w:jc w:val="center"/>
        </w:trPr>
        <w:tc>
          <w:tcPr>
            <w:tcW w:w="951" w:type="pct"/>
            <w:shd w:val="clear" w:color="auto" w:fill="auto"/>
          </w:tcPr>
          <w:p w14:paraId="733E535C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</w:pPr>
            <w:r w:rsidRPr="00486143">
              <w:rPr>
                <w:rFonts w:ascii="Montserrat" w:eastAsia="Times New Roman" w:hAnsi="Montserrat" w:cs="Arial"/>
                <w:bCs/>
                <w:color w:val="000000"/>
                <w:sz w:val="22"/>
                <w:szCs w:val="22"/>
                <w:lang w:eastAsia="es-MX"/>
              </w:rPr>
              <w:t>S/N</w:t>
            </w:r>
          </w:p>
        </w:tc>
        <w:tc>
          <w:tcPr>
            <w:tcW w:w="1192" w:type="pct"/>
            <w:shd w:val="clear" w:color="auto" w:fill="auto"/>
          </w:tcPr>
          <w:p w14:paraId="3910F2B9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>Auditoría Externa</w:t>
            </w:r>
          </w:p>
        </w:tc>
        <w:tc>
          <w:tcPr>
            <w:tcW w:w="2857" w:type="pct"/>
            <w:shd w:val="clear" w:color="auto" w:fill="auto"/>
          </w:tcPr>
          <w:p w14:paraId="5A3C7840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both"/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Times New Roman"/>
                <w:color w:val="000000"/>
                <w:sz w:val="22"/>
                <w:szCs w:val="22"/>
                <w:lang w:eastAsia="es-ES"/>
              </w:rPr>
              <w:t>Diferencia entre las cifras según contabilidad y activo fijo (3,169,096 / 1%)</w:t>
            </w:r>
          </w:p>
        </w:tc>
      </w:tr>
    </w:tbl>
    <w:p w14:paraId="4DFE1E4B" w14:textId="77777777" w:rsidR="003B1953" w:rsidRPr="003B1953" w:rsidRDefault="003B1953" w:rsidP="003B1953">
      <w:pPr>
        <w:autoSpaceDE w:val="0"/>
        <w:autoSpaceDN w:val="0"/>
        <w:spacing w:line="360" w:lineRule="auto"/>
        <w:rPr>
          <w:rFonts w:ascii="Montserrata" w:eastAsia="Times New Roman" w:hAnsi="Montserrata" w:cs="Arial"/>
          <w:sz w:val="22"/>
          <w:szCs w:val="22"/>
          <w:lang w:eastAsia="es-ES"/>
        </w:rPr>
      </w:pPr>
    </w:p>
    <w:p w14:paraId="415061E1" w14:textId="77777777" w:rsidR="003B1953" w:rsidRPr="003B1953" w:rsidRDefault="003B1953" w:rsidP="003B1953">
      <w:pPr>
        <w:autoSpaceDE w:val="0"/>
        <w:autoSpaceDN w:val="0"/>
        <w:spacing w:line="276" w:lineRule="auto"/>
        <w:rPr>
          <w:rFonts w:ascii="Montserrat" w:eastAsia="Times New Roman" w:hAnsi="Montserrat" w:cs="Arial"/>
          <w:sz w:val="22"/>
          <w:szCs w:val="22"/>
          <w:lang w:eastAsia="es-ES"/>
        </w:rPr>
      </w:pPr>
      <w:r w:rsidRPr="003B1953">
        <w:rPr>
          <w:rFonts w:ascii="Montserrat" w:eastAsia="Times New Roman" w:hAnsi="Montserrat" w:cs="Arial"/>
          <w:sz w:val="22"/>
          <w:szCs w:val="22"/>
          <w:lang w:eastAsia="es-ES"/>
        </w:rPr>
        <w:t>De acuerdo con su antigüedad las observaciones se clasifican de la siguiente manera:</w:t>
      </w:r>
    </w:p>
    <w:p w14:paraId="43C7CF1A" w14:textId="77777777" w:rsidR="003B1953" w:rsidRPr="003B1953" w:rsidRDefault="003B1953" w:rsidP="003B1953">
      <w:pPr>
        <w:autoSpaceDE w:val="0"/>
        <w:autoSpaceDN w:val="0"/>
        <w:spacing w:line="360" w:lineRule="auto"/>
        <w:rPr>
          <w:rFonts w:ascii="Montserrata" w:eastAsia="Times New Roman" w:hAnsi="Montserrata" w:cs="Arial"/>
          <w:sz w:val="22"/>
          <w:szCs w:val="22"/>
          <w:lang w:eastAsia="es-ES"/>
        </w:rPr>
      </w:pPr>
    </w:p>
    <w:tbl>
      <w:tblPr>
        <w:tblW w:w="8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30"/>
        <w:gridCol w:w="2507"/>
        <w:gridCol w:w="1007"/>
      </w:tblGrid>
      <w:tr w:rsidR="003B1953" w:rsidRPr="00486143" w14:paraId="0D8A15EA" w14:textId="77777777" w:rsidTr="007C5B11">
        <w:trPr>
          <w:jc w:val="center"/>
        </w:trPr>
        <w:tc>
          <w:tcPr>
            <w:tcW w:w="7229" w:type="dxa"/>
            <w:gridSpan w:val="3"/>
            <w:shd w:val="clear" w:color="auto" w:fill="auto"/>
            <w:vAlign w:val="center"/>
          </w:tcPr>
          <w:p w14:paraId="6360F488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ANTIGÜEDAD</w:t>
            </w:r>
          </w:p>
        </w:tc>
        <w:tc>
          <w:tcPr>
            <w:tcW w:w="1007" w:type="dxa"/>
            <w:vMerge w:val="restart"/>
            <w:shd w:val="clear" w:color="auto" w:fill="auto"/>
            <w:vAlign w:val="center"/>
          </w:tcPr>
          <w:p w14:paraId="1991E850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TOTAL</w:t>
            </w:r>
          </w:p>
        </w:tc>
      </w:tr>
      <w:tr w:rsidR="003B1953" w:rsidRPr="00486143" w14:paraId="0CFED817" w14:textId="77777777" w:rsidTr="007C5B11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14:paraId="0577651D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MAYOR A 18 MESES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506EB85D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DE 6 A 18 MESES</w:t>
            </w:r>
          </w:p>
        </w:tc>
        <w:tc>
          <w:tcPr>
            <w:tcW w:w="2507" w:type="dxa"/>
            <w:shd w:val="clear" w:color="auto" w:fill="auto"/>
            <w:vAlign w:val="center"/>
          </w:tcPr>
          <w:p w14:paraId="42A3B5C8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b/>
                <w:sz w:val="22"/>
                <w:szCs w:val="22"/>
                <w:lang w:eastAsia="es-ES"/>
              </w:rPr>
              <w:t>MENOR A 6 MESES</w:t>
            </w:r>
          </w:p>
        </w:tc>
        <w:tc>
          <w:tcPr>
            <w:tcW w:w="1007" w:type="dxa"/>
            <w:vMerge/>
            <w:shd w:val="clear" w:color="auto" w:fill="auto"/>
            <w:vAlign w:val="center"/>
          </w:tcPr>
          <w:p w14:paraId="1D818603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</w:p>
        </w:tc>
      </w:tr>
      <w:tr w:rsidR="003B1953" w:rsidRPr="00486143" w14:paraId="1FB583D9" w14:textId="77777777" w:rsidTr="007C5B11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14:paraId="27B4AA45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58F4F095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507" w:type="dxa"/>
            <w:shd w:val="clear" w:color="auto" w:fill="auto"/>
            <w:vAlign w:val="center"/>
          </w:tcPr>
          <w:p w14:paraId="47BE63F6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>4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6E0DBA6B" w14:textId="77777777" w:rsidR="003B1953" w:rsidRPr="00486143" w:rsidRDefault="003B1953" w:rsidP="003B1953">
            <w:pPr>
              <w:autoSpaceDE w:val="0"/>
              <w:autoSpaceDN w:val="0"/>
              <w:spacing w:line="276" w:lineRule="auto"/>
              <w:jc w:val="center"/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</w:pPr>
            <w:r w:rsidRPr="00486143">
              <w:rPr>
                <w:rFonts w:ascii="Montserrat" w:eastAsia="Times New Roman" w:hAnsi="Montserrat" w:cs="Arial"/>
                <w:sz w:val="22"/>
                <w:szCs w:val="22"/>
                <w:lang w:eastAsia="es-ES"/>
              </w:rPr>
              <w:t>5</w:t>
            </w:r>
          </w:p>
        </w:tc>
      </w:tr>
    </w:tbl>
    <w:p w14:paraId="118FE1BE" w14:textId="77777777" w:rsidR="003B1953" w:rsidRPr="003B1953" w:rsidRDefault="003B1953" w:rsidP="003B1953">
      <w:pPr>
        <w:spacing w:line="276" w:lineRule="auto"/>
        <w:rPr>
          <w:rFonts w:ascii="Montserrata" w:eastAsia="Calibri" w:hAnsi="Montserrata" w:cs="Arial"/>
          <w:sz w:val="22"/>
          <w:szCs w:val="22"/>
        </w:rPr>
      </w:pPr>
    </w:p>
    <w:p w14:paraId="57D3FB8E" w14:textId="77777777" w:rsidR="003B1953" w:rsidRPr="003B1953" w:rsidRDefault="003B1953" w:rsidP="003B1953">
      <w:pPr>
        <w:autoSpaceDE w:val="0"/>
        <w:autoSpaceDN w:val="0"/>
        <w:spacing w:line="276" w:lineRule="auto"/>
        <w:rPr>
          <w:rFonts w:ascii="Montserrata" w:eastAsia="Times New Roman" w:hAnsi="Montserrata" w:cs="Times New Roman"/>
          <w:sz w:val="22"/>
          <w:szCs w:val="22"/>
          <w:lang w:eastAsia="es-ES"/>
        </w:rPr>
      </w:pPr>
    </w:p>
    <w:p w14:paraId="7A666600" w14:textId="77777777" w:rsidR="003B1953" w:rsidRPr="003B1953" w:rsidRDefault="003B1953" w:rsidP="003B1953">
      <w:pPr>
        <w:tabs>
          <w:tab w:val="left" w:pos="5760"/>
        </w:tabs>
        <w:autoSpaceDE w:val="0"/>
        <w:autoSpaceDN w:val="0"/>
        <w:spacing w:line="276" w:lineRule="auto"/>
        <w:rPr>
          <w:rFonts w:ascii="Montserrata" w:eastAsia="Times New Roman" w:hAnsi="Montserrata" w:cs="Times New Roman"/>
          <w:sz w:val="22"/>
          <w:szCs w:val="22"/>
          <w:lang w:eastAsia="es-ES"/>
        </w:rPr>
      </w:pPr>
      <w:r w:rsidRPr="003B1953">
        <w:rPr>
          <w:rFonts w:ascii="Montserrata" w:eastAsia="Times New Roman" w:hAnsi="Montserrata" w:cs="Times New Roman"/>
          <w:sz w:val="22"/>
          <w:szCs w:val="22"/>
          <w:lang w:eastAsia="es-ES"/>
        </w:rPr>
        <w:tab/>
      </w:r>
    </w:p>
    <w:p w14:paraId="45641206" w14:textId="77777777" w:rsidR="003B1953" w:rsidRPr="003B1953" w:rsidRDefault="003B1953" w:rsidP="003B1953">
      <w:pPr>
        <w:autoSpaceDE w:val="0"/>
        <w:autoSpaceDN w:val="0"/>
        <w:spacing w:line="276" w:lineRule="auto"/>
        <w:rPr>
          <w:rFonts w:ascii="Montserrata" w:eastAsia="Times New Roman" w:hAnsi="Montserrata" w:cs="Times New Roman"/>
          <w:sz w:val="22"/>
          <w:szCs w:val="22"/>
          <w:lang w:eastAsia="es-ES"/>
        </w:rPr>
      </w:pPr>
    </w:p>
    <w:p w14:paraId="2B144C1E" w14:textId="77777777" w:rsidR="003B1953" w:rsidRPr="003B1953" w:rsidRDefault="003B1953" w:rsidP="003B1953">
      <w:pPr>
        <w:tabs>
          <w:tab w:val="left" w:pos="4155"/>
        </w:tabs>
        <w:autoSpaceDE w:val="0"/>
        <w:autoSpaceDN w:val="0"/>
        <w:spacing w:line="276" w:lineRule="auto"/>
        <w:rPr>
          <w:rFonts w:ascii="Montserrata" w:eastAsia="Times New Roman" w:hAnsi="Montserrata" w:cs="Times New Roman"/>
          <w:sz w:val="22"/>
          <w:szCs w:val="22"/>
          <w:lang w:eastAsia="es-ES"/>
        </w:rPr>
      </w:pPr>
    </w:p>
    <w:p w14:paraId="440BF222" w14:textId="77777777" w:rsidR="000934AA" w:rsidRPr="004C16DA" w:rsidRDefault="000934AA" w:rsidP="003B1953">
      <w:pPr>
        <w:spacing w:line="276" w:lineRule="auto"/>
      </w:pPr>
    </w:p>
    <w:sectPr w:rsidR="000934AA" w:rsidRPr="004C16DA" w:rsidSect="00422F43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17666" w14:textId="77777777" w:rsidR="00F569C5" w:rsidRDefault="00F569C5">
      <w:r>
        <w:separator/>
      </w:r>
    </w:p>
  </w:endnote>
  <w:endnote w:type="continuationSeparator" w:id="0">
    <w:p w14:paraId="376459B3" w14:textId="77777777" w:rsidR="00F569C5" w:rsidRDefault="00F5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a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Pr="004C16DA" w:rsidRDefault="00F569C5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</w:p>
  <w:p w14:paraId="2E1DAB53" w14:textId="77777777" w:rsidR="003A63EB" w:rsidRPr="004C16DA" w:rsidRDefault="00C96130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  <w:r w:rsidRPr="004C16DA">
      <w:rPr>
        <w:rFonts w:ascii="Montserrat" w:eastAsia="Batang" w:hAnsi="Montserrat"/>
        <w:b/>
        <w:i/>
        <w:color w:val="A6A6A6"/>
        <w:sz w:val="18"/>
        <w:szCs w:val="18"/>
      </w:rPr>
      <w:t>Segunda Sesión Ordinaria de la Junta de Gobierno 2021</w:t>
    </w:r>
  </w:p>
  <w:p w14:paraId="43426146" w14:textId="77777777" w:rsidR="003A63EB" w:rsidRDefault="00F569C5" w:rsidP="003A63EB">
    <w:pPr>
      <w:pStyle w:val="Piedepgina"/>
      <w:jc w:val="center"/>
    </w:pP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822148">
          <w:rPr>
            <w:rFonts w:ascii="Montserrat" w:hAnsi="Montserrat"/>
            <w:sz w:val="20"/>
            <w:szCs w:val="20"/>
          </w:rPr>
          <w:fldChar w:fldCharType="begin"/>
        </w:r>
        <w:r w:rsidRPr="00822148">
          <w:rPr>
            <w:rFonts w:ascii="Montserrat" w:hAnsi="Montserrat"/>
            <w:sz w:val="20"/>
            <w:szCs w:val="20"/>
          </w:rPr>
          <w:instrText>PAGE   \* MERGEFORMAT</w:instrText>
        </w:r>
        <w:r w:rsidRPr="00822148">
          <w:rPr>
            <w:rFonts w:ascii="Montserrat" w:hAnsi="Montserrat"/>
            <w:sz w:val="20"/>
            <w:szCs w:val="20"/>
          </w:rPr>
          <w:fldChar w:fldCharType="separate"/>
        </w:r>
        <w:r w:rsidRPr="00822148">
          <w:rPr>
            <w:rFonts w:ascii="Montserrat" w:hAnsi="Montserrat"/>
            <w:sz w:val="20"/>
            <w:szCs w:val="20"/>
            <w:lang w:val="es-ES"/>
          </w:rPr>
          <w:t>2</w:t>
        </w:r>
        <w:r w:rsidRPr="00822148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4C16DA" w:rsidRDefault="00F569C5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9BD44" w14:textId="77777777" w:rsidR="00F569C5" w:rsidRDefault="00F569C5">
      <w:r>
        <w:separator/>
      </w:r>
    </w:p>
  </w:footnote>
  <w:footnote w:type="continuationSeparator" w:id="0">
    <w:p w14:paraId="0F8EB5A3" w14:textId="77777777" w:rsidR="00F569C5" w:rsidRDefault="00F56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F569C5" w:rsidP="00E364CC">
    <w:pPr>
      <w:pStyle w:val="Encabezado"/>
      <w:tabs>
        <w:tab w:val="left" w:pos="1134"/>
      </w:tabs>
    </w:pPr>
  </w:p>
  <w:p w14:paraId="4C2F6282" w14:textId="77777777" w:rsidR="00EE1715" w:rsidRDefault="00F569C5" w:rsidP="00E364CC">
    <w:pPr>
      <w:pStyle w:val="Encabezado"/>
      <w:tabs>
        <w:tab w:val="left" w:pos="1134"/>
      </w:tabs>
    </w:pPr>
  </w:p>
  <w:p w14:paraId="50E2E2A0" w14:textId="77777777" w:rsidR="00EE1715" w:rsidRDefault="00F569C5" w:rsidP="00E364CC">
    <w:pPr>
      <w:pStyle w:val="Encabezado"/>
      <w:tabs>
        <w:tab w:val="left" w:pos="1134"/>
      </w:tabs>
    </w:pPr>
  </w:p>
  <w:p w14:paraId="5E74838F" w14:textId="77777777" w:rsidR="00C83CC2" w:rsidRDefault="00C83C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749C2"/>
    <w:multiLevelType w:val="hybridMultilevel"/>
    <w:tmpl w:val="1CE4B4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6EC4513"/>
    <w:multiLevelType w:val="hybridMultilevel"/>
    <w:tmpl w:val="4B94CC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934AA"/>
    <w:rsid w:val="001B7CC2"/>
    <w:rsid w:val="0024762E"/>
    <w:rsid w:val="003B1953"/>
    <w:rsid w:val="00452284"/>
    <w:rsid w:val="004531C7"/>
    <w:rsid w:val="00486143"/>
    <w:rsid w:val="004C16DA"/>
    <w:rsid w:val="005E3C8A"/>
    <w:rsid w:val="00822148"/>
    <w:rsid w:val="00842569"/>
    <w:rsid w:val="00884C76"/>
    <w:rsid w:val="009B48AB"/>
    <w:rsid w:val="00C83CC2"/>
    <w:rsid w:val="00C96130"/>
    <w:rsid w:val="00DE0521"/>
    <w:rsid w:val="00F00D3B"/>
    <w:rsid w:val="00F569C5"/>
    <w:rsid w:val="00FE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Noé Gilberto Martínez Gómez</cp:lastModifiedBy>
  <cp:revision>3</cp:revision>
  <dcterms:created xsi:type="dcterms:W3CDTF">2021-09-21T17:27:00Z</dcterms:created>
  <dcterms:modified xsi:type="dcterms:W3CDTF">2021-09-21T19:52:00Z</dcterms:modified>
</cp:coreProperties>
</file>