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DE341" w14:textId="77777777" w:rsidR="00884C76" w:rsidRPr="00884C76" w:rsidRDefault="00884C76" w:rsidP="00884C76">
      <w:pPr>
        <w:spacing w:line="276" w:lineRule="auto"/>
        <w:jc w:val="center"/>
        <w:rPr>
          <w:rFonts w:ascii="Montserrat" w:eastAsia="Times New Roman" w:hAnsi="Montserrat" w:cstheme="majorHAnsi"/>
          <w:b/>
          <w:bCs/>
          <w:i/>
          <w:lang w:val="es-ES" w:eastAsia="es-MX"/>
        </w:rPr>
      </w:pPr>
      <w:r w:rsidRPr="00884C76">
        <w:rPr>
          <w:rFonts w:ascii="Montserrat" w:eastAsia="Times New Roman" w:hAnsi="Montserrat" w:cstheme="majorHAnsi"/>
          <w:b/>
          <w:bCs/>
          <w:i/>
          <w:lang w:val="es-ES" w:eastAsia="es-MX"/>
        </w:rPr>
        <w:t>5.5. Actividades de transferencia tecnológica y vinculación</w:t>
      </w:r>
    </w:p>
    <w:p w14:paraId="59E3EB03" w14:textId="77777777" w:rsidR="00884C76" w:rsidRPr="00884C76" w:rsidRDefault="00884C76" w:rsidP="00884C76">
      <w:pPr>
        <w:spacing w:line="276" w:lineRule="auto"/>
        <w:jc w:val="both"/>
        <w:rPr>
          <w:rFonts w:ascii="Monserrat" w:eastAsia="Times New Roman" w:hAnsi="Monserrat" w:cstheme="majorHAnsi"/>
          <w:b/>
          <w:bCs/>
          <w:i/>
          <w:lang w:val="es-ES" w:eastAsia="es-MX"/>
        </w:rPr>
      </w:pPr>
    </w:p>
    <w:p w14:paraId="17BBA6FD" w14:textId="77777777" w:rsidR="00884C76" w:rsidRPr="006D2A5C" w:rsidRDefault="00884C76" w:rsidP="00884C76">
      <w:pPr>
        <w:spacing w:line="276" w:lineRule="auto"/>
        <w:jc w:val="both"/>
        <w:rPr>
          <w:rFonts w:ascii="Montserrat" w:eastAsia="Times New Roman" w:hAnsi="Montserrat" w:cstheme="majorHAnsi"/>
          <w:b/>
          <w:bCs/>
          <w:i/>
          <w:sz w:val="22"/>
          <w:szCs w:val="22"/>
          <w:lang w:val="es-ES" w:eastAsia="es-MX"/>
        </w:rPr>
      </w:pPr>
      <w:r w:rsidRPr="006D2A5C">
        <w:rPr>
          <w:rFonts w:ascii="Montserrat" w:eastAsia="Times New Roman" w:hAnsi="Montserrat" w:cstheme="majorHAnsi"/>
          <w:b/>
          <w:bCs/>
          <w:i/>
          <w:sz w:val="22"/>
          <w:szCs w:val="22"/>
          <w:lang w:val="es-ES" w:eastAsia="es-MX"/>
        </w:rPr>
        <w:t>5.5.1. Cumplimiento de indicadores del Anexo III del Convenio de Administración por Resultados (CAR) en el ámbito de la transferencia tecnológica y la vinculación</w:t>
      </w:r>
    </w:p>
    <w:p w14:paraId="1501E3AC" w14:textId="77777777" w:rsidR="00884C76" w:rsidRPr="00884C76" w:rsidRDefault="00884C76" w:rsidP="00884C76">
      <w:pPr>
        <w:spacing w:line="276" w:lineRule="auto"/>
        <w:jc w:val="both"/>
        <w:rPr>
          <w:rFonts w:ascii="Montserrat" w:eastAsia="Times New Roman" w:hAnsi="Montserrat" w:cstheme="majorHAnsi"/>
          <w:b/>
          <w:bCs/>
          <w:i/>
          <w:sz w:val="22"/>
          <w:szCs w:val="22"/>
          <w:lang w:val="es-ES" w:eastAsia="es-MX"/>
        </w:rPr>
      </w:pPr>
    </w:p>
    <w:p w14:paraId="0487F3F6" w14:textId="77777777" w:rsidR="00884C76" w:rsidRPr="00884C76" w:rsidRDefault="00884C76" w:rsidP="00884C76">
      <w:pPr>
        <w:spacing w:after="20" w:line="276" w:lineRule="auto"/>
        <w:jc w:val="both"/>
        <w:rPr>
          <w:rFonts w:ascii="Montserrat" w:eastAsia="Times New Roman" w:hAnsi="Montserrat" w:cstheme="majorHAnsi"/>
          <w:iCs/>
          <w:sz w:val="22"/>
          <w:szCs w:val="22"/>
          <w:lang w:val="es-ES" w:eastAsia="es-MX"/>
        </w:rPr>
      </w:pPr>
      <w:r w:rsidRPr="00884C76">
        <w:rPr>
          <w:rFonts w:ascii="Montserrat" w:eastAsia="Times New Roman" w:hAnsi="Montserrat" w:cstheme="majorHAnsi"/>
          <w:iCs/>
          <w:sz w:val="22"/>
          <w:szCs w:val="22"/>
          <w:lang w:val="es-ES" w:eastAsia="es-MX"/>
        </w:rPr>
        <w:t>En el Cuadro 1 se muestra el cumplimiento para los indicadores de Proyectos interinstitucionales y Transferencia del conocimiento.</w:t>
      </w:r>
    </w:p>
    <w:p w14:paraId="6EA6D9DD" w14:textId="77777777" w:rsidR="00884C76" w:rsidRPr="00884C76" w:rsidRDefault="00884C76" w:rsidP="00884C76">
      <w:pPr>
        <w:spacing w:after="20" w:line="276" w:lineRule="auto"/>
        <w:jc w:val="both"/>
        <w:rPr>
          <w:rFonts w:ascii="Montserrat" w:eastAsia="Times New Roman" w:hAnsi="Montserrat" w:cstheme="majorHAnsi"/>
          <w:iCs/>
          <w:sz w:val="22"/>
          <w:szCs w:val="22"/>
          <w:lang w:val="es-ES" w:eastAsia="es-MX"/>
        </w:rPr>
      </w:pPr>
    </w:p>
    <w:p w14:paraId="1200E7A7" w14:textId="77777777" w:rsidR="00884C76" w:rsidRPr="00884C76" w:rsidRDefault="00884C76" w:rsidP="00884C76">
      <w:pPr>
        <w:spacing w:after="20" w:line="276" w:lineRule="auto"/>
        <w:rPr>
          <w:rFonts w:ascii="Montserrat" w:eastAsia="Times New Roman" w:hAnsi="Montserrat" w:cstheme="majorHAnsi"/>
          <w:iCs/>
          <w:sz w:val="20"/>
          <w:szCs w:val="20"/>
          <w:lang w:val="es-ES" w:eastAsia="es-MX"/>
        </w:rPr>
      </w:pPr>
      <w:r w:rsidRPr="00884C76">
        <w:rPr>
          <w:rFonts w:ascii="Montserrat" w:eastAsia="Times New Roman" w:hAnsi="Montserrat" w:cstheme="majorHAnsi"/>
          <w:iCs/>
          <w:sz w:val="20"/>
          <w:szCs w:val="20"/>
          <w:lang w:val="es-ES" w:eastAsia="es-MX"/>
        </w:rPr>
        <w:t xml:space="preserve">Cuadro 1. </w:t>
      </w:r>
      <w:bookmarkStart w:id="0" w:name="OLE_LINK1"/>
      <w:r w:rsidRPr="00884C76">
        <w:rPr>
          <w:rFonts w:ascii="Montserrat" w:eastAsia="Times New Roman" w:hAnsi="Montserrat" w:cstheme="majorHAnsi"/>
          <w:iCs/>
          <w:sz w:val="20"/>
          <w:szCs w:val="20"/>
          <w:lang w:val="es-ES" w:eastAsia="es-MX"/>
        </w:rPr>
        <w:t>Programas de Vinculación y Transferencia del conocimiento en el año 202</w:t>
      </w:r>
      <w:bookmarkEnd w:id="0"/>
      <w:r w:rsidRPr="00884C76">
        <w:rPr>
          <w:rFonts w:ascii="Montserrat" w:eastAsia="Times New Roman" w:hAnsi="Montserrat" w:cstheme="majorHAnsi"/>
          <w:iCs/>
          <w:sz w:val="20"/>
          <w:szCs w:val="20"/>
          <w:lang w:val="es-ES" w:eastAsia="es-MX"/>
        </w:rPr>
        <w:t>1</w:t>
      </w:r>
    </w:p>
    <w:tbl>
      <w:tblPr>
        <w:tblW w:w="9020" w:type="dxa"/>
        <w:tblCellMar>
          <w:left w:w="70" w:type="dxa"/>
          <w:right w:w="70" w:type="dxa"/>
        </w:tblCellMar>
        <w:tblLook w:val="04A0" w:firstRow="1" w:lastRow="0" w:firstColumn="1" w:lastColumn="0" w:noHBand="0" w:noVBand="1"/>
      </w:tblPr>
      <w:tblGrid>
        <w:gridCol w:w="1289"/>
        <w:gridCol w:w="1687"/>
        <w:gridCol w:w="2406"/>
        <w:gridCol w:w="1639"/>
        <w:gridCol w:w="1999"/>
      </w:tblGrid>
      <w:tr w:rsidR="00884C76" w:rsidRPr="00884C76" w14:paraId="214909F5" w14:textId="77777777" w:rsidTr="000C5CF2">
        <w:trPr>
          <w:trHeight w:val="498"/>
        </w:trPr>
        <w:tc>
          <w:tcPr>
            <w:tcW w:w="1289"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hideMark/>
          </w:tcPr>
          <w:p w14:paraId="47C3A897" w14:textId="77777777" w:rsidR="00884C76" w:rsidRPr="00884C76" w:rsidRDefault="00884C76" w:rsidP="00884C76">
            <w:pPr>
              <w:spacing w:line="276" w:lineRule="auto"/>
              <w:jc w:val="center"/>
              <w:rPr>
                <w:rFonts w:ascii="Montserrat" w:eastAsia="Times New Roman" w:hAnsi="Montserrat" w:cs="Times New Roman"/>
                <w:color w:val="000000"/>
                <w:sz w:val="16"/>
                <w:szCs w:val="16"/>
              </w:rPr>
            </w:pPr>
            <w:r w:rsidRPr="00884C76">
              <w:rPr>
                <w:rFonts w:ascii="Montserrat" w:eastAsia="Times New Roman" w:hAnsi="Montserrat" w:cs="Times New Roman"/>
                <w:color w:val="000000"/>
                <w:sz w:val="16"/>
                <w:szCs w:val="16"/>
              </w:rPr>
              <w:t>Programa</w:t>
            </w:r>
          </w:p>
        </w:tc>
        <w:tc>
          <w:tcPr>
            <w:tcW w:w="168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hideMark/>
          </w:tcPr>
          <w:p w14:paraId="3827882A" w14:textId="77777777" w:rsidR="00884C76" w:rsidRPr="00884C76" w:rsidRDefault="00884C76" w:rsidP="00884C76">
            <w:pPr>
              <w:spacing w:line="276" w:lineRule="auto"/>
              <w:jc w:val="center"/>
              <w:rPr>
                <w:rFonts w:ascii="Montserrat" w:eastAsia="Times New Roman" w:hAnsi="Montserrat" w:cs="Times New Roman"/>
                <w:color w:val="000000"/>
                <w:sz w:val="16"/>
                <w:szCs w:val="16"/>
              </w:rPr>
            </w:pPr>
            <w:r w:rsidRPr="00884C76">
              <w:rPr>
                <w:rFonts w:ascii="Montserrat" w:eastAsia="Times New Roman" w:hAnsi="Montserrat" w:cs="Times New Roman"/>
                <w:color w:val="000000"/>
                <w:sz w:val="16"/>
                <w:szCs w:val="16"/>
              </w:rPr>
              <w:t>Indicador</w:t>
            </w:r>
          </w:p>
        </w:tc>
        <w:tc>
          <w:tcPr>
            <w:tcW w:w="2406" w:type="dxa"/>
            <w:tcBorders>
              <w:top w:val="single" w:sz="4" w:space="0" w:color="808080"/>
              <w:left w:val="nil"/>
              <w:bottom w:val="single" w:sz="4" w:space="0" w:color="808080"/>
              <w:right w:val="single" w:sz="4" w:space="0" w:color="808080"/>
            </w:tcBorders>
            <w:shd w:val="clear" w:color="auto" w:fill="D9D9D9" w:themeFill="background1" w:themeFillShade="D9"/>
            <w:vAlign w:val="center"/>
            <w:hideMark/>
          </w:tcPr>
          <w:p w14:paraId="5F9F8EE5" w14:textId="77777777" w:rsidR="00884C76" w:rsidRPr="00884C76" w:rsidRDefault="00884C76" w:rsidP="00884C76">
            <w:pPr>
              <w:spacing w:line="276" w:lineRule="auto"/>
              <w:jc w:val="center"/>
              <w:rPr>
                <w:rFonts w:ascii="Montserrat" w:eastAsia="Times New Roman" w:hAnsi="Montserrat" w:cs="Times New Roman"/>
                <w:color w:val="000000"/>
                <w:sz w:val="16"/>
                <w:szCs w:val="16"/>
              </w:rPr>
            </w:pPr>
            <w:r w:rsidRPr="00884C76">
              <w:rPr>
                <w:rFonts w:ascii="Montserrat" w:eastAsia="Times New Roman" w:hAnsi="Montserrat" w:cs="Times New Roman"/>
                <w:color w:val="000000"/>
                <w:sz w:val="16"/>
                <w:szCs w:val="16"/>
              </w:rPr>
              <w:t>Unidad de medida</w:t>
            </w:r>
          </w:p>
        </w:tc>
        <w:tc>
          <w:tcPr>
            <w:tcW w:w="1639" w:type="dxa"/>
            <w:tcBorders>
              <w:top w:val="single" w:sz="4" w:space="0" w:color="808080"/>
              <w:left w:val="nil"/>
              <w:bottom w:val="single" w:sz="4" w:space="0" w:color="808080"/>
              <w:right w:val="single" w:sz="4" w:space="0" w:color="808080"/>
            </w:tcBorders>
            <w:shd w:val="clear" w:color="auto" w:fill="D9D9D9" w:themeFill="background1" w:themeFillShade="D9"/>
            <w:vAlign w:val="center"/>
            <w:hideMark/>
          </w:tcPr>
          <w:p w14:paraId="0739C6A7" w14:textId="77777777" w:rsidR="00884C76" w:rsidRPr="00884C76" w:rsidRDefault="00884C76" w:rsidP="00884C76">
            <w:pPr>
              <w:spacing w:line="276" w:lineRule="auto"/>
              <w:jc w:val="center"/>
              <w:rPr>
                <w:rFonts w:ascii="Montserrat" w:eastAsia="Times New Roman" w:hAnsi="Montserrat" w:cs="Times New Roman"/>
                <w:color w:val="000000"/>
                <w:sz w:val="16"/>
                <w:szCs w:val="16"/>
              </w:rPr>
            </w:pPr>
            <w:r w:rsidRPr="00884C76">
              <w:rPr>
                <w:rFonts w:ascii="Montserrat" w:eastAsia="Times New Roman" w:hAnsi="Montserrat" w:cs="Times New Roman"/>
                <w:color w:val="000000"/>
                <w:sz w:val="16"/>
                <w:szCs w:val="16"/>
              </w:rPr>
              <w:t>Alcanzado</w:t>
            </w:r>
            <w:r w:rsidRPr="00884C76">
              <w:rPr>
                <w:rFonts w:ascii="Montserrat" w:eastAsia="Times New Roman" w:hAnsi="Montserrat" w:cs="Times New Roman"/>
                <w:color w:val="000000"/>
                <w:sz w:val="16"/>
                <w:szCs w:val="16"/>
              </w:rPr>
              <w:br/>
              <w:t>Enero-Junio 2021</w:t>
            </w:r>
          </w:p>
        </w:tc>
        <w:tc>
          <w:tcPr>
            <w:tcW w:w="1999" w:type="dxa"/>
            <w:tcBorders>
              <w:top w:val="single" w:sz="4" w:space="0" w:color="808080"/>
              <w:left w:val="nil"/>
              <w:bottom w:val="single" w:sz="4" w:space="0" w:color="808080"/>
              <w:right w:val="single" w:sz="4" w:space="0" w:color="808080"/>
            </w:tcBorders>
            <w:shd w:val="clear" w:color="auto" w:fill="D9D9D9" w:themeFill="background1" w:themeFillShade="D9"/>
            <w:vAlign w:val="center"/>
            <w:hideMark/>
          </w:tcPr>
          <w:p w14:paraId="4E86B7E1" w14:textId="77777777" w:rsidR="00884C76" w:rsidRPr="00884C76" w:rsidRDefault="00884C76" w:rsidP="00884C76">
            <w:pPr>
              <w:spacing w:line="276" w:lineRule="auto"/>
              <w:jc w:val="center"/>
              <w:rPr>
                <w:rFonts w:ascii="Montserrat" w:eastAsia="Times New Roman" w:hAnsi="Montserrat" w:cs="Times New Roman"/>
                <w:sz w:val="16"/>
                <w:szCs w:val="16"/>
              </w:rPr>
            </w:pPr>
            <w:r w:rsidRPr="00884C76">
              <w:rPr>
                <w:rFonts w:ascii="Montserrat" w:eastAsia="Times New Roman" w:hAnsi="Montserrat" w:cs="Times New Roman"/>
                <w:sz w:val="16"/>
                <w:szCs w:val="16"/>
              </w:rPr>
              <w:t>Meta</w:t>
            </w:r>
            <w:r w:rsidRPr="00884C76">
              <w:rPr>
                <w:rFonts w:ascii="Montserrat" w:eastAsia="Times New Roman" w:hAnsi="Montserrat" w:cs="Times New Roman"/>
                <w:sz w:val="16"/>
                <w:szCs w:val="16"/>
              </w:rPr>
              <w:br/>
              <w:t>2021</w:t>
            </w:r>
          </w:p>
        </w:tc>
      </w:tr>
      <w:tr w:rsidR="00884C76" w:rsidRPr="00884C76" w14:paraId="6B3B3D4A" w14:textId="77777777" w:rsidTr="000C5CF2">
        <w:trPr>
          <w:trHeight w:val="553"/>
        </w:trPr>
        <w:tc>
          <w:tcPr>
            <w:tcW w:w="1289" w:type="dxa"/>
            <w:vMerge w:val="restart"/>
            <w:tcBorders>
              <w:top w:val="single" w:sz="4" w:space="0" w:color="808080"/>
              <w:left w:val="single" w:sz="4" w:space="0" w:color="808080"/>
              <w:bottom w:val="single" w:sz="4" w:space="0" w:color="808080"/>
              <w:right w:val="single" w:sz="4" w:space="0" w:color="808080"/>
            </w:tcBorders>
            <w:vAlign w:val="center"/>
            <w:hideMark/>
          </w:tcPr>
          <w:p w14:paraId="0A0FBFF8" w14:textId="77777777" w:rsidR="00884C76" w:rsidRPr="00884C76" w:rsidRDefault="00884C76" w:rsidP="00884C76">
            <w:pPr>
              <w:spacing w:after="20" w:line="276" w:lineRule="auto"/>
              <w:jc w:val="both"/>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Vinculación</w:t>
            </w:r>
          </w:p>
        </w:tc>
        <w:tc>
          <w:tcPr>
            <w:tcW w:w="1687" w:type="dxa"/>
            <w:vMerge w:val="restart"/>
            <w:tcBorders>
              <w:top w:val="single" w:sz="4" w:space="0" w:color="808080"/>
              <w:left w:val="single" w:sz="4" w:space="0" w:color="808080"/>
              <w:bottom w:val="single" w:sz="4" w:space="0" w:color="808080"/>
              <w:right w:val="single" w:sz="4" w:space="0" w:color="808080"/>
            </w:tcBorders>
            <w:vAlign w:val="center"/>
            <w:hideMark/>
          </w:tcPr>
          <w:p w14:paraId="194436E8" w14:textId="77777777" w:rsidR="00884C76" w:rsidRPr="00884C76" w:rsidRDefault="00884C76" w:rsidP="00884C76">
            <w:pPr>
              <w:spacing w:after="20" w:line="276" w:lineRule="auto"/>
              <w:jc w:val="both"/>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Proyectos interinstitucionales</w:t>
            </w:r>
          </w:p>
        </w:tc>
        <w:tc>
          <w:tcPr>
            <w:tcW w:w="2406" w:type="dxa"/>
            <w:tcBorders>
              <w:top w:val="single" w:sz="4" w:space="0" w:color="808080"/>
              <w:left w:val="nil"/>
              <w:bottom w:val="single" w:sz="4" w:space="0" w:color="808080"/>
              <w:right w:val="single" w:sz="4" w:space="0" w:color="808080"/>
            </w:tcBorders>
            <w:vAlign w:val="center"/>
            <w:hideMark/>
          </w:tcPr>
          <w:p w14:paraId="68FB2364" w14:textId="77777777" w:rsidR="00884C76" w:rsidRPr="00884C76" w:rsidRDefault="00884C76" w:rsidP="00884C76">
            <w:pPr>
              <w:spacing w:after="20" w:line="276" w:lineRule="auto"/>
              <w:jc w:val="both"/>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No. de proyectos interinstitucionales</w:t>
            </w:r>
          </w:p>
        </w:tc>
        <w:tc>
          <w:tcPr>
            <w:tcW w:w="1639" w:type="dxa"/>
            <w:tcBorders>
              <w:top w:val="single" w:sz="4" w:space="0" w:color="808080"/>
              <w:left w:val="nil"/>
              <w:bottom w:val="single" w:sz="4" w:space="0" w:color="808080"/>
              <w:right w:val="single" w:sz="4" w:space="0" w:color="808080"/>
            </w:tcBorders>
            <w:vAlign w:val="center"/>
            <w:hideMark/>
          </w:tcPr>
          <w:p w14:paraId="0589AD9D"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17</w:t>
            </w:r>
          </w:p>
        </w:tc>
        <w:tc>
          <w:tcPr>
            <w:tcW w:w="1999" w:type="dxa"/>
            <w:tcBorders>
              <w:top w:val="single" w:sz="4" w:space="0" w:color="808080"/>
              <w:left w:val="nil"/>
              <w:bottom w:val="single" w:sz="4" w:space="0" w:color="808080"/>
              <w:right w:val="single" w:sz="4" w:space="0" w:color="808080"/>
            </w:tcBorders>
            <w:vAlign w:val="center"/>
            <w:hideMark/>
          </w:tcPr>
          <w:p w14:paraId="0DD6244C"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35</w:t>
            </w:r>
          </w:p>
        </w:tc>
      </w:tr>
      <w:tr w:rsidR="00884C76" w:rsidRPr="00884C76" w14:paraId="7D5D5A4B" w14:textId="77777777" w:rsidTr="000C5CF2">
        <w:trPr>
          <w:trHeight w:val="264"/>
        </w:trPr>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5AAB3D3D" w14:textId="77777777" w:rsidR="00884C76" w:rsidRPr="00884C76" w:rsidRDefault="00884C76" w:rsidP="00884C76">
            <w:pPr>
              <w:spacing w:after="20" w:line="276" w:lineRule="auto"/>
              <w:jc w:val="both"/>
              <w:rPr>
                <w:rFonts w:ascii="Monserrat" w:eastAsia="Times New Roman" w:hAnsi="Monserrat" w:cstheme="majorHAnsi"/>
                <w:iCs/>
                <w:sz w:val="16"/>
                <w:szCs w:val="16"/>
                <w:lang w:val="es-ES" w:eastAsia="es-MX"/>
              </w:rPr>
            </w:pPr>
          </w:p>
        </w:tc>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765922A6" w14:textId="77777777" w:rsidR="00884C76" w:rsidRPr="00884C76" w:rsidRDefault="00884C76" w:rsidP="00884C76">
            <w:pPr>
              <w:spacing w:after="20" w:line="276" w:lineRule="auto"/>
              <w:jc w:val="both"/>
              <w:rPr>
                <w:rFonts w:ascii="Monserrat" w:eastAsia="Times New Roman" w:hAnsi="Monserrat" w:cstheme="majorHAnsi"/>
                <w:iCs/>
                <w:sz w:val="16"/>
                <w:szCs w:val="16"/>
                <w:lang w:val="es-ES" w:eastAsia="es-MX"/>
              </w:rPr>
            </w:pPr>
          </w:p>
        </w:tc>
        <w:tc>
          <w:tcPr>
            <w:tcW w:w="2406" w:type="dxa"/>
            <w:tcBorders>
              <w:top w:val="nil"/>
              <w:left w:val="nil"/>
              <w:bottom w:val="single" w:sz="4" w:space="0" w:color="808080"/>
              <w:right w:val="single" w:sz="4" w:space="0" w:color="808080"/>
            </w:tcBorders>
            <w:vAlign w:val="center"/>
            <w:hideMark/>
          </w:tcPr>
          <w:p w14:paraId="5493442C" w14:textId="77777777" w:rsidR="00884C76" w:rsidRPr="00884C76" w:rsidRDefault="00884C76" w:rsidP="00884C76">
            <w:pPr>
              <w:spacing w:after="20" w:line="276" w:lineRule="auto"/>
              <w:jc w:val="both"/>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No. de proyectos de investigación</w:t>
            </w:r>
          </w:p>
        </w:tc>
        <w:tc>
          <w:tcPr>
            <w:tcW w:w="1639" w:type="dxa"/>
            <w:tcBorders>
              <w:top w:val="nil"/>
              <w:left w:val="nil"/>
              <w:bottom w:val="single" w:sz="4" w:space="0" w:color="808080"/>
              <w:right w:val="single" w:sz="4" w:space="0" w:color="808080"/>
            </w:tcBorders>
            <w:vAlign w:val="center"/>
            <w:hideMark/>
          </w:tcPr>
          <w:p w14:paraId="30AB2E37"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80</w:t>
            </w:r>
          </w:p>
        </w:tc>
        <w:tc>
          <w:tcPr>
            <w:tcW w:w="1999" w:type="dxa"/>
            <w:tcBorders>
              <w:top w:val="nil"/>
              <w:left w:val="nil"/>
              <w:bottom w:val="single" w:sz="4" w:space="0" w:color="808080"/>
              <w:right w:val="single" w:sz="4" w:space="0" w:color="808080"/>
            </w:tcBorders>
            <w:vAlign w:val="center"/>
            <w:hideMark/>
          </w:tcPr>
          <w:p w14:paraId="3218D2D7"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50</w:t>
            </w:r>
          </w:p>
        </w:tc>
      </w:tr>
      <w:tr w:rsidR="00884C76" w:rsidRPr="00884C76" w14:paraId="6CCF9DB2" w14:textId="77777777" w:rsidTr="000C5CF2">
        <w:trPr>
          <w:trHeight w:val="300"/>
        </w:trPr>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015DE76F" w14:textId="77777777" w:rsidR="00884C76" w:rsidRPr="00884C76" w:rsidRDefault="00884C76" w:rsidP="00884C76">
            <w:pPr>
              <w:spacing w:after="20" w:line="276" w:lineRule="auto"/>
              <w:jc w:val="both"/>
              <w:rPr>
                <w:rFonts w:ascii="Monserrat" w:eastAsia="Times New Roman" w:hAnsi="Monserrat" w:cstheme="majorHAnsi"/>
                <w:iCs/>
                <w:sz w:val="16"/>
                <w:szCs w:val="16"/>
                <w:lang w:val="es-ES" w:eastAsia="es-MX"/>
              </w:rPr>
            </w:pPr>
          </w:p>
        </w:tc>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0A844E4A" w14:textId="77777777" w:rsidR="00884C76" w:rsidRPr="00884C76" w:rsidRDefault="00884C76" w:rsidP="00884C76">
            <w:pPr>
              <w:spacing w:after="20" w:line="276" w:lineRule="auto"/>
              <w:jc w:val="both"/>
              <w:rPr>
                <w:rFonts w:ascii="Monserrat" w:eastAsia="Times New Roman" w:hAnsi="Monserrat" w:cstheme="majorHAnsi"/>
                <w:iCs/>
                <w:sz w:val="16"/>
                <w:szCs w:val="16"/>
                <w:lang w:val="es-ES" w:eastAsia="es-MX"/>
              </w:rPr>
            </w:pPr>
          </w:p>
        </w:tc>
        <w:tc>
          <w:tcPr>
            <w:tcW w:w="2406" w:type="dxa"/>
            <w:tcBorders>
              <w:top w:val="nil"/>
              <w:left w:val="nil"/>
              <w:bottom w:val="single" w:sz="4" w:space="0" w:color="808080"/>
              <w:right w:val="single" w:sz="4" w:space="0" w:color="808080"/>
            </w:tcBorders>
            <w:vAlign w:val="center"/>
            <w:hideMark/>
          </w:tcPr>
          <w:p w14:paraId="10BC32DF" w14:textId="77777777" w:rsidR="00884C76" w:rsidRPr="00884C76" w:rsidRDefault="00884C76" w:rsidP="00884C76">
            <w:pPr>
              <w:spacing w:after="20" w:line="276" w:lineRule="auto"/>
              <w:jc w:val="both"/>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 </w:t>
            </w:r>
          </w:p>
        </w:tc>
        <w:tc>
          <w:tcPr>
            <w:tcW w:w="1639" w:type="dxa"/>
            <w:tcBorders>
              <w:top w:val="nil"/>
              <w:left w:val="nil"/>
              <w:bottom w:val="single" w:sz="4" w:space="0" w:color="808080"/>
              <w:right w:val="single" w:sz="4" w:space="0" w:color="808080"/>
            </w:tcBorders>
            <w:shd w:val="clear" w:color="auto" w:fill="E7E6E6" w:themeFill="background2"/>
            <w:vAlign w:val="center"/>
            <w:hideMark/>
          </w:tcPr>
          <w:p w14:paraId="1EF846A7"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0.21</w:t>
            </w:r>
          </w:p>
        </w:tc>
        <w:tc>
          <w:tcPr>
            <w:tcW w:w="1999" w:type="dxa"/>
            <w:tcBorders>
              <w:top w:val="nil"/>
              <w:left w:val="nil"/>
              <w:bottom w:val="single" w:sz="4" w:space="0" w:color="808080"/>
              <w:right w:val="single" w:sz="4" w:space="0" w:color="808080"/>
            </w:tcBorders>
            <w:shd w:val="clear" w:color="auto" w:fill="E7E6E6" w:themeFill="background2"/>
            <w:vAlign w:val="center"/>
            <w:hideMark/>
          </w:tcPr>
          <w:p w14:paraId="35BB4840"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0.7</w:t>
            </w:r>
          </w:p>
        </w:tc>
      </w:tr>
      <w:tr w:rsidR="00884C76" w:rsidRPr="00884C76" w14:paraId="1BABF563" w14:textId="77777777" w:rsidTr="000C5CF2">
        <w:trPr>
          <w:trHeight w:val="1218"/>
        </w:trPr>
        <w:tc>
          <w:tcPr>
            <w:tcW w:w="1289" w:type="dxa"/>
            <w:vMerge w:val="restart"/>
            <w:tcBorders>
              <w:top w:val="nil"/>
              <w:left w:val="single" w:sz="4" w:space="0" w:color="808080"/>
              <w:bottom w:val="single" w:sz="4" w:space="0" w:color="808080"/>
              <w:right w:val="single" w:sz="4" w:space="0" w:color="808080"/>
            </w:tcBorders>
            <w:vAlign w:val="center"/>
            <w:hideMark/>
          </w:tcPr>
          <w:p w14:paraId="73E1A11C"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Transferencia del Conocimiento e Innovación</w:t>
            </w:r>
          </w:p>
        </w:tc>
        <w:tc>
          <w:tcPr>
            <w:tcW w:w="1687" w:type="dxa"/>
            <w:vMerge w:val="restart"/>
            <w:tcBorders>
              <w:top w:val="nil"/>
              <w:left w:val="single" w:sz="4" w:space="0" w:color="808080"/>
              <w:bottom w:val="single" w:sz="4" w:space="0" w:color="808080"/>
              <w:right w:val="single" w:sz="4" w:space="0" w:color="808080"/>
            </w:tcBorders>
            <w:vAlign w:val="center"/>
            <w:hideMark/>
          </w:tcPr>
          <w:p w14:paraId="31EE9B4B"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 xml:space="preserve">Transferencia de conocimiento </w:t>
            </w:r>
          </w:p>
        </w:tc>
        <w:tc>
          <w:tcPr>
            <w:tcW w:w="2406" w:type="dxa"/>
            <w:tcBorders>
              <w:top w:val="nil"/>
              <w:left w:val="nil"/>
              <w:bottom w:val="single" w:sz="4" w:space="0" w:color="808080"/>
              <w:right w:val="single" w:sz="4" w:space="0" w:color="808080"/>
            </w:tcBorders>
            <w:vAlign w:val="center"/>
            <w:hideMark/>
          </w:tcPr>
          <w:p w14:paraId="29C86A48"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No. de contratos o convenios de transferencia de conocimiento, innovación tecnológica, social, económica o ambiental firmados vigentes alineados al PECITI en el año n</w:t>
            </w:r>
          </w:p>
        </w:tc>
        <w:tc>
          <w:tcPr>
            <w:tcW w:w="1639" w:type="dxa"/>
            <w:tcBorders>
              <w:top w:val="nil"/>
              <w:left w:val="nil"/>
              <w:bottom w:val="single" w:sz="4" w:space="0" w:color="808080"/>
              <w:right w:val="single" w:sz="4" w:space="0" w:color="808080"/>
            </w:tcBorders>
            <w:vAlign w:val="center"/>
            <w:hideMark/>
          </w:tcPr>
          <w:p w14:paraId="08A2246D"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9</w:t>
            </w:r>
          </w:p>
        </w:tc>
        <w:tc>
          <w:tcPr>
            <w:tcW w:w="1999" w:type="dxa"/>
            <w:tcBorders>
              <w:top w:val="nil"/>
              <w:left w:val="nil"/>
              <w:bottom w:val="single" w:sz="4" w:space="0" w:color="808080"/>
              <w:right w:val="single" w:sz="4" w:space="0" w:color="808080"/>
            </w:tcBorders>
            <w:vAlign w:val="center"/>
            <w:hideMark/>
          </w:tcPr>
          <w:p w14:paraId="4F5C1C06"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25</w:t>
            </w:r>
          </w:p>
        </w:tc>
      </w:tr>
      <w:tr w:rsidR="00884C76" w:rsidRPr="00884C76" w14:paraId="431BF80B" w14:textId="77777777" w:rsidTr="000C5CF2">
        <w:trPr>
          <w:trHeight w:val="1136"/>
        </w:trPr>
        <w:tc>
          <w:tcPr>
            <w:tcW w:w="0" w:type="auto"/>
            <w:vMerge/>
            <w:tcBorders>
              <w:top w:val="nil"/>
              <w:left w:val="single" w:sz="4" w:space="0" w:color="808080"/>
              <w:bottom w:val="single" w:sz="4" w:space="0" w:color="808080"/>
              <w:right w:val="single" w:sz="4" w:space="0" w:color="808080"/>
            </w:tcBorders>
            <w:vAlign w:val="center"/>
            <w:hideMark/>
          </w:tcPr>
          <w:p w14:paraId="2EF19D53"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p>
        </w:tc>
        <w:tc>
          <w:tcPr>
            <w:tcW w:w="0" w:type="auto"/>
            <w:vMerge/>
            <w:tcBorders>
              <w:top w:val="nil"/>
              <w:left w:val="single" w:sz="4" w:space="0" w:color="808080"/>
              <w:bottom w:val="single" w:sz="4" w:space="0" w:color="808080"/>
              <w:right w:val="single" w:sz="4" w:space="0" w:color="808080"/>
            </w:tcBorders>
            <w:vAlign w:val="center"/>
            <w:hideMark/>
          </w:tcPr>
          <w:p w14:paraId="062D4223"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p>
        </w:tc>
        <w:tc>
          <w:tcPr>
            <w:tcW w:w="2406" w:type="dxa"/>
            <w:tcBorders>
              <w:top w:val="nil"/>
              <w:left w:val="nil"/>
              <w:bottom w:val="single" w:sz="4" w:space="0" w:color="808080"/>
              <w:right w:val="single" w:sz="4" w:space="0" w:color="808080"/>
            </w:tcBorders>
            <w:vAlign w:val="center"/>
            <w:hideMark/>
          </w:tcPr>
          <w:p w14:paraId="114EE90C"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No. de contratos o convenios de transferencia de conocimiento, innovación tecnológica, social, económica o ambiental firmados vigentes alineados al PECITI en el año n-1</w:t>
            </w:r>
          </w:p>
        </w:tc>
        <w:tc>
          <w:tcPr>
            <w:tcW w:w="1639" w:type="dxa"/>
            <w:tcBorders>
              <w:top w:val="nil"/>
              <w:left w:val="nil"/>
              <w:bottom w:val="single" w:sz="4" w:space="0" w:color="808080"/>
              <w:right w:val="single" w:sz="4" w:space="0" w:color="808080"/>
            </w:tcBorders>
            <w:vAlign w:val="center"/>
            <w:hideMark/>
          </w:tcPr>
          <w:p w14:paraId="1B4F2AE8"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8</w:t>
            </w:r>
          </w:p>
        </w:tc>
        <w:tc>
          <w:tcPr>
            <w:tcW w:w="1999" w:type="dxa"/>
            <w:tcBorders>
              <w:top w:val="nil"/>
              <w:left w:val="nil"/>
              <w:bottom w:val="single" w:sz="4" w:space="0" w:color="808080"/>
              <w:right w:val="single" w:sz="4" w:space="0" w:color="808080"/>
            </w:tcBorders>
            <w:vAlign w:val="center"/>
            <w:hideMark/>
          </w:tcPr>
          <w:p w14:paraId="472DCCF0"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25</w:t>
            </w:r>
          </w:p>
        </w:tc>
      </w:tr>
      <w:tr w:rsidR="00884C76" w:rsidRPr="00884C76" w14:paraId="3DF69E87" w14:textId="77777777" w:rsidTr="000C5CF2">
        <w:trPr>
          <w:trHeight w:val="300"/>
        </w:trPr>
        <w:tc>
          <w:tcPr>
            <w:tcW w:w="0" w:type="auto"/>
            <w:vMerge/>
            <w:tcBorders>
              <w:top w:val="nil"/>
              <w:left w:val="single" w:sz="4" w:space="0" w:color="808080"/>
              <w:bottom w:val="single" w:sz="4" w:space="0" w:color="808080"/>
              <w:right w:val="single" w:sz="4" w:space="0" w:color="808080"/>
            </w:tcBorders>
            <w:vAlign w:val="center"/>
            <w:hideMark/>
          </w:tcPr>
          <w:p w14:paraId="23078435"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p>
        </w:tc>
        <w:tc>
          <w:tcPr>
            <w:tcW w:w="0" w:type="auto"/>
            <w:vMerge/>
            <w:tcBorders>
              <w:top w:val="nil"/>
              <w:left w:val="single" w:sz="4" w:space="0" w:color="808080"/>
              <w:bottom w:val="single" w:sz="4" w:space="0" w:color="808080"/>
              <w:right w:val="single" w:sz="4" w:space="0" w:color="808080"/>
            </w:tcBorders>
            <w:vAlign w:val="center"/>
            <w:hideMark/>
          </w:tcPr>
          <w:p w14:paraId="7267A04B"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p>
        </w:tc>
        <w:tc>
          <w:tcPr>
            <w:tcW w:w="2406" w:type="dxa"/>
            <w:tcBorders>
              <w:top w:val="nil"/>
              <w:left w:val="nil"/>
              <w:bottom w:val="single" w:sz="4" w:space="0" w:color="808080"/>
              <w:right w:val="single" w:sz="4" w:space="0" w:color="808080"/>
            </w:tcBorders>
            <w:hideMark/>
          </w:tcPr>
          <w:p w14:paraId="0C7D628C"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 </w:t>
            </w:r>
          </w:p>
        </w:tc>
        <w:tc>
          <w:tcPr>
            <w:tcW w:w="1639" w:type="dxa"/>
            <w:tcBorders>
              <w:top w:val="nil"/>
              <w:left w:val="nil"/>
              <w:bottom w:val="single" w:sz="4" w:space="0" w:color="808080"/>
              <w:right w:val="single" w:sz="4" w:space="0" w:color="808080"/>
            </w:tcBorders>
            <w:shd w:val="clear" w:color="auto" w:fill="E7E6E6" w:themeFill="background2"/>
            <w:vAlign w:val="center"/>
            <w:hideMark/>
          </w:tcPr>
          <w:p w14:paraId="413A4DBB"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1.12</w:t>
            </w:r>
          </w:p>
        </w:tc>
        <w:tc>
          <w:tcPr>
            <w:tcW w:w="1999" w:type="dxa"/>
            <w:tcBorders>
              <w:top w:val="nil"/>
              <w:left w:val="nil"/>
              <w:bottom w:val="single" w:sz="4" w:space="0" w:color="808080"/>
              <w:right w:val="single" w:sz="4" w:space="0" w:color="808080"/>
            </w:tcBorders>
            <w:shd w:val="clear" w:color="auto" w:fill="E7E6E6" w:themeFill="background2"/>
            <w:vAlign w:val="center"/>
            <w:hideMark/>
          </w:tcPr>
          <w:p w14:paraId="74C4D39A"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1</w:t>
            </w:r>
          </w:p>
        </w:tc>
      </w:tr>
      <w:tr w:rsidR="00884C76" w:rsidRPr="00884C76" w14:paraId="416E20C0" w14:textId="77777777" w:rsidTr="000C5CF2">
        <w:trPr>
          <w:trHeight w:val="668"/>
        </w:trPr>
        <w:tc>
          <w:tcPr>
            <w:tcW w:w="0" w:type="auto"/>
            <w:vMerge/>
            <w:tcBorders>
              <w:top w:val="nil"/>
              <w:left w:val="single" w:sz="4" w:space="0" w:color="808080"/>
              <w:bottom w:val="single" w:sz="4" w:space="0" w:color="808080"/>
              <w:right w:val="single" w:sz="4" w:space="0" w:color="808080"/>
            </w:tcBorders>
            <w:vAlign w:val="center"/>
            <w:hideMark/>
          </w:tcPr>
          <w:p w14:paraId="392C63F4"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p>
        </w:tc>
        <w:tc>
          <w:tcPr>
            <w:tcW w:w="1687" w:type="dxa"/>
            <w:vMerge w:val="restart"/>
            <w:tcBorders>
              <w:top w:val="nil"/>
              <w:left w:val="single" w:sz="4" w:space="0" w:color="808080"/>
              <w:bottom w:val="single" w:sz="4" w:space="0" w:color="808080"/>
              <w:right w:val="single" w:sz="4" w:space="0" w:color="808080"/>
            </w:tcBorders>
            <w:vAlign w:val="center"/>
            <w:hideMark/>
          </w:tcPr>
          <w:p w14:paraId="77036958"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Propiedad intelectual</w:t>
            </w:r>
          </w:p>
        </w:tc>
        <w:tc>
          <w:tcPr>
            <w:tcW w:w="2406" w:type="dxa"/>
            <w:tcBorders>
              <w:top w:val="nil"/>
              <w:left w:val="nil"/>
              <w:bottom w:val="single" w:sz="4" w:space="0" w:color="808080"/>
              <w:right w:val="single" w:sz="4" w:space="0" w:color="808080"/>
            </w:tcBorders>
            <w:vAlign w:val="center"/>
            <w:hideMark/>
          </w:tcPr>
          <w:p w14:paraId="58ED4FC6"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No. de derechos de autor en el año n</w:t>
            </w:r>
          </w:p>
        </w:tc>
        <w:tc>
          <w:tcPr>
            <w:tcW w:w="1639" w:type="dxa"/>
            <w:tcBorders>
              <w:top w:val="nil"/>
              <w:left w:val="nil"/>
              <w:bottom w:val="single" w:sz="4" w:space="0" w:color="808080"/>
              <w:right w:val="single" w:sz="4" w:space="0" w:color="808080"/>
            </w:tcBorders>
            <w:vAlign w:val="center"/>
            <w:hideMark/>
          </w:tcPr>
          <w:p w14:paraId="231A540B"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7</w:t>
            </w:r>
          </w:p>
        </w:tc>
        <w:tc>
          <w:tcPr>
            <w:tcW w:w="1999" w:type="dxa"/>
            <w:tcBorders>
              <w:top w:val="nil"/>
              <w:left w:val="nil"/>
              <w:bottom w:val="single" w:sz="4" w:space="0" w:color="808080"/>
              <w:right w:val="single" w:sz="4" w:space="0" w:color="808080"/>
            </w:tcBorders>
            <w:vAlign w:val="center"/>
            <w:hideMark/>
          </w:tcPr>
          <w:p w14:paraId="4417002A"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18</w:t>
            </w:r>
          </w:p>
        </w:tc>
      </w:tr>
      <w:tr w:rsidR="00884C76" w:rsidRPr="00884C76" w14:paraId="5D026EBA" w14:textId="77777777" w:rsidTr="000C5CF2">
        <w:trPr>
          <w:trHeight w:val="564"/>
        </w:trPr>
        <w:tc>
          <w:tcPr>
            <w:tcW w:w="0" w:type="auto"/>
            <w:vMerge/>
            <w:tcBorders>
              <w:top w:val="nil"/>
              <w:left w:val="single" w:sz="4" w:space="0" w:color="808080"/>
              <w:bottom w:val="single" w:sz="4" w:space="0" w:color="808080"/>
              <w:right w:val="single" w:sz="4" w:space="0" w:color="808080"/>
            </w:tcBorders>
            <w:vAlign w:val="center"/>
            <w:hideMark/>
          </w:tcPr>
          <w:p w14:paraId="38EB4941"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p>
        </w:tc>
        <w:tc>
          <w:tcPr>
            <w:tcW w:w="0" w:type="auto"/>
            <w:vMerge/>
            <w:tcBorders>
              <w:top w:val="nil"/>
              <w:left w:val="single" w:sz="4" w:space="0" w:color="808080"/>
              <w:bottom w:val="single" w:sz="4" w:space="0" w:color="808080"/>
              <w:right w:val="single" w:sz="4" w:space="0" w:color="808080"/>
            </w:tcBorders>
            <w:vAlign w:val="center"/>
            <w:hideMark/>
          </w:tcPr>
          <w:p w14:paraId="356624D8"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p>
        </w:tc>
        <w:tc>
          <w:tcPr>
            <w:tcW w:w="2406" w:type="dxa"/>
            <w:tcBorders>
              <w:top w:val="nil"/>
              <w:left w:val="nil"/>
              <w:bottom w:val="single" w:sz="4" w:space="0" w:color="808080"/>
              <w:right w:val="single" w:sz="4" w:space="0" w:color="808080"/>
            </w:tcBorders>
            <w:vAlign w:val="center"/>
            <w:hideMark/>
          </w:tcPr>
          <w:p w14:paraId="2AA05154"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No. de derechos de autor en el año  n-1</w:t>
            </w:r>
          </w:p>
        </w:tc>
        <w:tc>
          <w:tcPr>
            <w:tcW w:w="1639" w:type="dxa"/>
            <w:tcBorders>
              <w:top w:val="nil"/>
              <w:left w:val="nil"/>
              <w:bottom w:val="single" w:sz="4" w:space="0" w:color="808080"/>
              <w:right w:val="single" w:sz="4" w:space="0" w:color="808080"/>
            </w:tcBorders>
            <w:vAlign w:val="center"/>
            <w:hideMark/>
          </w:tcPr>
          <w:p w14:paraId="635CDBB4"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4</w:t>
            </w:r>
          </w:p>
        </w:tc>
        <w:tc>
          <w:tcPr>
            <w:tcW w:w="1999" w:type="dxa"/>
            <w:tcBorders>
              <w:top w:val="nil"/>
              <w:left w:val="nil"/>
              <w:bottom w:val="single" w:sz="4" w:space="0" w:color="808080"/>
              <w:right w:val="single" w:sz="4" w:space="0" w:color="808080"/>
            </w:tcBorders>
            <w:vAlign w:val="center"/>
            <w:hideMark/>
          </w:tcPr>
          <w:p w14:paraId="7C658092"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18</w:t>
            </w:r>
          </w:p>
        </w:tc>
      </w:tr>
      <w:tr w:rsidR="00884C76" w:rsidRPr="00884C76" w14:paraId="5E8AAFE6" w14:textId="77777777" w:rsidTr="000C5CF2">
        <w:trPr>
          <w:trHeight w:val="300"/>
        </w:trPr>
        <w:tc>
          <w:tcPr>
            <w:tcW w:w="0" w:type="auto"/>
            <w:vMerge/>
            <w:tcBorders>
              <w:top w:val="nil"/>
              <w:left w:val="single" w:sz="4" w:space="0" w:color="808080"/>
              <w:bottom w:val="single" w:sz="4" w:space="0" w:color="808080"/>
              <w:right w:val="single" w:sz="4" w:space="0" w:color="808080"/>
            </w:tcBorders>
            <w:vAlign w:val="center"/>
            <w:hideMark/>
          </w:tcPr>
          <w:p w14:paraId="415EC1FE"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p>
        </w:tc>
        <w:tc>
          <w:tcPr>
            <w:tcW w:w="0" w:type="auto"/>
            <w:vMerge/>
            <w:tcBorders>
              <w:top w:val="nil"/>
              <w:left w:val="single" w:sz="4" w:space="0" w:color="808080"/>
              <w:bottom w:val="single" w:sz="4" w:space="0" w:color="808080"/>
              <w:right w:val="single" w:sz="4" w:space="0" w:color="808080"/>
            </w:tcBorders>
            <w:vAlign w:val="center"/>
            <w:hideMark/>
          </w:tcPr>
          <w:p w14:paraId="6B4500BE"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p>
        </w:tc>
        <w:tc>
          <w:tcPr>
            <w:tcW w:w="2406" w:type="dxa"/>
            <w:tcBorders>
              <w:top w:val="single" w:sz="4" w:space="0" w:color="808080"/>
              <w:left w:val="nil"/>
              <w:bottom w:val="single" w:sz="4" w:space="0" w:color="auto"/>
              <w:right w:val="nil"/>
            </w:tcBorders>
            <w:vAlign w:val="bottom"/>
            <w:hideMark/>
          </w:tcPr>
          <w:p w14:paraId="513A6033"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 </w:t>
            </w:r>
          </w:p>
        </w:tc>
        <w:tc>
          <w:tcPr>
            <w:tcW w:w="1639" w:type="dxa"/>
            <w:tcBorders>
              <w:top w:val="nil"/>
              <w:left w:val="single" w:sz="4" w:space="0" w:color="808080"/>
              <w:bottom w:val="single" w:sz="4" w:space="0" w:color="808080"/>
              <w:right w:val="single" w:sz="4" w:space="0" w:color="808080"/>
            </w:tcBorders>
            <w:shd w:val="clear" w:color="auto" w:fill="E7E6E6" w:themeFill="background2"/>
            <w:vAlign w:val="center"/>
            <w:hideMark/>
          </w:tcPr>
          <w:p w14:paraId="47896303"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1.75</w:t>
            </w:r>
          </w:p>
        </w:tc>
        <w:tc>
          <w:tcPr>
            <w:tcW w:w="1999" w:type="dxa"/>
            <w:tcBorders>
              <w:top w:val="nil"/>
              <w:left w:val="nil"/>
              <w:bottom w:val="single" w:sz="4" w:space="0" w:color="808080"/>
              <w:right w:val="single" w:sz="4" w:space="0" w:color="808080"/>
            </w:tcBorders>
            <w:shd w:val="clear" w:color="auto" w:fill="E7E6E6" w:themeFill="background2"/>
            <w:vAlign w:val="center"/>
            <w:hideMark/>
          </w:tcPr>
          <w:p w14:paraId="7CA845CC"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r w:rsidRPr="00884C76">
              <w:rPr>
                <w:rFonts w:ascii="Monserrat" w:eastAsia="Times New Roman" w:hAnsi="Monserrat" w:cstheme="majorHAnsi"/>
                <w:iCs/>
                <w:sz w:val="16"/>
                <w:szCs w:val="16"/>
                <w:lang w:val="es-ES" w:eastAsia="es-MX"/>
              </w:rPr>
              <w:t>1</w:t>
            </w:r>
          </w:p>
        </w:tc>
      </w:tr>
    </w:tbl>
    <w:p w14:paraId="098AF016" w14:textId="77777777" w:rsidR="00884C76" w:rsidRPr="00884C76" w:rsidRDefault="00884C76" w:rsidP="00884C76">
      <w:pPr>
        <w:spacing w:after="20" w:line="276" w:lineRule="auto"/>
        <w:jc w:val="center"/>
        <w:rPr>
          <w:rFonts w:ascii="Monserrat" w:eastAsia="Times New Roman" w:hAnsi="Monserrat" w:cstheme="majorHAnsi"/>
          <w:iCs/>
          <w:sz w:val="16"/>
          <w:szCs w:val="16"/>
          <w:lang w:val="es-ES" w:eastAsia="es-MX"/>
        </w:rPr>
      </w:pPr>
    </w:p>
    <w:p w14:paraId="32293431" w14:textId="77777777" w:rsidR="00884C76" w:rsidRPr="00884C76" w:rsidRDefault="00884C76" w:rsidP="00884C76">
      <w:pPr>
        <w:spacing w:after="20" w:line="276" w:lineRule="auto"/>
        <w:jc w:val="both"/>
        <w:rPr>
          <w:rFonts w:ascii="Montserrat" w:eastAsia="Times New Roman" w:hAnsi="Montserrat" w:cstheme="majorHAnsi"/>
          <w:iCs/>
          <w:sz w:val="22"/>
          <w:szCs w:val="22"/>
          <w:lang w:val="es-ES" w:eastAsia="es-MX"/>
        </w:rPr>
      </w:pPr>
      <w:r w:rsidRPr="00884C76">
        <w:rPr>
          <w:rFonts w:ascii="Montserrat" w:eastAsia="Times New Roman" w:hAnsi="Montserrat" w:cstheme="majorHAnsi"/>
          <w:iCs/>
          <w:sz w:val="22"/>
          <w:szCs w:val="22"/>
          <w:lang w:val="es-ES" w:eastAsia="es-MX"/>
        </w:rPr>
        <w:t>Actualmente, a pesar de los problemas de salud que nos afectan mundialmente, hemos promovido la transferencia con distintas instituciones públicas y privadas, mediante proyectos en donde se privilegian los intereses en común.</w:t>
      </w:r>
    </w:p>
    <w:p w14:paraId="71C3F81E" w14:textId="77777777" w:rsidR="00884C76" w:rsidRPr="00884C76" w:rsidRDefault="00884C76" w:rsidP="00884C76">
      <w:pPr>
        <w:spacing w:after="20" w:line="276" w:lineRule="auto"/>
        <w:jc w:val="both"/>
        <w:rPr>
          <w:rFonts w:ascii="Montserrat" w:eastAsia="Times New Roman" w:hAnsi="Montserrat" w:cstheme="majorHAnsi"/>
          <w:iCs/>
          <w:sz w:val="22"/>
          <w:szCs w:val="22"/>
          <w:lang w:val="es-ES" w:eastAsia="es-MX"/>
        </w:rPr>
      </w:pPr>
    </w:p>
    <w:p w14:paraId="06127935" w14:textId="77777777" w:rsidR="00884C76" w:rsidRPr="00884C76" w:rsidRDefault="00884C76" w:rsidP="00884C76">
      <w:pPr>
        <w:spacing w:after="20" w:line="276" w:lineRule="auto"/>
        <w:jc w:val="both"/>
        <w:rPr>
          <w:rFonts w:ascii="Montserrat" w:eastAsia="Times New Roman" w:hAnsi="Montserrat" w:cstheme="majorHAnsi"/>
          <w:iCs/>
          <w:sz w:val="22"/>
          <w:szCs w:val="22"/>
          <w:lang w:val="es-ES" w:eastAsia="es-MX"/>
        </w:rPr>
      </w:pPr>
      <w:r w:rsidRPr="00884C76">
        <w:rPr>
          <w:rFonts w:ascii="Montserrat" w:eastAsia="Times New Roman" w:hAnsi="Montserrat" w:cstheme="majorHAnsi"/>
          <w:iCs/>
          <w:sz w:val="22"/>
          <w:szCs w:val="22"/>
          <w:lang w:val="es-ES" w:eastAsia="es-MX"/>
        </w:rPr>
        <w:t xml:space="preserve">El Instituto Nacional de Derechos de Autor (INDAUTOR), estableciendo las medidas sanitarias por COVID-19, tienen una nueva dinámica para atención en sus oficinas al público en general, INDAUTOR  indicó enviar de forma digital los </w:t>
      </w:r>
      <w:r w:rsidRPr="00884C76">
        <w:rPr>
          <w:rFonts w:ascii="Montserrat" w:eastAsia="Times New Roman" w:hAnsi="Montserrat" w:cstheme="majorHAnsi"/>
          <w:iCs/>
          <w:sz w:val="22"/>
          <w:szCs w:val="22"/>
          <w:lang w:val="es-ES" w:eastAsia="es-MX"/>
        </w:rPr>
        <w:lastRenderedPageBreak/>
        <w:t>expedientes,  por lo que se enviaron 7 expedientes para que realicen el estudio de forma y fondo respectivo, en términos de la Ley Federal del Derecho de Autor y su Reglamento, y confirmen que se tiene por presentada la solicitud y por registrada de manera provisional y en la página de INDAUTOR se genera cita para presentarse con los documentos originales correspondientes y consecuentemente nos hagan la entrega del Certificado de Registro, con la reserva que no emitirá los Certificados, sino hasta que se tenga la posibilidad de entregar los expedientes físicamente, certificando con ello la originalidad de los documentos para emitir el certificado correspondiente de registro de la obra. Con base a lo anterior se reportan 7 registros de obra literarias, de los cuales se tiene los Certificados, de estos, 3 fueron gestionadas por personal académico de la Unidad San Cristóbal y 4 de ellas por la Unidad Chetumal</w:t>
      </w:r>
    </w:p>
    <w:p w14:paraId="0DC0A5B9" w14:textId="77777777" w:rsidR="00884C76" w:rsidRPr="00884C76" w:rsidRDefault="00884C76" w:rsidP="00884C76">
      <w:pPr>
        <w:spacing w:after="20" w:line="276" w:lineRule="auto"/>
        <w:jc w:val="both"/>
        <w:rPr>
          <w:rFonts w:ascii="Montserrat" w:eastAsia="Times New Roman" w:hAnsi="Montserrat" w:cstheme="majorHAnsi"/>
          <w:iCs/>
          <w:sz w:val="22"/>
          <w:szCs w:val="22"/>
          <w:lang w:eastAsia="es-MX"/>
        </w:rPr>
      </w:pPr>
    </w:p>
    <w:p w14:paraId="32A257EA" w14:textId="77777777" w:rsidR="00884C76" w:rsidRPr="00884C76" w:rsidRDefault="00884C76" w:rsidP="00884C76">
      <w:pPr>
        <w:spacing w:after="20" w:line="276" w:lineRule="auto"/>
        <w:jc w:val="both"/>
        <w:rPr>
          <w:rFonts w:ascii="Montserrat" w:eastAsia="Times New Roman" w:hAnsi="Montserrat" w:cstheme="majorHAnsi"/>
          <w:b/>
          <w:bCs/>
          <w:i/>
          <w:sz w:val="22"/>
          <w:szCs w:val="22"/>
          <w:lang w:val="es-ES" w:eastAsia="es-MX"/>
        </w:rPr>
      </w:pPr>
      <w:r w:rsidRPr="00884C76">
        <w:rPr>
          <w:rFonts w:ascii="Montserrat" w:eastAsia="Times New Roman" w:hAnsi="Montserrat" w:cstheme="majorHAnsi"/>
          <w:b/>
          <w:bCs/>
          <w:i/>
          <w:sz w:val="22"/>
          <w:szCs w:val="22"/>
          <w:lang w:val="es-ES" w:eastAsia="es-MX"/>
        </w:rPr>
        <w:t>5.5.2. Avances enero-junio 2021</w:t>
      </w:r>
    </w:p>
    <w:p w14:paraId="19137E35" w14:textId="77777777" w:rsidR="00884C76" w:rsidRPr="00884C76" w:rsidRDefault="00884C76" w:rsidP="00884C76">
      <w:pPr>
        <w:spacing w:after="20" w:line="276" w:lineRule="auto"/>
        <w:jc w:val="both"/>
        <w:rPr>
          <w:rFonts w:ascii="Montserrat" w:eastAsia="Times New Roman" w:hAnsi="Montserrat" w:cstheme="majorHAnsi"/>
          <w:iCs/>
          <w:sz w:val="22"/>
          <w:szCs w:val="22"/>
          <w:lang w:eastAsia="es-MX"/>
        </w:rPr>
      </w:pPr>
    </w:p>
    <w:p w14:paraId="1BDD74B3" w14:textId="77777777" w:rsidR="00884C76" w:rsidRPr="00884C76" w:rsidRDefault="00884C76" w:rsidP="00884C76">
      <w:pPr>
        <w:spacing w:after="20" w:line="276" w:lineRule="auto"/>
        <w:jc w:val="both"/>
        <w:rPr>
          <w:rFonts w:ascii="Montserrat" w:eastAsia="Times New Roman" w:hAnsi="Montserrat" w:cstheme="majorHAnsi"/>
          <w:iCs/>
          <w:sz w:val="22"/>
          <w:szCs w:val="22"/>
          <w:lang w:val="es-ES" w:eastAsia="es-MX"/>
        </w:rPr>
      </w:pPr>
      <w:r w:rsidRPr="00884C76">
        <w:rPr>
          <w:rFonts w:ascii="Montserrat" w:eastAsia="Times New Roman" w:hAnsi="Montserrat" w:cstheme="majorHAnsi"/>
          <w:iCs/>
          <w:sz w:val="22"/>
          <w:szCs w:val="22"/>
          <w:lang w:val="es-ES" w:eastAsia="es-MX"/>
        </w:rPr>
        <w:t>Como parte de las actividades de Gestión Tecnológica y Socioambiental, específicamente el área de Contratos y Convenios y el apoyo de Infonomía, se programaron del 17 al 21 del mes de junio, cinco sesiones de inducción al sistema de contratos y convenios para cada una de las unidades de ECOSUR, a fin de invitar a toda la comunidad que lo necesite, a conocer y usar este sistema de manera eficiente, así como identificar los problemas a que se enfrentan al utilizar el sistema y como poder hacer los ajustes para que la herramienta sea más amigable para los usuarios.  Con la participación total de 42 miembros de nuestra institución, se desarrolló la siguiente temática:  Localización de sistema dentro de la web interna, Forma de acceso, Identificación de los componentes del sistema, Tipos de instrumentos (convenios nuevos o modificatorios), Guía de consulta para los tipos de instrumentos, Caso práctico en donde se construyó un convenio específico (por considerase de los instrumentos más complejos) y un convenio modificatorio de principio a fin.</w:t>
      </w:r>
    </w:p>
    <w:p w14:paraId="19D2A868" w14:textId="77777777" w:rsidR="00884C76" w:rsidRPr="00884C76" w:rsidRDefault="00884C76" w:rsidP="00884C76">
      <w:pPr>
        <w:spacing w:after="20" w:line="276" w:lineRule="auto"/>
        <w:jc w:val="both"/>
        <w:rPr>
          <w:rFonts w:ascii="Montserrat" w:eastAsia="Times New Roman" w:hAnsi="Montserrat" w:cstheme="majorHAnsi"/>
          <w:iCs/>
          <w:sz w:val="22"/>
          <w:szCs w:val="22"/>
          <w:lang w:val="es-ES" w:eastAsia="es-MX"/>
        </w:rPr>
      </w:pPr>
    </w:p>
    <w:p w14:paraId="41936C28" w14:textId="77777777" w:rsidR="00884C76" w:rsidRPr="00884C76" w:rsidRDefault="00884C76" w:rsidP="00884C76">
      <w:pPr>
        <w:spacing w:after="20" w:line="276" w:lineRule="auto"/>
        <w:jc w:val="both"/>
        <w:rPr>
          <w:rFonts w:ascii="Montserrat" w:eastAsia="Times New Roman" w:hAnsi="Montserrat" w:cstheme="majorHAnsi"/>
          <w:iCs/>
          <w:sz w:val="22"/>
          <w:szCs w:val="22"/>
          <w:lang w:val="es-ES" w:eastAsia="es-MX"/>
        </w:rPr>
      </w:pPr>
      <w:r w:rsidRPr="00884C76">
        <w:rPr>
          <w:rFonts w:ascii="Montserrat" w:eastAsia="Times New Roman" w:hAnsi="Montserrat" w:cstheme="majorHAnsi"/>
          <w:iCs/>
          <w:sz w:val="22"/>
          <w:szCs w:val="22"/>
          <w:lang w:val="es-ES" w:eastAsia="es-MX"/>
        </w:rPr>
        <w:t>Con base en lo anterior, se logró que el Sistema cumpla en el objetivo de proporcionar al personal de ECOSUR las facilidades necesarias para gestionar las solicitudes, concentrado las revisiones administrativas, académica y de vinculación en una misma plataforma.</w:t>
      </w:r>
    </w:p>
    <w:p w14:paraId="4FA91438" w14:textId="77777777" w:rsidR="00884C76" w:rsidRPr="00884C76" w:rsidRDefault="00884C76" w:rsidP="00884C76">
      <w:pPr>
        <w:spacing w:after="20" w:line="276" w:lineRule="auto"/>
        <w:jc w:val="both"/>
        <w:rPr>
          <w:rFonts w:ascii="Montserrat" w:eastAsia="Times New Roman" w:hAnsi="Montserrat" w:cstheme="majorHAnsi"/>
          <w:iCs/>
          <w:sz w:val="22"/>
          <w:szCs w:val="22"/>
          <w:lang w:val="es-ES" w:eastAsia="es-MX"/>
        </w:rPr>
      </w:pPr>
    </w:p>
    <w:p w14:paraId="24799272" w14:textId="77777777" w:rsidR="00884C76" w:rsidRPr="00884C76" w:rsidRDefault="00884C76" w:rsidP="00884C76">
      <w:pPr>
        <w:spacing w:after="20" w:line="276" w:lineRule="auto"/>
        <w:jc w:val="both"/>
        <w:rPr>
          <w:rFonts w:ascii="Montserrat" w:eastAsia="Times New Roman" w:hAnsi="Montserrat" w:cstheme="majorHAnsi"/>
          <w:iCs/>
          <w:sz w:val="22"/>
          <w:szCs w:val="22"/>
          <w:lang w:val="es-ES" w:eastAsia="es-MX"/>
        </w:rPr>
      </w:pPr>
      <w:r w:rsidRPr="00884C76">
        <w:rPr>
          <w:rFonts w:ascii="Montserrat" w:eastAsia="Times New Roman" w:hAnsi="Montserrat" w:cstheme="majorHAnsi"/>
          <w:iCs/>
          <w:sz w:val="22"/>
          <w:szCs w:val="22"/>
          <w:lang w:val="es-ES" w:eastAsia="es-MX"/>
        </w:rPr>
        <w:t xml:space="preserve">Durante enero a junio de 2021 se reportaron 34 convenios, de los cuales 17 son proyectos interinstitucionales, incluyendo 9 Convenios de Transferencia de </w:t>
      </w:r>
      <w:r w:rsidRPr="00884C76">
        <w:rPr>
          <w:rFonts w:ascii="Montserrat" w:eastAsia="Times New Roman" w:hAnsi="Montserrat" w:cstheme="majorHAnsi"/>
          <w:iCs/>
          <w:sz w:val="22"/>
          <w:szCs w:val="22"/>
          <w:lang w:val="es-ES" w:eastAsia="es-MX"/>
        </w:rPr>
        <w:lastRenderedPageBreak/>
        <w:t>Tecnología, 10 Convenios Generales y 7 Convenios Modificatorios, gestionados por las diferentes Unidad de ECOSUR.</w:t>
      </w:r>
    </w:p>
    <w:p w14:paraId="66F3DAAE" w14:textId="77777777" w:rsidR="00884C76" w:rsidRPr="00884C76" w:rsidRDefault="00884C76" w:rsidP="00884C76">
      <w:pPr>
        <w:spacing w:after="20" w:line="276" w:lineRule="auto"/>
        <w:jc w:val="both"/>
        <w:rPr>
          <w:rFonts w:ascii="Montserrat" w:eastAsia="Times New Roman" w:hAnsi="Montserrat" w:cstheme="majorHAnsi"/>
          <w:iCs/>
          <w:sz w:val="22"/>
          <w:szCs w:val="22"/>
          <w:lang w:val="es-ES" w:eastAsia="es-MX"/>
        </w:rPr>
      </w:pPr>
    </w:p>
    <w:p w14:paraId="3419390D" w14:textId="77777777" w:rsidR="00884C76" w:rsidRPr="00884C76" w:rsidRDefault="00884C76" w:rsidP="00884C76">
      <w:pPr>
        <w:spacing w:after="20" w:line="276" w:lineRule="auto"/>
        <w:jc w:val="both"/>
        <w:rPr>
          <w:rFonts w:ascii="Montserrat" w:eastAsia="Times New Roman" w:hAnsi="Montserrat" w:cstheme="majorHAnsi"/>
          <w:b/>
          <w:bCs/>
          <w:i/>
          <w:sz w:val="22"/>
          <w:szCs w:val="22"/>
          <w:lang w:val="es-ES" w:eastAsia="es-MX"/>
        </w:rPr>
      </w:pPr>
      <w:r w:rsidRPr="00884C76">
        <w:rPr>
          <w:rFonts w:ascii="Montserrat" w:eastAsia="Times New Roman" w:hAnsi="Montserrat" w:cstheme="majorHAnsi"/>
          <w:b/>
          <w:bCs/>
          <w:i/>
          <w:sz w:val="22"/>
          <w:szCs w:val="22"/>
          <w:lang w:val="es-ES" w:eastAsia="es-MX"/>
        </w:rPr>
        <w:t>5.5.3. Acciones para el periodo julio-diciembre 2021</w:t>
      </w:r>
    </w:p>
    <w:p w14:paraId="46AE7A85" w14:textId="77777777" w:rsidR="00884C76" w:rsidRPr="00884C76" w:rsidRDefault="00884C76" w:rsidP="00884C76">
      <w:pPr>
        <w:spacing w:after="20" w:line="276" w:lineRule="auto"/>
        <w:jc w:val="both"/>
        <w:rPr>
          <w:rFonts w:ascii="Montserrat" w:eastAsia="Times New Roman" w:hAnsi="Montserrat" w:cstheme="majorHAnsi"/>
          <w:b/>
          <w:bCs/>
          <w:i/>
          <w:sz w:val="22"/>
          <w:szCs w:val="22"/>
          <w:lang w:val="es-ES" w:eastAsia="es-MX"/>
        </w:rPr>
      </w:pPr>
    </w:p>
    <w:p w14:paraId="2E9F0F24" w14:textId="395DA4B2" w:rsidR="00884C76" w:rsidRPr="00884C76" w:rsidRDefault="00884C76" w:rsidP="00884C76">
      <w:pPr>
        <w:spacing w:after="20" w:line="276" w:lineRule="auto"/>
        <w:jc w:val="both"/>
        <w:rPr>
          <w:rFonts w:ascii="Montserrat" w:eastAsia="Times New Roman" w:hAnsi="Montserrat" w:cstheme="majorHAnsi"/>
          <w:iCs/>
          <w:sz w:val="22"/>
          <w:szCs w:val="22"/>
          <w:lang w:val="es-ES" w:eastAsia="es-MX"/>
        </w:rPr>
      </w:pPr>
      <w:r w:rsidRPr="00884C76">
        <w:rPr>
          <w:rFonts w:ascii="Montserrat" w:eastAsia="Times New Roman" w:hAnsi="Montserrat" w:cstheme="majorHAnsi"/>
          <w:iCs/>
          <w:sz w:val="22"/>
          <w:szCs w:val="22"/>
          <w:lang w:val="es-ES" w:eastAsia="es-MX"/>
        </w:rPr>
        <w:t>La Coordinación General de Vinculación e Innovación, a través del área de Gestión de transferencia de conocimiento y de tecnología, continuará apoyando al personal académico para formalizar por medio de convenios y contratos la colaboración con instituciones gubernamentales y no gubernamentales, universidades y centros de investigación regionales. En este sentido, durante el siguiente semestre, continuaremos dando los talleres de Contratos y Convenios por área o departamento, a fin de continuar con la automatización del proceso.</w:t>
      </w:r>
    </w:p>
    <w:p w14:paraId="2714B537" w14:textId="77777777" w:rsidR="00884C76" w:rsidRPr="00884C76" w:rsidRDefault="00884C76" w:rsidP="00884C76">
      <w:pPr>
        <w:spacing w:after="20" w:line="276" w:lineRule="auto"/>
        <w:jc w:val="both"/>
        <w:rPr>
          <w:rFonts w:ascii="Montserrat" w:eastAsia="Times New Roman" w:hAnsi="Montserrat" w:cstheme="majorHAnsi"/>
          <w:iCs/>
          <w:sz w:val="22"/>
          <w:szCs w:val="22"/>
          <w:lang w:val="es-ES" w:eastAsia="es-MX"/>
        </w:rPr>
      </w:pPr>
    </w:p>
    <w:p w14:paraId="6078D05A" w14:textId="179B9AAE" w:rsidR="00884C76" w:rsidRPr="00884C76" w:rsidRDefault="00884C76" w:rsidP="00884C76">
      <w:pPr>
        <w:spacing w:after="20" w:line="276" w:lineRule="auto"/>
        <w:jc w:val="both"/>
        <w:rPr>
          <w:rFonts w:ascii="Montserrat" w:eastAsia="Times New Roman" w:hAnsi="Montserrat" w:cstheme="majorHAnsi"/>
          <w:iCs/>
          <w:sz w:val="22"/>
          <w:szCs w:val="22"/>
          <w:lang w:val="es-ES" w:eastAsia="es-MX"/>
        </w:rPr>
      </w:pPr>
      <w:r w:rsidRPr="00884C76">
        <w:rPr>
          <w:rFonts w:ascii="Montserrat" w:eastAsia="Times New Roman" w:hAnsi="Montserrat" w:cstheme="majorHAnsi"/>
          <w:iCs/>
          <w:sz w:val="22"/>
          <w:szCs w:val="22"/>
          <w:lang w:val="es-ES" w:eastAsia="es-MX"/>
        </w:rPr>
        <w:t xml:space="preserve">Así mismo, </w:t>
      </w:r>
      <w:r w:rsidR="00002E30">
        <w:rPr>
          <w:rFonts w:ascii="Montserrat" w:eastAsia="Times New Roman" w:hAnsi="Montserrat" w:cstheme="majorHAnsi"/>
          <w:iCs/>
          <w:sz w:val="22"/>
          <w:szCs w:val="22"/>
          <w:lang w:val="es-ES" w:eastAsia="es-MX"/>
        </w:rPr>
        <w:t xml:space="preserve">en </w:t>
      </w:r>
      <w:r w:rsidRPr="00884C76">
        <w:rPr>
          <w:rFonts w:ascii="Montserrat" w:eastAsia="Times New Roman" w:hAnsi="Montserrat" w:cstheme="majorHAnsi"/>
          <w:iCs/>
          <w:sz w:val="22"/>
          <w:szCs w:val="22"/>
          <w:lang w:val="es-ES" w:eastAsia="es-MX"/>
        </w:rPr>
        <w:t xml:space="preserve">el siguiente semestre, se tiene contemplado dar inducción acerca del registro de patentes, y sobre temas de derecho de autor, entre otras de las actividades que se tienen contempladas, es realizar un Coloquio de transferencia de tecnología con la colaboración de diferentes Centros Públicos de Investigación que conformamos la Coordinación 3 de Vinculación.  Otra de las tareas pendientes, y que se finalizará en diciembre, son las guías de seguimiento de las tecnologías que se desarrollan en ECOSUR, con la finalidad de poder transferir los avances tecnológicos que se desarrollan en la Institución con la comunidad externa. Finalmente, se está trabajando en colaboración con la Coordinación Académica en la creación de una Unidad de servicio, el cual servirá para Identificar usuarios de los servicios y fortalecer la oferta, ya que es una de las recomendaciones del CEE. </w:t>
      </w:r>
    </w:p>
    <w:p w14:paraId="15DDF094" w14:textId="77777777" w:rsidR="00884C76" w:rsidRPr="00884C76" w:rsidRDefault="00884C76" w:rsidP="00884C76">
      <w:pPr>
        <w:spacing w:after="20" w:line="276" w:lineRule="auto"/>
        <w:jc w:val="both"/>
        <w:rPr>
          <w:rFonts w:ascii="Monserrat" w:eastAsia="Times New Roman" w:hAnsi="Monserrat" w:cstheme="majorHAnsi"/>
          <w:iCs/>
          <w:sz w:val="22"/>
          <w:szCs w:val="22"/>
          <w:lang w:val="es-ES" w:eastAsia="es-MX"/>
        </w:rPr>
      </w:pPr>
    </w:p>
    <w:p w14:paraId="7E63161C" w14:textId="77777777" w:rsidR="00884C76" w:rsidRPr="00884C76" w:rsidRDefault="00884C76" w:rsidP="00884C76">
      <w:pPr>
        <w:spacing w:line="276" w:lineRule="auto"/>
        <w:jc w:val="both"/>
        <w:rPr>
          <w:rFonts w:ascii="Monserrat" w:eastAsia="Times New Roman" w:hAnsi="Monserrat" w:cstheme="minorHAnsi"/>
          <w:sz w:val="22"/>
          <w:szCs w:val="22"/>
          <w:lang w:val="es-ES" w:eastAsia="es-MX"/>
        </w:rPr>
      </w:pPr>
    </w:p>
    <w:p w14:paraId="440BF222" w14:textId="77777777" w:rsidR="000934AA" w:rsidRPr="005E3C8A" w:rsidRDefault="000934AA" w:rsidP="00884C76">
      <w:pPr>
        <w:spacing w:line="276" w:lineRule="auto"/>
      </w:pPr>
    </w:p>
    <w:sectPr w:rsidR="000934AA" w:rsidRPr="005E3C8A" w:rsidSect="00422F43">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E6E04" w14:textId="77777777" w:rsidR="00C041E7" w:rsidRDefault="00C041E7">
      <w:r>
        <w:separator/>
      </w:r>
    </w:p>
  </w:endnote>
  <w:endnote w:type="continuationSeparator" w:id="0">
    <w:p w14:paraId="1FC3193A" w14:textId="77777777" w:rsidR="00C041E7" w:rsidRDefault="00C04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serra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Default="00C041E7" w:rsidP="003A63EB">
    <w:pPr>
      <w:pStyle w:val="Piedepgina"/>
      <w:jc w:val="center"/>
      <w:rPr>
        <w:rFonts w:ascii="Montserrat" w:eastAsia="Batang" w:hAnsi="Montserrat"/>
        <w:b/>
        <w:i/>
        <w:color w:val="A6A6A6" w:themeColor="background1" w:themeShade="A6"/>
        <w:sz w:val="18"/>
        <w:szCs w:val="18"/>
      </w:rPr>
    </w:pPr>
  </w:p>
  <w:p w14:paraId="2E1DAB53" w14:textId="77777777" w:rsidR="003A63EB" w:rsidRDefault="00C96130" w:rsidP="003A63EB">
    <w:pPr>
      <w:pStyle w:val="Piedepgina"/>
      <w:jc w:val="center"/>
      <w:rPr>
        <w:rFonts w:ascii="Montserrat" w:eastAsia="Batang" w:hAnsi="Montserrat"/>
        <w:b/>
        <w:i/>
        <w:color w:val="A6A6A6" w:themeColor="background1" w:themeShade="A6"/>
        <w:sz w:val="18"/>
        <w:szCs w:val="18"/>
      </w:rPr>
    </w:pPr>
    <w:r>
      <w:rPr>
        <w:rFonts w:ascii="Montserrat" w:eastAsia="Batang" w:hAnsi="Montserrat"/>
        <w:b/>
        <w:i/>
        <w:color w:val="A6A6A6" w:themeColor="background1" w:themeShade="A6"/>
        <w:sz w:val="18"/>
        <w:szCs w:val="18"/>
      </w:rPr>
      <w:t>Segunda</w:t>
    </w:r>
    <w:r w:rsidRPr="009E5A53">
      <w:rPr>
        <w:rFonts w:ascii="Montserrat" w:eastAsia="Batang" w:hAnsi="Montserrat"/>
        <w:b/>
        <w:i/>
        <w:color w:val="A6A6A6" w:themeColor="background1" w:themeShade="A6"/>
        <w:sz w:val="18"/>
        <w:szCs w:val="18"/>
      </w:rPr>
      <w:t xml:space="preserve"> Sesión Ordinaria de la Junta de Gobierno 202</w:t>
    </w:r>
    <w:r>
      <w:rPr>
        <w:rFonts w:ascii="Montserrat" w:eastAsia="Batang" w:hAnsi="Montserrat"/>
        <w:b/>
        <w:i/>
        <w:color w:val="A6A6A6" w:themeColor="background1" w:themeShade="A6"/>
        <w:sz w:val="18"/>
        <w:szCs w:val="18"/>
      </w:rPr>
      <w:t>1</w:t>
    </w:r>
  </w:p>
  <w:p w14:paraId="43426146" w14:textId="77777777" w:rsidR="003A63EB" w:rsidRDefault="00C041E7"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9E5A53" w:rsidRDefault="00C041E7" w:rsidP="00E364CC">
    <w:pPr>
      <w:pStyle w:val="Piedepgina"/>
      <w:tabs>
        <w:tab w:val="left" w:pos="8624"/>
        <w:tab w:val="right" w:pos="9405"/>
      </w:tabs>
      <w:rPr>
        <w:rFonts w:ascii="Montserrat" w:hAnsi="Montserrat"/>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5D40E" w14:textId="77777777" w:rsidR="00C041E7" w:rsidRDefault="00C041E7">
      <w:r>
        <w:separator/>
      </w:r>
    </w:p>
  </w:footnote>
  <w:footnote w:type="continuationSeparator" w:id="0">
    <w:p w14:paraId="42D7ADC0" w14:textId="77777777" w:rsidR="00C041E7" w:rsidRDefault="00C04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C041E7" w:rsidP="00E364CC">
    <w:pPr>
      <w:pStyle w:val="Encabezado"/>
      <w:tabs>
        <w:tab w:val="left" w:pos="1134"/>
      </w:tabs>
    </w:pPr>
  </w:p>
  <w:p w14:paraId="4C2F6282" w14:textId="77777777" w:rsidR="00EE1715" w:rsidRDefault="00C041E7" w:rsidP="00E364CC">
    <w:pPr>
      <w:pStyle w:val="Encabezado"/>
      <w:tabs>
        <w:tab w:val="left" w:pos="1134"/>
      </w:tabs>
    </w:pPr>
  </w:p>
  <w:p w14:paraId="50E2E2A0" w14:textId="77777777" w:rsidR="00EE1715" w:rsidRDefault="00C041E7" w:rsidP="00E364CC">
    <w:pPr>
      <w:pStyle w:val="Encabezado"/>
      <w:tabs>
        <w:tab w:val="left" w:pos="1134"/>
      </w:tabs>
    </w:pPr>
  </w:p>
  <w:p w14:paraId="2B1D0651" w14:textId="77777777" w:rsidR="00AD79D9" w:rsidRDefault="00C041E7" w:rsidP="00E364CC">
    <w:pPr>
      <w:pStyle w:val="Encabezado"/>
      <w:tabs>
        <w:tab w:val="left" w:pos="11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02E30"/>
    <w:rsid w:val="000934AA"/>
    <w:rsid w:val="0024762E"/>
    <w:rsid w:val="004531C7"/>
    <w:rsid w:val="004C485E"/>
    <w:rsid w:val="005727FB"/>
    <w:rsid w:val="005E3C8A"/>
    <w:rsid w:val="006D2A5C"/>
    <w:rsid w:val="00822148"/>
    <w:rsid w:val="00842569"/>
    <w:rsid w:val="00884C76"/>
    <w:rsid w:val="009B48AB"/>
    <w:rsid w:val="00C041E7"/>
    <w:rsid w:val="00C96130"/>
    <w:rsid w:val="00D368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878</Words>
  <Characters>4829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Claudia</cp:lastModifiedBy>
  <cp:revision>4</cp:revision>
  <dcterms:created xsi:type="dcterms:W3CDTF">2021-09-21T16:00:00Z</dcterms:created>
  <dcterms:modified xsi:type="dcterms:W3CDTF">2021-09-22T00:31:00Z</dcterms:modified>
</cp:coreProperties>
</file>