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5F9EE" w14:textId="77777777" w:rsidR="00822148" w:rsidRPr="00822148" w:rsidRDefault="00822148" w:rsidP="00822148">
      <w:pPr>
        <w:spacing w:after="20" w:line="276" w:lineRule="auto"/>
        <w:jc w:val="center"/>
        <w:rPr>
          <w:rFonts w:ascii="Montserrat" w:eastAsia="Times New Roman" w:hAnsi="Montserrat" w:cstheme="majorHAnsi"/>
          <w:b/>
          <w:bCs/>
          <w:i/>
          <w:lang w:val="es-ES" w:eastAsia="es-MX"/>
        </w:rPr>
      </w:pPr>
      <w:r w:rsidRPr="00822148">
        <w:rPr>
          <w:rFonts w:ascii="Montserrat" w:eastAsia="Times New Roman" w:hAnsi="Montserrat" w:cstheme="majorHAnsi"/>
          <w:b/>
          <w:bCs/>
          <w:i/>
          <w:lang w:val="es-ES" w:eastAsia="es-MX"/>
        </w:rPr>
        <w:t>5.4. Divulgación de la Ciencia</w:t>
      </w:r>
    </w:p>
    <w:p w14:paraId="25D1FF25" w14:textId="77777777" w:rsidR="00822148" w:rsidRPr="00822148" w:rsidRDefault="00822148" w:rsidP="00822148">
      <w:pPr>
        <w:spacing w:after="20" w:line="276" w:lineRule="auto"/>
        <w:jc w:val="both"/>
        <w:rPr>
          <w:rFonts w:ascii="Monserrat" w:eastAsia="Times New Roman" w:hAnsi="Monserrat" w:cstheme="majorHAnsi"/>
          <w:b/>
          <w:bCs/>
          <w:i/>
          <w:lang w:val="es-ES" w:eastAsia="es-MX"/>
        </w:rPr>
      </w:pPr>
    </w:p>
    <w:p w14:paraId="04360690" w14:textId="77777777" w:rsidR="00822148" w:rsidRPr="00C64987" w:rsidRDefault="00822148" w:rsidP="00822148">
      <w:pPr>
        <w:spacing w:after="20" w:line="276" w:lineRule="auto"/>
        <w:jc w:val="both"/>
        <w:rPr>
          <w:rFonts w:ascii="Montserrat" w:eastAsia="Times New Roman" w:hAnsi="Montserrat" w:cstheme="majorHAnsi"/>
          <w:b/>
          <w:bCs/>
          <w:i/>
          <w:sz w:val="22"/>
          <w:szCs w:val="22"/>
          <w:lang w:val="es-ES" w:eastAsia="es-MX"/>
        </w:rPr>
      </w:pPr>
      <w:r w:rsidRPr="00C64987">
        <w:rPr>
          <w:rFonts w:ascii="Montserrat" w:eastAsia="Times New Roman" w:hAnsi="Montserrat" w:cstheme="majorHAnsi"/>
          <w:b/>
          <w:bCs/>
          <w:i/>
          <w:sz w:val="22"/>
          <w:szCs w:val="22"/>
          <w:lang w:val="es-ES" w:eastAsia="es-MX"/>
        </w:rPr>
        <w:t>5.4.1. Cumplimiento de indicadores del Anexo CAR en el ámbito de la difusión y divulgación de la ciencia y la tecnología</w:t>
      </w:r>
    </w:p>
    <w:p w14:paraId="27A666CE"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p>
    <w:p w14:paraId="35C2B1EC"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 xml:space="preserve">En el primer semestre del año, investigadoras, investigadores y personal técnico académico realizó 322 actividades de divulgación de la ciencia —pláticas, artículos, entrevistas en radio, prensa y TV, videos, exposición fotográfica y presentaciones de libros— con las cuales la institución contribuye a elevar el conocimiento científico de la población mexicana y especialmente de la que habita la región </w:t>
      </w:r>
      <w:proofErr w:type="gramStart"/>
      <w:r w:rsidRPr="00822148">
        <w:rPr>
          <w:rFonts w:ascii="Montserrat" w:eastAsia="Times New Roman" w:hAnsi="Montserrat" w:cstheme="majorHAnsi"/>
          <w:iCs/>
          <w:sz w:val="22"/>
          <w:szCs w:val="22"/>
          <w:lang w:val="es-ES" w:eastAsia="es-MX"/>
        </w:rPr>
        <w:t>sur-sureste</w:t>
      </w:r>
      <w:proofErr w:type="gramEnd"/>
      <w:r w:rsidRPr="00822148">
        <w:rPr>
          <w:rFonts w:ascii="Montserrat" w:eastAsia="Times New Roman" w:hAnsi="Montserrat" w:cstheme="majorHAnsi"/>
          <w:iCs/>
          <w:sz w:val="22"/>
          <w:szCs w:val="22"/>
          <w:lang w:val="es-ES" w:eastAsia="es-MX"/>
        </w:rPr>
        <w:t xml:space="preserve"> del país, donde ECOSUR tiene incidencia (Cuadro 1).</w:t>
      </w:r>
    </w:p>
    <w:p w14:paraId="09307059" w14:textId="77777777" w:rsidR="00822148" w:rsidRPr="00822148" w:rsidRDefault="00822148" w:rsidP="00822148">
      <w:pPr>
        <w:spacing w:after="20" w:line="276" w:lineRule="auto"/>
        <w:jc w:val="both"/>
        <w:rPr>
          <w:rFonts w:ascii="Monserrat" w:eastAsia="Times New Roman" w:hAnsi="Monserrat" w:cstheme="majorHAnsi"/>
          <w:b/>
          <w:bCs/>
          <w:i/>
          <w:lang w:val="es-ES" w:eastAsia="es-MX"/>
        </w:rPr>
      </w:pPr>
    </w:p>
    <w:p w14:paraId="2252AFFF" w14:textId="77777777" w:rsidR="00822148" w:rsidRPr="00822148" w:rsidRDefault="00822148" w:rsidP="00822148">
      <w:pPr>
        <w:spacing w:after="20" w:line="276" w:lineRule="auto"/>
        <w:jc w:val="center"/>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Cuadro 1. Avances de los Programa Difusión y Divulgación en el año 2021</w:t>
      </w:r>
    </w:p>
    <w:tbl>
      <w:tblPr>
        <w:tblStyle w:val="Tablanormal21"/>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1534"/>
        <w:gridCol w:w="3561"/>
        <w:gridCol w:w="1284"/>
        <w:gridCol w:w="1253"/>
      </w:tblGrid>
      <w:tr w:rsidR="00822148" w:rsidRPr="00822148" w14:paraId="3DCC093A" w14:textId="77777777" w:rsidTr="00417E54">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288" w:type="dxa"/>
            <w:tcBorders>
              <w:bottom w:val="none" w:sz="0" w:space="0" w:color="auto"/>
            </w:tcBorders>
            <w:shd w:val="clear" w:color="auto" w:fill="D9D9D9" w:themeFill="background1" w:themeFillShade="D9"/>
            <w:vAlign w:val="center"/>
            <w:hideMark/>
          </w:tcPr>
          <w:p w14:paraId="59367CD0" w14:textId="77777777" w:rsidR="00822148" w:rsidRPr="00822148" w:rsidRDefault="00822148" w:rsidP="00822148">
            <w:pPr>
              <w:spacing w:after="20" w:line="276" w:lineRule="auto"/>
              <w:jc w:val="both"/>
              <w:rPr>
                <w:rFonts w:ascii="Monserrat" w:eastAsia="Times New Roman" w:hAnsi="Monserrat" w:cstheme="majorHAnsi"/>
                <w:iCs/>
                <w:sz w:val="16"/>
                <w:szCs w:val="16"/>
                <w:lang w:val="es-ES" w:eastAsia="es-MX"/>
              </w:rPr>
            </w:pPr>
            <w:r w:rsidRPr="00822148">
              <w:rPr>
                <w:rFonts w:ascii="Monserrat" w:eastAsia="Times New Roman" w:hAnsi="Monserrat" w:cstheme="majorHAnsi"/>
                <w:iCs/>
                <w:sz w:val="16"/>
                <w:szCs w:val="16"/>
                <w:lang w:val="es-ES" w:eastAsia="es-MX"/>
              </w:rPr>
              <w:t>Programa</w:t>
            </w:r>
          </w:p>
        </w:tc>
        <w:tc>
          <w:tcPr>
            <w:tcW w:w="1534" w:type="dxa"/>
            <w:tcBorders>
              <w:bottom w:val="none" w:sz="0" w:space="0" w:color="auto"/>
            </w:tcBorders>
            <w:shd w:val="clear" w:color="auto" w:fill="D9D9D9" w:themeFill="background1" w:themeFillShade="D9"/>
            <w:vAlign w:val="center"/>
            <w:hideMark/>
          </w:tcPr>
          <w:p w14:paraId="1A5F13BA" w14:textId="77777777" w:rsidR="00822148" w:rsidRPr="00822148" w:rsidRDefault="00822148" w:rsidP="00822148">
            <w:pPr>
              <w:spacing w:after="20" w:line="276" w:lineRule="auto"/>
              <w:jc w:val="both"/>
              <w:cnfStyle w:val="100000000000" w:firstRow="1" w:lastRow="0" w:firstColumn="0" w:lastColumn="0" w:oddVBand="0" w:evenVBand="0" w:oddHBand="0"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Monserrat" w:eastAsia="Times New Roman" w:hAnsi="Monserrat" w:cstheme="majorHAnsi"/>
                <w:iCs/>
                <w:sz w:val="16"/>
                <w:szCs w:val="16"/>
                <w:lang w:val="es-ES" w:eastAsia="es-MX"/>
              </w:rPr>
              <w:t>Indicador</w:t>
            </w:r>
          </w:p>
        </w:tc>
        <w:tc>
          <w:tcPr>
            <w:tcW w:w="3561" w:type="dxa"/>
            <w:tcBorders>
              <w:bottom w:val="none" w:sz="0" w:space="0" w:color="auto"/>
            </w:tcBorders>
            <w:shd w:val="clear" w:color="auto" w:fill="D9D9D9" w:themeFill="background1" w:themeFillShade="D9"/>
            <w:vAlign w:val="center"/>
            <w:hideMark/>
          </w:tcPr>
          <w:p w14:paraId="4C848A15" w14:textId="77777777" w:rsidR="00822148" w:rsidRPr="00822148" w:rsidRDefault="00822148" w:rsidP="00822148">
            <w:pPr>
              <w:spacing w:after="20" w:line="276" w:lineRule="auto"/>
              <w:jc w:val="both"/>
              <w:cnfStyle w:val="100000000000" w:firstRow="1" w:lastRow="0" w:firstColumn="0" w:lastColumn="0" w:oddVBand="0" w:evenVBand="0" w:oddHBand="0"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Monserrat" w:eastAsia="Times New Roman" w:hAnsi="Monserrat" w:cstheme="majorHAnsi"/>
                <w:iCs/>
                <w:sz w:val="16"/>
                <w:szCs w:val="16"/>
                <w:lang w:val="es-ES" w:eastAsia="es-MX"/>
              </w:rPr>
              <w:t>Unidad de medida</w:t>
            </w:r>
          </w:p>
        </w:tc>
        <w:tc>
          <w:tcPr>
            <w:tcW w:w="1284" w:type="dxa"/>
            <w:tcBorders>
              <w:bottom w:val="none" w:sz="0" w:space="0" w:color="auto"/>
            </w:tcBorders>
            <w:shd w:val="clear" w:color="auto" w:fill="D9D9D9" w:themeFill="background1" w:themeFillShade="D9"/>
            <w:vAlign w:val="center"/>
            <w:hideMark/>
          </w:tcPr>
          <w:p w14:paraId="13B2145C" w14:textId="77777777" w:rsidR="00822148" w:rsidRPr="00822148" w:rsidRDefault="00822148" w:rsidP="00822148">
            <w:pPr>
              <w:spacing w:after="20" w:line="276" w:lineRule="auto"/>
              <w:jc w:val="both"/>
              <w:cnfStyle w:val="100000000000" w:firstRow="1" w:lastRow="0" w:firstColumn="0" w:lastColumn="0" w:oddVBand="0" w:evenVBand="0" w:oddHBand="0"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Monserrat" w:eastAsia="Times New Roman" w:hAnsi="Monserrat" w:cstheme="majorHAnsi"/>
                <w:iCs/>
                <w:sz w:val="16"/>
                <w:szCs w:val="16"/>
                <w:lang w:val="es-ES" w:eastAsia="es-MX"/>
              </w:rPr>
              <w:t>Alcanzado enero-junio</w:t>
            </w:r>
            <w:r w:rsidRPr="00822148">
              <w:rPr>
                <w:rFonts w:ascii="Monserrat" w:eastAsia="Times New Roman" w:hAnsi="Monserrat" w:cstheme="majorHAnsi"/>
                <w:iCs/>
                <w:sz w:val="16"/>
                <w:szCs w:val="16"/>
                <w:lang w:val="es-ES" w:eastAsia="es-MX"/>
              </w:rPr>
              <w:br/>
              <w:t>2021</w:t>
            </w:r>
          </w:p>
        </w:tc>
        <w:tc>
          <w:tcPr>
            <w:tcW w:w="1253" w:type="dxa"/>
            <w:tcBorders>
              <w:bottom w:val="none" w:sz="0" w:space="0" w:color="auto"/>
            </w:tcBorders>
            <w:shd w:val="clear" w:color="auto" w:fill="D9D9D9" w:themeFill="background1" w:themeFillShade="D9"/>
            <w:vAlign w:val="center"/>
            <w:hideMark/>
          </w:tcPr>
          <w:p w14:paraId="31C3C0E6" w14:textId="77777777" w:rsidR="00822148" w:rsidRPr="00822148" w:rsidRDefault="00822148" w:rsidP="00822148">
            <w:pPr>
              <w:spacing w:after="20" w:line="276" w:lineRule="auto"/>
              <w:jc w:val="both"/>
              <w:cnfStyle w:val="100000000000" w:firstRow="1" w:lastRow="0" w:firstColumn="0" w:lastColumn="0" w:oddVBand="0" w:evenVBand="0" w:oddHBand="0"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Monserrat" w:eastAsia="Times New Roman" w:hAnsi="Monserrat" w:cstheme="majorHAnsi"/>
                <w:iCs/>
                <w:sz w:val="16"/>
                <w:szCs w:val="16"/>
                <w:lang w:val="es-ES" w:eastAsia="es-MX"/>
              </w:rPr>
              <w:t>Meta anual</w:t>
            </w:r>
            <w:r w:rsidRPr="00822148">
              <w:rPr>
                <w:rFonts w:ascii="Monserrat" w:eastAsia="Times New Roman" w:hAnsi="Monserrat" w:cstheme="majorHAnsi"/>
                <w:iCs/>
                <w:sz w:val="16"/>
                <w:szCs w:val="16"/>
                <w:lang w:val="es-ES" w:eastAsia="es-MX"/>
              </w:rPr>
              <w:br/>
              <w:t>2021</w:t>
            </w:r>
          </w:p>
        </w:tc>
      </w:tr>
      <w:tr w:rsidR="00822148" w:rsidRPr="00822148" w14:paraId="23F87292" w14:textId="77777777" w:rsidTr="00417E5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288" w:type="dxa"/>
            <w:vMerge w:val="restart"/>
          </w:tcPr>
          <w:p w14:paraId="578ACF75" w14:textId="77777777" w:rsidR="00822148" w:rsidRPr="00822148" w:rsidRDefault="00822148" w:rsidP="00822148">
            <w:pPr>
              <w:spacing w:after="20" w:line="276" w:lineRule="auto"/>
              <w:jc w:val="both"/>
              <w:rPr>
                <w:rFonts w:ascii="Monserrat" w:eastAsia="Times New Roman" w:hAnsi="Monserrat" w:cstheme="majorHAnsi"/>
                <w:iCs/>
                <w:sz w:val="16"/>
                <w:szCs w:val="16"/>
                <w:lang w:val="es-ES" w:eastAsia="es-MX"/>
              </w:rPr>
            </w:pPr>
            <w:r w:rsidRPr="00822148">
              <w:rPr>
                <w:rFonts w:ascii="Monserrat" w:eastAsia="Times New Roman" w:hAnsi="Monserrat" w:cstheme="majorHAnsi"/>
                <w:iCs/>
                <w:sz w:val="16"/>
                <w:szCs w:val="16"/>
                <w:lang w:val="es-ES" w:eastAsia="es-MX"/>
              </w:rPr>
              <w:t>Difusión y Divulgación</w:t>
            </w:r>
          </w:p>
        </w:tc>
        <w:tc>
          <w:tcPr>
            <w:tcW w:w="1534" w:type="dxa"/>
            <w:vMerge w:val="restart"/>
          </w:tcPr>
          <w:p w14:paraId="0345B019" w14:textId="77777777" w:rsidR="00822148" w:rsidRPr="00822148" w:rsidRDefault="00822148" w:rsidP="00822148">
            <w:pPr>
              <w:spacing w:after="20" w:line="276" w:lineRule="auto"/>
              <w:jc w:val="both"/>
              <w:cnfStyle w:val="000000100000" w:firstRow="0" w:lastRow="0" w:firstColumn="0" w:lastColumn="0" w:oddVBand="0" w:evenVBand="0" w:oddHBand="1"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Monserrat" w:eastAsia="Times New Roman" w:hAnsi="Monserrat" w:cstheme="majorHAnsi"/>
                <w:iCs/>
                <w:sz w:val="16"/>
                <w:szCs w:val="16"/>
                <w:lang w:val="es-ES" w:eastAsia="es-MX"/>
              </w:rPr>
              <w:t>Actividades de divulgación por personal de C y T</w:t>
            </w:r>
          </w:p>
        </w:tc>
        <w:tc>
          <w:tcPr>
            <w:tcW w:w="3561" w:type="dxa"/>
          </w:tcPr>
          <w:p w14:paraId="23815479" w14:textId="77777777" w:rsidR="00822148" w:rsidRPr="00822148" w:rsidRDefault="00822148" w:rsidP="00822148">
            <w:pPr>
              <w:spacing w:after="20" w:line="276" w:lineRule="auto"/>
              <w:jc w:val="both"/>
              <w:cnfStyle w:val="000000100000" w:firstRow="0" w:lastRow="0" w:firstColumn="0" w:lastColumn="0" w:oddVBand="0" w:evenVBand="0" w:oddHBand="1"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Monserrat" w:eastAsia="Times New Roman" w:hAnsi="Monserrat" w:cstheme="majorHAnsi"/>
                <w:iCs/>
                <w:sz w:val="16"/>
                <w:szCs w:val="16"/>
                <w:lang w:val="es-ES" w:eastAsia="es-MX"/>
              </w:rPr>
              <w:t>No. de actividades de divulgación dirigidas al público en general</w:t>
            </w:r>
          </w:p>
        </w:tc>
        <w:tc>
          <w:tcPr>
            <w:tcW w:w="1284" w:type="dxa"/>
            <w:vAlign w:val="center"/>
          </w:tcPr>
          <w:p w14:paraId="339271F0" w14:textId="77777777" w:rsidR="00822148" w:rsidRPr="00822148" w:rsidRDefault="00822148" w:rsidP="00822148">
            <w:pPr>
              <w:spacing w:after="20" w:line="276" w:lineRule="auto"/>
              <w:jc w:val="center"/>
              <w:cnfStyle w:val="000000100000" w:firstRow="0" w:lastRow="0" w:firstColumn="0" w:lastColumn="0" w:oddVBand="0" w:evenVBand="0" w:oddHBand="1"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Times New Roman" w:eastAsia="Times New Roman" w:hAnsi="Times New Roman" w:cstheme="minorHAnsi"/>
                <w:color w:val="000000"/>
                <w:sz w:val="20"/>
                <w:szCs w:val="20"/>
                <w:lang w:eastAsia="es-MX"/>
              </w:rPr>
              <w:t>322</w:t>
            </w:r>
          </w:p>
        </w:tc>
        <w:tc>
          <w:tcPr>
            <w:tcW w:w="1253" w:type="dxa"/>
            <w:vAlign w:val="center"/>
          </w:tcPr>
          <w:p w14:paraId="1429D5B6" w14:textId="77777777" w:rsidR="00822148" w:rsidRPr="00822148" w:rsidRDefault="00822148" w:rsidP="00822148">
            <w:pPr>
              <w:spacing w:after="20" w:line="276" w:lineRule="auto"/>
              <w:jc w:val="center"/>
              <w:cnfStyle w:val="000000100000" w:firstRow="0" w:lastRow="0" w:firstColumn="0" w:lastColumn="0" w:oddVBand="0" w:evenVBand="0" w:oddHBand="1"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Times New Roman" w:eastAsia="Times New Roman" w:hAnsi="Times New Roman" w:cstheme="minorHAnsi"/>
                <w:sz w:val="20"/>
                <w:szCs w:val="20"/>
                <w:lang w:eastAsia="es-MX"/>
              </w:rPr>
              <w:t>388</w:t>
            </w:r>
          </w:p>
        </w:tc>
      </w:tr>
      <w:tr w:rsidR="00822148" w:rsidRPr="00822148" w14:paraId="039A7264" w14:textId="77777777" w:rsidTr="00417E54">
        <w:trPr>
          <w:trHeight w:val="554"/>
        </w:trPr>
        <w:tc>
          <w:tcPr>
            <w:cnfStyle w:val="001000000000" w:firstRow="0" w:lastRow="0" w:firstColumn="1" w:lastColumn="0" w:oddVBand="0" w:evenVBand="0" w:oddHBand="0" w:evenHBand="0" w:firstRowFirstColumn="0" w:firstRowLastColumn="0" w:lastRowFirstColumn="0" w:lastRowLastColumn="0"/>
            <w:tcW w:w="1288" w:type="dxa"/>
            <w:vMerge/>
          </w:tcPr>
          <w:p w14:paraId="0D502182" w14:textId="77777777" w:rsidR="00822148" w:rsidRPr="00822148" w:rsidRDefault="00822148" w:rsidP="00822148">
            <w:pPr>
              <w:spacing w:after="20" w:line="276" w:lineRule="auto"/>
              <w:jc w:val="both"/>
              <w:rPr>
                <w:rFonts w:ascii="Monserrat" w:eastAsia="Times New Roman" w:hAnsi="Monserrat" w:cstheme="majorHAnsi"/>
                <w:iCs/>
                <w:sz w:val="16"/>
                <w:szCs w:val="16"/>
                <w:lang w:val="es-ES" w:eastAsia="es-MX"/>
              </w:rPr>
            </w:pPr>
          </w:p>
        </w:tc>
        <w:tc>
          <w:tcPr>
            <w:tcW w:w="1534" w:type="dxa"/>
            <w:vMerge/>
          </w:tcPr>
          <w:p w14:paraId="5622433B" w14:textId="77777777" w:rsidR="00822148" w:rsidRPr="00822148" w:rsidRDefault="00822148" w:rsidP="00822148">
            <w:pPr>
              <w:spacing w:after="20" w:line="276" w:lineRule="auto"/>
              <w:jc w:val="both"/>
              <w:cnfStyle w:val="000000000000" w:firstRow="0" w:lastRow="0" w:firstColumn="0" w:lastColumn="0" w:oddVBand="0" w:evenVBand="0" w:oddHBand="0" w:evenHBand="0" w:firstRowFirstColumn="0" w:firstRowLastColumn="0" w:lastRowFirstColumn="0" w:lastRowLastColumn="0"/>
              <w:rPr>
                <w:rFonts w:ascii="Monserrat" w:eastAsia="Times New Roman" w:hAnsi="Monserrat" w:cstheme="majorHAnsi"/>
                <w:iCs/>
                <w:sz w:val="16"/>
                <w:szCs w:val="16"/>
                <w:lang w:val="es-ES" w:eastAsia="es-MX"/>
              </w:rPr>
            </w:pPr>
          </w:p>
        </w:tc>
        <w:tc>
          <w:tcPr>
            <w:tcW w:w="3561" w:type="dxa"/>
          </w:tcPr>
          <w:p w14:paraId="7B7A0173" w14:textId="77777777" w:rsidR="00822148" w:rsidRPr="00822148" w:rsidRDefault="00822148" w:rsidP="00822148">
            <w:pPr>
              <w:spacing w:after="20" w:line="276" w:lineRule="auto"/>
              <w:jc w:val="both"/>
              <w:cnfStyle w:val="000000000000" w:firstRow="0" w:lastRow="0" w:firstColumn="0" w:lastColumn="0" w:oddVBand="0" w:evenVBand="0" w:oddHBand="0"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Monserrat" w:eastAsia="Times New Roman" w:hAnsi="Monserrat" w:cstheme="majorHAnsi"/>
                <w:iCs/>
                <w:sz w:val="16"/>
                <w:szCs w:val="16"/>
                <w:lang w:val="es-ES" w:eastAsia="es-MX"/>
              </w:rPr>
              <w:t>No. de Personal de ciencia y tecnología</w:t>
            </w:r>
          </w:p>
        </w:tc>
        <w:tc>
          <w:tcPr>
            <w:tcW w:w="1284" w:type="dxa"/>
            <w:vAlign w:val="center"/>
          </w:tcPr>
          <w:p w14:paraId="1296A2E0" w14:textId="77777777" w:rsidR="00822148" w:rsidRPr="00822148" w:rsidRDefault="00822148" w:rsidP="00822148">
            <w:pPr>
              <w:spacing w:after="20" w:line="276" w:lineRule="auto"/>
              <w:jc w:val="center"/>
              <w:cnfStyle w:val="000000000000" w:firstRow="0" w:lastRow="0" w:firstColumn="0" w:lastColumn="0" w:oddVBand="0" w:evenVBand="0" w:oddHBand="0"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Times New Roman" w:eastAsia="Times New Roman" w:hAnsi="Times New Roman" w:cstheme="minorHAnsi"/>
                <w:color w:val="000000"/>
                <w:sz w:val="20"/>
                <w:szCs w:val="20"/>
                <w:lang w:eastAsia="es-MX"/>
              </w:rPr>
              <w:t>297</w:t>
            </w:r>
          </w:p>
        </w:tc>
        <w:tc>
          <w:tcPr>
            <w:tcW w:w="1253" w:type="dxa"/>
            <w:vAlign w:val="center"/>
          </w:tcPr>
          <w:p w14:paraId="37F315DC" w14:textId="77777777" w:rsidR="00822148" w:rsidRPr="00822148" w:rsidRDefault="00822148" w:rsidP="00822148">
            <w:pPr>
              <w:spacing w:after="20" w:line="276" w:lineRule="auto"/>
              <w:jc w:val="center"/>
              <w:cnfStyle w:val="000000000000" w:firstRow="0" w:lastRow="0" w:firstColumn="0" w:lastColumn="0" w:oddVBand="0" w:evenVBand="0" w:oddHBand="0"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Times New Roman" w:eastAsia="Times New Roman" w:hAnsi="Times New Roman" w:cstheme="minorHAnsi"/>
                <w:sz w:val="20"/>
                <w:szCs w:val="20"/>
                <w:lang w:eastAsia="es-MX"/>
              </w:rPr>
              <w:t>297</w:t>
            </w:r>
          </w:p>
        </w:tc>
      </w:tr>
      <w:tr w:rsidR="00822148" w:rsidRPr="00822148" w14:paraId="0D545669" w14:textId="77777777" w:rsidTr="00417E54">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288" w:type="dxa"/>
            <w:vMerge/>
          </w:tcPr>
          <w:p w14:paraId="57231528" w14:textId="77777777" w:rsidR="00822148" w:rsidRPr="00822148" w:rsidRDefault="00822148" w:rsidP="00822148">
            <w:pPr>
              <w:spacing w:after="20" w:line="276" w:lineRule="auto"/>
              <w:jc w:val="both"/>
              <w:rPr>
                <w:rFonts w:ascii="Monserrat" w:eastAsia="Times New Roman" w:hAnsi="Monserrat" w:cstheme="majorHAnsi"/>
                <w:iCs/>
                <w:sz w:val="16"/>
                <w:szCs w:val="16"/>
                <w:lang w:val="es-ES" w:eastAsia="es-MX"/>
              </w:rPr>
            </w:pPr>
          </w:p>
        </w:tc>
        <w:tc>
          <w:tcPr>
            <w:tcW w:w="1534" w:type="dxa"/>
            <w:vMerge/>
          </w:tcPr>
          <w:p w14:paraId="77EF8D86" w14:textId="77777777" w:rsidR="00822148" w:rsidRPr="00822148" w:rsidRDefault="00822148" w:rsidP="00822148">
            <w:pPr>
              <w:spacing w:after="20" w:line="276" w:lineRule="auto"/>
              <w:jc w:val="both"/>
              <w:cnfStyle w:val="000000100000" w:firstRow="0" w:lastRow="0" w:firstColumn="0" w:lastColumn="0" w:oddVBand="0" w:evenVBand="0" w:oddHBand="1" w:evenHBand="0" w:firstRowFirstColumn="0" w:firstRowLastColumn="0" w:lastRowFirstColumn="0" w:lastRowLastColumn="0"/>
              <w:rPr>
                <w:rFonts w:ascii="Monserrat" w:eastAsia="Times New Roman" w:hAnsi="Monserrat" w:cstheme="majorHAnsi"/>
                <w:iCs/>
                <w:sz w:val="16"/>
                <w:szCs w:val="16"/>
                <w:lang w:val="es-ES" w:eastAsia="es-MX"/>
              </w:rPr>
            </w:pPr>
          </w:p>
        </w:tc>
        <w:tc>
          <w:tcPr>
            <w:tcW w:w="3561" w:type="dxa"/>
          </w:tcPr>
          <w:p w14:paraId="3C154065" w14:textId="77777777" w:rsidR="00822148" w:rsidRPr="00822148" w:rsidRDefault="00822148" w:rsidP="00822148">
            <w:pPr>
              <w:spacing w:after="20" w:line="276" w:lineRule="auto"/>
              <w:jc w:val="both"/>
              <w:cnfStyle w:val="000000100000" w:firstRow="0" w:lastRow="0" w:firstColumn="0" w:lastColumn="0" w:oddVBand="0" w:evenVBand="0" w:oddHBand="1" w:evenHBand="0" w:firstRowFirstColumn="0" w:firstRowLastColumn="0" w:lastRowFirstColumn="0" w:lastRowLastColumn="0"/>
              <w:rPr>
                <w:rFonts w:ascii="Monserrat" w:eastAsia="Times New Roman" w:hAnsi="Monserrat" w:cstheme="majorHAnsi"/>
                <w:iCs/>
                <w:sz w:val="16"/>
                <w:szCs w:val="16"/>
                <w:lang w:val="es-ES" w:eastAsia="es-MX"/>
              </w:rPr>
            </w:pPr>
          </w:p>
        </w:tc>
        <w:tc>
          <w:tcPr>
            <w:tcW w:w="1284" w:type="dxa"/>
            <w:vAlign w:val="center"/>
          </w:tcPr>
          <w:p w14:paraId="16544021" w14:textId="77777777" w:rsidR="00822148" w:rsidRPr="00822148" w:rsidRDefault="00822148" w:rsidP="00822148">
            <w:pPr>
              <w:spacing w:after="20" w:line="276" w:lineRule="auto"/>
              <w:jc w:val="center"/>
              <w:cnfStyle w:val="000000100000" w:firstRow="0" w:lastRow="0" w:firstColumn="0" w:lastColumn="0" w:oddVBand="0" w:evenVBand="0" w:oddHBand="1"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Times New Roman" w:eastAsia="Times New Roman" w:hAnsi="Times New Roman" w:cstheme="minorHAnsi"/>
                <w:b/>
                <w:bCs/>
                <w:sz w:val="20"/>
                <w:szCs w:val="20"/>
                <w:lang w:eastAsia="es-MX"/>
              </w:rPr>
              <w:t>1.08</w:t>
            </w:r>
          </w:p>
        </w:tc>
        <w:tc>
          <w:tcPr>
            <w:tcW w:w="1253" w:type="dxa"/>
            <w:vAlign w:val="center"/>
          </w:tcPr>
          <w:p w14:paraId="392CF8DF" w14:textId="77777777" w:rsidR="00822148" w:rsidRPr="00822148" w:rsidRDefault="00822148" w:rsidP="00822148">
            <w:pPr>
              <w:spacing w:after="20" w:line="276" w:lineRule="auto"/>
              <w:jc w:val="center"/>
              <w:cnfStyle w:val="000000100000" w:firstRow="0" w:lastRow="0" w:firstColumn="0" w:lastColumn="0" w:oddVBand="0" w:evenVBand="0" w:oddHBand="1" w:evenHBand="0" w:firstRowFirstColumn="0" w:firstRowLastColumn="0" w:lastRowFirstColumn="0" w:lastRowLastColumn="0"/>
              <w:rPr>
                <w:rFonts w:ascii="Monserrat" w:eastAsia="Times New Roman" w:hAnsi="Monserrat" w:cstheme="majorHAnsi"/>
                <w:iCs/>
                <w:sz w:val="16"/>
                <w:szCs w:val="16"/>
                <w:lang w:val="es-ES" w:eastAsia="es-MX"/>
              </w:rPr>
            </w:pPr>
            <w:r w:rsidRPr="00822148">
              <w:rPr>
                <w:rFonts w:ascii="Times New Roman" w:eastAsia="Times New Roman" w:hAnsi="Times New Roman" w:cstheme="minorHAnsi"/>
                <w:b/>
                <w:bCs/>
                <w:sz w:val="20"/>
                <w:szCs w:val="20"/>
                <w:lang w:eastAsia="es-MX"/>
              </w:rPr>
              <w:t>1.30</w:t>
            </w:r>
          </w:p>
        </w:tc>
      </w:tr>
    </w:tbl>
    <w:p w14:paraId="7783B3FC" w14:textId="77777777" w:rsidR="00822148" w:rsidRPr="00822148" w:rsidRDefault="00822148" w:rsidP="00822148">
      <w:pPr>
        <w:spacing w:line="276" w:lineRule="auto"/>
        <w:jc w:val="both"/>
        <w:rPr>
          <w:rFonts w:ascii="Monserrat" w:eastAsia="Times New Roman" w:hAnsi="Monserrat" w:cstheme="majorHAnsi"/>
          <w:b/>
          <w:iCs/>
          <w:sz w:val="22"/>
          <w:szCs w:val="22"/>
          <w:lang w:val="es-ES" w:eastAsia="es-MX"/>
        </w:rPr>
      </w:pPr>
    </w:p>
    <w:p w14:paraId="129CD372"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Al utilizar diversos medios de comunicación —prensa, radio, TV, redes sociales— y realizar diversas actividades y productos como pláticas, videos, exposiciones fotografías, el personal académico de ECOSUR está llegando a diversas audiencias para exponer temas vigentes, urgentes y coyunturales, los cuales se exponen más adelante, de tal modo que la población pueda tomar mejores decisiones al analizar y reflexionar sobre diversos temas a partir de los saberes que comparten con ellos las científicas y científicos.</w:t>
      </w:r>
    </w:p>
    <w:p w14:paraId="25686A7F"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p>
    <w:p w14:paraId="31CA58D0"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Las 322 actividades fueron desarrolladas por 109 personas —62 investigadores y técnicos académicos y 47 investigadoras y técnicas académicas—, lo que significa que en promedio cada académica o académico realizó casi tres y que solo una tercera parte de la comunidad académica lleva a cabo actividades de divulgación.</w:t>
      </w:r>
    </w:p>
    <w:p w14:paraId="3ABDF2C3" w14:textId="67CFFFB2" w:rsidR="00822148" w:rsidRDefault="00822148" w:rsidP="00822148">
      <w:pPr>
        <w:spacing w:line="276" w:lineRule="auto"/>
        <w:jc w:val="both"/>
        <w:rPr>
          <w:rFonts w:ascii="Montserrat" w:eastAsia="Times New Roman" w:hAnsi="Montserrat" w:cstheme="majorHAnsi"/>
          <w:iCs/>
          <w:sz w:val="22"/>
          <w:szCs w:val="22"/>
          <w:lang w:val="es-ES" w:eastAsia="es-MX"/>
        </w:rPr>
      </w:pPr>
    </w:p>
    <w:p w14:paraId="236A3A66" w14:textId="77777777" w:rsidR="00DC1254" w:rsidRDefault="00DC1254" w:rsidP="00822148">
      <w:pPr>
        <w:spacing w:line="276" w:lineRule="auto"/>
        <w:jc w:val="both"/>
        <w:rPr>
          <w:rFonts w:ascii="Montserrat" w:eastAsia="Times New Roman" w:hAnsi="Montserrat" w:cstheme="majorHAnsi"/>
          <w:b/>
          <w:bCs/>
          <w:i/>
          <w:sz w:val="22"/>
          <w:szCs w:val="22"/>
          <w:lang w:val="es-ES" w:eastAsia="es-MX"/>
        </w:rPr>
      </w:pPr>
    </w:p>
    <w:p w14:paraId="1FE706CF" w14:textId="77777777" w:rsidR="00DC1254" w:rsidRDefault="00DC1254" w:rsidP="00822148">
      <w:pPr>
        <w:spacing w:line="276" w:lineRule="auto"/>
        <w:jc w:val="both"/>
        <w:rPr>
          <w:rFonts w:ascii="Montserrat" w:eastAsia="Times New Roman" w:hAnsi="Montserrat" w:cstheme="majorHAnsi"/>
          <w:b/>
          <w:bCs/>
          <w:i/>
          <w:sz w:val="22"/>
          <w:szCs w:val="22"/>
          <w:lang w:val="es-ES" w:eastAsia="es-MX"/>
        </w:rPr>
      </w:pPr>
    </w:p>
    <w:p w14:paraId="2416FC75" w14:textId="3D4F2263" w:rsidR="00822148" w:rsidRPr="00822148" w:rsidRDefault="00822148" w:rsidP="00822148">
      <w:pPr>
        <w:spacing w:line="276" w:lineRule="auto"/>
        <w:jc w:val="both"/>
        <w:rPr>
          <w:rFonts w:ascii="Montserrat" w:eastAsia="Times New Roman" w:hAnsi="Montserrat" w:cstheme="majorHAnsi"/>
          <w:b/>
          <w:bCs/>
          <w:i/>
          <w:sz w:val="22"/>
          <w:szCs w:val="22"/>
          <w:lang w:val="es-ES" w:eastAsia="es-MX"/>
        </w:rPr>
      </w:pPr>
      <w:r w:rsidRPr="00822148">
        <w:rPr>
          <w:rFonts w:ascii="Montserrat" w:eastAsia="Times New Roman" w:hAnsi="Montserrat" w:cstheme="majorHAnsi"/>
          <w:b/>
          <w:bCs/>
          <w:i/>
          <w:sz w:val="22"/>
          <w:szCs w:val="22"/>
          <w:lang w:val="es-ES" w:eastAsia="es-MX"/>
        </w:rPr>
        <w:lastRenderedPageBreak/>
        <w:t>5.4.2. Avances enero-junio del año 2021</w:t>
      </w:r>
    </w:p>
    <w:p w14:paraId="20DFD146" w14:textId="77777777" w:rsidR="00822148" w:rsidRPr="00822148" w:rsidRDefault="00822148" w:rsidP="00822148">
      <w:pPr>
        <w:spacing w:line="276" w:lineRule="auto"/>
        <w:jc w:val="both"/>
        <w:rPr>
          <w:rFonts w:ascii="Montserrat" w:eastAsia="Times New Roman" w:hAnsi="Montserrat" w:cstheme="majorHAnsi"/>
          <w:b/>
          <w:bCs/>
          <w:iCs/>
          <w:sz w:val="22"/>
          <w:szCs w:val="22"/>
          <w:lang w:val="es-ES" w:eastAsia="es-MX"/>
        </w:rPr>
      </w:pPr>
    </w:p>
    <w:p w14:paraId="456C29D2" w14:textId="77777777" w:rsidR="00822148" w:rsidRPr="00822148" w:rsidRDefault="00822148" w:rsidP="00DC1254">
      <w:pPr>
        <w:spacing w:line="276" w:lineRule="auto"/>
        <w:jc w:val="both"/>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Las pláticas de divulgación resultaron ser la actividad preponderante (198 pláticas), hecho que demuestra la relevancia que han cobrado los medios digitales en tiempos de pandemia y el interés de las investigadoras e investigadores en dar a conocer a audiencias diversas sus temas y hallazgos de investigación. Cabe destacar que este sobresaliente número de pláticas de divulgación se logró en parte debido a que las cinco unidades regionales de ECOSUR realizaron el evento anual ECOSUR a Puertas Abiertas de manera virtual. Algunos de los temas expuestos en las pláticas realizadas en estos seis primeros meses del años fueron: el mundo marino invisible, la medicina de la conservación, el impacto de los microplásticos en los zopilotes, el uso de cámaras trampa, las mujeres y las niñas en la ciencia, aves endémicas de la península de Yucatán, cambio climático, arañas de Quintana Roo, el Jardín Botánico Alfredo Berrera Marín, mujeres frente a los centros públicos de investigación, los peces de Chiapas, la ganadería orgánica en Chiapas, las mujeres en la agroecología, la afectividad ambiental, gobernanza del sistema de la palma de aceite en territorios fronterizos, los humedales y el agua, los polinizadores, los virus, las reservas de agua y caudales ecológicos, efectos del cambio climático en Tabasco. En el marco del día mundial de la Tuberculosis, se llevó a cabo el evento “Pinceladas de Conciencia por los vivos y muertos de la tuberculosis”.</w:t>
      </w:r>
    </w:p>
    <w:p w14:paraId="618D2A63"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p>
    <w:p w14:paraId="7FA014A4"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 xml:space="preserve">Se publicaron 29 artículos de divulgación en revistas y periódicos como La Crónica de Hoy, La Jornada del Campo, Novedades de Quintana Roo, Este País. Algunas de las temáticas expuestas fueron la calidad del agua en la laguna de Bacalar, los pescadores a la espera de la vacuna de </w:t>
      </w:r>
      <w:proofErr w:type="spellStart"/>
      <w:r w:rsidRPr="00822148">
        <w:rPr>
          <w:rFonts w:ascii="Montserrat" w:eastAsia="Times New Roman" w:hAnsi="Montserrat" w:cstheme="majorHAnsi"/>
          <w:iCs/>
          <w:sz w:val="22"/>
          <w:szCs w:val="22"/>
          <w:lang w:val="es-ES" w:eastAsia="es-MX"/>
        </w:rPr>
        <w:t>Covid</w:t>
      </w:r>
      <w:proofErr w:type="spellEnd"/>
      <w:r w:rsidRPr="00822148">
        <w:rPr>
          <w:rFonts w:ascii="Montserrat" w:eastAsia="Times New Roman" w:hAnsi="Montserrat" w:cstheme="majorHAnsi"/>
          <w:iCs/>
          <w:sz w:val="22"/>
          <w:szCs w:val="22"/>
          <w:lang w:val="es-ES" w:eastAsia="es-MX"/>
        </w:rPr>
        <w:t xml:space="preserve">, las aguas de las Áreas Naturales Protegidas, la transformación de la pesca en el sureste mexicano y varios artículos que tienen que ver con la pesca en el Golfo de México se publicaron en un número especial de La Jornada del Campo. Se otorgaron 28 entrevistas de radio por personal académico de ECOSUR y es importante señalar que varias de estas entrevistas se transmiten en el programa “Voces de la Ciencia desde el Sur”, un programa de radio de ECOSUR que se transmite en la radio del </w:t>
      </w:r>
      <w:proofErr w:type="spellStart"/>
      <w:r w:rsidRPr="00822148">
        <w:rPr>
          <w:rFonts w:ascii="Montserrat" w:eastAsia="Times New Roman" w:hAnsi="Montserrat" w:cstheme="majorHAnsi"/>
          <w:iCs/>
          <w:sz w:val="22"/>
          <w:szCs w:val="22"/>
          <w:lang w:val="es-ES" w:eastAsia="es-MX"/>
        </w:rPr>
        <w:t>Colmich</w:t>
      </w:r>
      <w:proofErr w:type="spellEnd"/>
      <w:r w:rsidRPr="00822148">
        <w:rPr>
          <w:rFonts w:ascii="Montserrat" w:eastAsia="Times New Roman" w:hAnsi="Montserrat" w:cstheme="majorHAnsi"/>
          <w:iCs/>
          <w:sz w:val="22"/>
          <w:szCs w:val="22"/>
          <w:lang w:val="es-ES" w:eastAsia="es-MX"/>
        </w:rPr>
        <w:t xml:space="preserve"> desde el año pasado.</w:t>
      </w:r>
    </w:p>
    <w:p w14:paraId="3B44E15F"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p>
    <w:p w14:paraId="5C86D4D9"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 xml:space="preserve">Por otro lado, en este periodo el personal académico ofreció 27 entrevistas a diversos medios impresos en los que compartieron sus saberes sobre el impacto del plástico en el ambiente, la plaga de los mosquitos bobo en Chetumal, los problemas de las pesquerías del pulpo, el manejo agroecológico para la </w:t>
      </w:r>
      <w:r w:rsidRPr="00822148">
        <w:rPr>
          <w:rFonts w:ascii="Montserrat" w:eastAsia="Times New Roman" w:hAnsi="Montserrat" w:cstheme="majorHAnsi"/>
          <w:iCs/>
          <w:sz w:val="22"/>
          <w:szCs w:val="22"/>
          <w:lang w:val="es-ES" w:eastAsia="es-MX"/>
        </w:rPr>
        <w:lastRenderedPageBreak/>
        <w:t>conservación de la vida en el campo. Otras entrevistas se aprovecharon para promover los eventos institucionales el Pasaporte al Camino del Conocimiento Científico y ECOSUR a Puertas Abiertas. En TV se participó en 18 entrevistas de TV con temas como la contaminación de los ríos de Tabasco, la protección de la cacerolita de mar, el significado de beber pozol para los jóvenes de Chiapas, los gatos como riesgo para las lagartijas nativas, el fenómeno inusual de telarañas y moscos bobos en Chetumal, y los pecarís de labios blancos de Calakmul, entre otros.</w:t>
      </w:r>
    </w:p>
    <w:p w14:paraId="3BA072C8"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p>
    <w:p w14:paraId="1560365B"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Se produjeron 14 videos para dar a conocer hallazgos o resultados de algunos procesos de investigación o explicar algunos fenómenos como por qué la laguna de Bacalar cambió de color, la presencia inusual de telarañas y los moscos bobos en Chetumal, el papel de los polinizadores, los policultivos en el Soconusco, las aguadas de Calakmul, Soy Cañera, y estrategias colaborativas para prácticas agroalimentarias, por mencionar algunos. En el marco del día mundial de las Abejas se realizó la exposición fotográfica virtual Abejas sin aguijón de San Francisco de Campeche.</w:t>
      </w:r>
    </w:p>
    <w:p w14:paraId="2711F06A"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p>
    <w:p w14:paraId="7640E48D"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Se presentaron tres libros en los que participó personal académico de la institución “Impacto de las vías de comunicación sobre la fauna silvestre en áreas protegidas. Estudios de caso para el sureste de México”, “Juventudes indígenas en México. Escenarios y estudios socioculturales” y “Todo es posible. Del colapso sistémico a soluciones sistémicas”.</w:t>
      </w:r>
    </w:p>
    <w:p w14:paraId="328CF174"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p>
    <w:p w14:paraId="6417CF46" w14:textId="77777777" w:rsidR="00822148" w:rsidRPr="00822148" w:rsidRDefault="00822148" w:rsidP="00822148">
      <w:pPr>
        <w:spacing w:line="276" w:lineRule="auto"/>
        <w:jc w:val="both"/>
        <w:rPr>
          <w:rFonts w:ascii="Montserrat" w:eastAsia="Times New Roman" w:hAnsi="Montserrat" w:cs="Times New Roman"/>
          <w:b/>
          <w:bCs/>
          <w:i/>
          <w:iCs/>
          <w:sz w:val="22"/>
          <w:szCs w:val="22"/>
          <w:lang w:val="es-ES" w:eastAsia="es-MX"/>
        </w:rPr>
      </w:pPr>
      <w:r w:rsidRPr="00822148">
        <w:rPr>
          <w:rFonts w:ascii="Montserrat" w:eastAsia="Times New Roman" w:hAnsi="Montserrat" w:cstheme="majorHAnsi"/>
          <w:b/>
          <w:bCs/>
          <w:i/>
          <w:sz w:val="22"/>
          <w:szCs w:val="22"/>
          <w:lang w:val="es-ES" w:eastAsia="es-MX"/>
        </w:rPr>
        <w:t>5.4.3. Acciones para el periodo julio-diciembre</w:t>
      </w:r>
    </w:p>
    <w:p w14:paraId="00778BFF"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p>
    <w:p w14:paraId="054267C5" w14:textId="77777777" w:rsidR="00822148" w:rsidRPr="00822148" w:rsidRDefault="00822148" w:rsidP="00822148">
      <w:pPr>
        <w:spacing w:line="276" w:lineRule="auto"/>
        <w:jc w:val="both"/>
        <w:rPr>
          <w:rFonts w:ascii="Montserrat" w:eastAsia="Times New Roman" w:hAnsi="Montserrat" w:cstheme="majorHAnsi"/>
          <w:iCs/>
          <w:sz w:val="22"/>
          <w:szCs w:val="22"/>
          <w:lang w:val="es-ES" w:eastAsia="es-MX"/>
        </w:rPr>
      </w:pPr>
      <w:r w:rsidRPr="00822148">
        <w:rPr>
          <w:rFonts w:ascii="Montserrat" w:eastAsia="Times New Roman" w:hAnsi="Montserrat" w:cstheme="majorHAnsi"/>
          <w:iCs/>
          <w:sz w:val="22"/>
          <w:szCs w:val="22"/>
          <w:lang w:val="es-ES" w:eastAsia="es-MX"/>
        </w:rPr>
        <w:t>Se seguirá incentivando la participación del personal académico en las actividades de divulgación. Se considera importante la estrategia de tener un curso de divulgación de la ciencia para que más personas realicen esta labor, ya que solo 109 académicas y académicos las llevan a cabo. Es necesario recordar al personal académico que la divulgación es una tarea relevante, pues a través de ella pretendemos dar a conocer el quehacer de la institución, ayudar a que la ciudadanía comprenda algunos fenómenos a partir del conocimiento científico y contribuir a aumentar la cultura científica de la población de nuestro país y principalmente de la región en la que ECOSUR tiene incidencia.</w:t>
      </w:r>
    </w:p>
    <w:p w14:paraId="5F939189" w14:textId="77777777" w:rsidR="00822148" w:rsidRPr="00822148" w:rsidRDefault="00822148" w:rsidP="00822148">
      <w:pPr>
        <w:spacing w:line="276" w:lineRule="auto"/>
        <w:jc w:val="both"/>
        <w:rPr>
          <w:rFonts w:ascii="Monserrat" w:eastAsia="Times New Roman" w:hAnsi="Monserrat" w:cstheme="majorHAnsi"/>
          <w:iCs/>
          <w:sz w:val="22"/>
          <w:szCs w:val="22"/>
          <w:lang w:val="es-ES" w:eastAsia="es-MX"/>
        </w:rPr>
      </w:pPr>
      <w:r w:rsidRPr="00822148">
        <w:rPr>
          <w:rFonts w:ascii="Monserrat" w:eastAsia="Times New Roman" w:hAnsi="Monserrat" w:cstheme="majorHAnsi"/>
          <w:iCs/>
          <w:sz w:val="22"/>
          <w:szCs w:val="22"/>
          <w:lang w:val="es-ES" w:eastAsia="es-MX"/>
        </w:rPr>
        <w:t xml:space="preserve"> </w:t>
      </w:r>
    </w:p>
    <w:p w14:paraId="440BF222" w14:textId="77777777" w:rsidR="000934AA" w:rsidRPr="00C96130" w:rsidRDefault="000934AA" w:rsidP="00822148">
      <w:pPr>
        <w:spacing w:line="276" w:lineRule="auto"/>
      </w:pPr>
    </w:p>
    <w:sectPr w:rsidR="000934AA" w:rsidRPr="00C96130"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BE579" w14:textId="77777777" w:rsidR="00D6000E" w:rsidRDefault="00D6000E">
      <w:r>
        <w:separator/>
      </w:r>
    </w:p>
  </w:endnote>
  <w:endnote w:type="continuationSeparator" w:id="0">
    <w:p w14:paraId="75E1A332" w14:textId="77777777" w:rsidR="00D6000E" w:rsidRDefault="00D60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serra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Default="00D6000E" w:rsidP="003A63EB">
    <w:pPr>
      <w:pStyle w:val="Piedepgina"/>
      <w:jc w:val="center"/>
      <w:rPr>
        <w:rFonts w:ascii="Montserrat" w:eastAsia="Batang" w:hAnsi="Montserrat"/>
        <w:b/>
        <w:i/>
        <w:color w:val="A6A6A6" w:themeColor="background1" w:themeShade="A6"/>
        <w:sz w:val="18"/>
        <w:szCs w:val="18"/>
      </w:rPr>
    </w:pPr>
  </w:p>
  <w:p w14:paraId="2E1DAB53" w14:textId="77777777" w:rsidR="003A63EB" w:rsidRDefault="00C96130" w:rsidP="003A63EB">
    <w:pPr>
      <w:pStyle w:val="Piedepgina"/>
      <w:jc w:val="center"/>
      <w:rPr>
        <w:rFonts w:ascii="Montserrat" w:eastAsia="Batang" w:hAnsi="Montserrat"/>
        <w:b/>
        <w:i/>
        <w:color w:val="A6A6A6" w:themeColor="background1" w:themeShade="A6"/>
        <w:sz w:val="18"/>
        <w:szCs w:val="18"/>
      </w:rPr>
    </w:pPr>
    <w:r>
      <w:rPr>
        <w:rFonts w:ascii="Montserrat" w:eastAsia="Batang" w:hAnsi="Montserrat"/>
        <w:b/>
        <w:i/>
        <w:color w:val="A6A6A6" w:themeColor="background1" w:themeShade="A6"/>
        <w:sz w:val="18"/>
        <w:szCs w:val="18"/>
      </w:rPr>
      <w:t>Segunda</w:t>
    </w:r>
    <w:r w:rsidRPr="009E5A53">
      <w:rPr>
        <w:rFonts w:ascii="Montserrat" w:eastAsia="Batang" w:hAnsi="Montserrat"/>
        <w:b/>
        <w:i/>
        <w:color w:val="A6A6A6" w:themeColor="background1" w:themeShade="A6"/>
        <w:sz w:val="18"/>
        <w:szCs w:val="18"/>
      </w:rPr>
      <w:t xml:space="preserve"> Sesión Ordinaria de la Junta de Gobierno 202</w:t>
    </w:r>
    <w:r>
      <w:rPr>
        <w:rFonts w:ascii="Montserrat" w:eastAsia="Batang" w:hAnsi="Montserrat"/>
        <w:b/>
        <w:i/>
        <w:color w:val="A6A6A6" w:themeColor="background1" w:themeShade="A6"/>
        <w:sz w:val="18"/>
        <w:szCs w:val="18"/>
      </w:rPr>
      <w:t>1</w:t>
    </w:r>
  </w:p>
  <w:p w14:paraId="43426146" w14:textId="77777777" w:rsidR="003A63EB" w:rsidRDefault="00D6000E"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9E5A53" w:rsidRDefault="00D6000E" w:rsidP="00E364CC">
    <w:pPr>
      <w:pStyle w:val="Piedepgina"/>
      <w:tabs>
        <w:tab w:val="left" w:pos="8624"/>
        <w:tab w:val="right" w:pos="9405"/>
      </w:tabs>
      <w:rPr>
        <w:rFonts w:ascii="Montserrat" w:hAnsi="Montserrat"/>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6D961" w14:textId="77777777" w:rsidR="00D6000E" w:rsidRDefault="00D6000E">
      <w:r>
        <w:separator/>
      </w:r>
    </w:p>
  </w:footnote>
  <w:footnote w:type="continuationSeparator" w:id="0">
    <w:p w14:paraId="51E7B1F9" w14:textId="77777777" w:rsidR="00D6000E" w:rsidRDefault="00D60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D6000E" w:rsidP="00E364CC">
    <w:pPr>
      <w:pStyle w:val="Encabezado"/>
      <w:tabs>
        <w:tab w:val="left" w:pos="1134"/>
      </w:tabs>
    </w:pPr>
  </w:p>
  <w:p w14:paraId="4C2F6282" w14:textId="77777777" w:rsidR="00EE1715" w:rsidRDefault="00D6000E" w:rsidP="00E364CC">
    <w:pPr>
      <w:pStyle w:val="Encabezado"/>
      <w:tabs>
        <w:tab w:val="left" w:pos="1134"/>
      </w:tabs>
    </w:pPr>
  </w:p>
  <w:p w14:paraId="50E2E2A0" w14:textId="77777777" w:rsidR="00EE1715" w:rsidRDefault="00D6000E" w:rsidP="00E364CC">
    <w:pPr>
      <w:pStyle w:val="Encabezado"/>
      <w:tabs>
        <w:tab w:val="left" w:pos="1134"/>
      </w:tabs>
    </w:pPr>
  </w:p>
  <w:p w14:paraId="2B1D0651" w14:textId="77777777" w:rsidR="00AD79D9" w:rsidRDefault="00D6000E"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197E26"/>
    <w:rsid w:val="001B21D9"/>
    <w:rsid w:val="00822148"/>
    <w:rsid w:val="00C64987"/>
    <w:rsid w:val="00C96130"/>
    <w:rsid w:val="00D6000E"/>
    <w:rsid w:val="00DC1254"/>
    <w:rsid w:val="00EB75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1025</Words>
  <Characters>5638</Characters>
  <Application>Microsoft Office Word</Application>
  <DocSecurity>0</DocSecurity>
  <Lines>46</Lines>
  <Paragraphs>13</Paragraphs>
  <ScaleCrop>false</ScaleCrop>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Claudia</cp:lastModifiedBy>
  <cp:revision>5</cp:revision>
  <dcterms:created xsi:type="dcterms:W3CDTF">2021-09-21T15:27:00Z</dcterms:created>
  <dcterms:modified xsi:type="dcterms:W3CDTF">2021-09-22T00:29:00Z</dcterms:modified>
</cp:coreProperties>
</file>