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F77D0" w14:textId="77777777" w:rsidR="00077C2A" w:rsidRPr="00077C2A" w:rsidRDefault="00077C2A" w:rsidP="007233C7">
      <w:pPr>
        <w:autoSpaceDE w:val="0"/>
        <w:autoSpaceDN w:val="0"/>
        <w:spacing w:line="276" w:lineRule="auto"/>
        <w:jc w:val="both"/>
        <w:rPr>
          <w:rFonts w:ascii="Montserrat" w:eastAsia="Times New Roman" w:hAnsi="Montserrat" w:cs="Arial"/>
          <w:b/>
          <w:i/>
          <w:iCs/>
          <w:color w:val="000000"/>
        </w:rPr>
      </w:pPr>
      <w:r w:rsidRPr="00077C2A">
        <w:rPr>
          <w:rFonts w:ascii="Montserrat" w:eastAsia="Times New Roman" w:hAnsi="Montserrat" w:cs="Arial"/>
          <w:b/>
          <w:i/>
          <w:iCs/>
          <w:color w:val="000000"/>
        </w:rPr>
        <w:t>Anexo 5.23.a Recursos de Fuentes Externas</w:t>
      </w:r>
    </w:p>
    <w:p w14:paraId="36842521" w14:textId="77777777" w:rsidR="00077C2A" w:rsidRPr="00077C2A" w:rsidRDefault="00077C2A" w:rsidP="00077C2A">
      <w:pPr>
        <w:autoSpaceDE w:val="0"/>
        <w:autoSpaceDN w:val="0"/>
        <w:spacing w:line="276" w:lineRule="auto"/>
        <w:jc w:val="both"/>
        <w:rPr>
          <w:rFonts w:ascii="Monserrata" w:eastAsia="Times New Roman" w:hAnsi="Monserrata" w:cs="Arial"/>
          <w:color w:val="000000"/>
          <w:sz w:val="22"/>
          <w:szCs w:val="22"/>
        </w:rPr>
      </w:pPr>
    </w:p>
    <w:p w14:paraId="0691302B" w14:textId="77777777" w:rsidR="00077C2A" w:rsidRPr="00077C2A" w:rsidRDefault="00077C2A" w:rsidP="00077C2A">
      <w:pPr>
        <w:autoSpaceDE w:val="0"/>
        <w:autoSpaceDN w:val="0"/>
        <w:spacing w:line="276" w:lineRule="auto"/>
        <w:jc w:val="both"/>
        <w:rPr>
          <w:rFonts w:ascii="Montserrat" w:eastAsia="Times New Roman" w:hAnsi="Montserrat" w:cs="Arial"/>
          <w:color w:val="000000"/>
          <w:sz w:val="22"/>
          <w:szCs w:val="22"/>
        </w:rPr>
      </w:pPr>
      <w:r w:rsidRPr="00077C2A">
        <w:rPr>
          <w:rFonts w:ascii="Montserrat" w:eastAsia="Times New Roman" w:hAnsi="Montserrat" w:cs="Arial"/>
          <w:color w:val="000000"/>
          <w:sz w:val="22"/>
          <w:szCs w:val="22"/>
        </w:rPr>
        <w:t>Información financiera de Fondos institucionales, mixtos, sectoriales y transferencias del CONACyT para convenios y proyectos específicos, recibido durante el primer semestre 2021, comparado con el primer semestre 2020.</w:t>
      </w:r>
    </w:p>
    <w:p w14:paraId="0AF1988C" w14:textId="77777777" w:rsidR="00077C2A" w:rsidRPr="00077C2A" w:rsidRDefault="00077C2A" w:rsidP="00077C2A">
      <w:pPr>
        <w:autoSpaceDE w:val="0"/>
        <w:autoSpaceDN w:val="0"/>
        <w:spacing w:line="360" w:lineRule="auto"/>
        <w:jc w:val="both"/>
        <w:rPr>
          <w:rFonts w:ascii="Montserrat" w:eastAsia="Times New Roman" w:hAnsi="Montserrat" w:cs="Arial"/>
          <w:color w:val="000000"/>
          <w:sz w:val="22"/>
          <w:szCs w:val="22"/>
        </w:rPr>
      </w:pPr>
    </w:p>
    <w:tbl>
      <w:tblPr>
        <w:tblStyle w:val="Tablaconcuadrcula1"/>
        <w:tblW w:w="9356" w:type="dxa"/>
        <w:jc w:val="center"/>
        <w:tblLayout w:type="fixed"/>
        <w:tblLook w:val="04A0" w:firstRow="1" w:lastRow="0" w:firstColumn="1" w:lastColumn="0" w:noHBand="0" w:noVBand="1"/>
      </w:tblPr>
      <w:tblGrid>
        <w:gridCol w:w="2978"/>
        <w:gridCol w:w="2126"/>
        <w:gridCol w:w="2126"/>
        <w:gridCol w:w="2126"/>
      </w:tblGrid>
      <w:tr w:rsidR="00077C2A" w:rsidRPr="00077C2A" w14:paraId="3A45BCF1" w14:textId="77777777" w:rsidTr="008E717E">
        <w:trPr>
          <w:jc w:val="center"/>
        </w:trPr>
        <w:tc>
          <w:tcPr>
            <w:tcW w:w="2978" w:type="dxa"/>
            <w:vMerge w:val="restart"/>
            <w:vAlign w:val="center"/>
          </w:tcPr>
          <w:p w14:paraId="70B2167D" w14:textId="77777777" w:rsidR="00077C2A" w:rsidRPr="00077C2A" w:rsidRDefault="00077C2A" w:rsidP="00077C2A">
            <w:pPr>
              <w:autoSpaceDE w:val="0"/>
              <w:autoSpaceDN w:val="0"/>
              <w:spacing w:line="276" w:lineRule="auto"/>
              <w:jc w:val="center"/>
              <w:rPr>
                <w:rFonts w:ascii="Montserrat" w:eastAsia="Arial Unicode MS" w:hAnsi="Montserrat" w:cs="Arial"/>
                <w:b/>
                <w:sz w:val="22"/>
                <w:szCs w:val="22"/>
                <w:lang w:eastAsia="es-ES"/>
              </w:rPr>
            </w:pPr>
            <w:r w:rsidRPr="00077C2A">
              <w:rPr>
                <w:rFonts w:ascii="Montserrat" w:hAnsi="Montserrat" w:cs="Arial"/>
                <w:b/>
                <w:sz w:val="22"/>
                <w:szCs w:val="22"/>
                <w:lang w:eastAsia="es-ES"/>
              </w:rPr>
              <w:t>FUENTE DE FINANCIAMIENTO</w:t>
            </w:r>
          </w:p>
        </w:tc>
        <w:tc>
          <w:tcPr>
            <w:tcW w:w="2126" w:type="dxa"/>
            <w:vAlign w:val="center"/>
          </w:tcPr>
          <w:p w14:paraId="7B15A9F3" w14:textId="77777777" w:rsidR="00077C2A" w:rsidRPr="00077C2A" w:rsidRDefault="00077C2A" w:rsidP="00077C2A">
            <w:pPr>
              <w:autoSpaceDE w:val="0"/>
              <w:autoSpaceDN w:val="0"/>
              <w:spacing w:line="276" w:lineRule="auto"/>
              <w:jc w:val="center"/>
              <w:rPr>
                <w:rFonts w:ascii="Montserrat" w:hAnsi="Montserrat" w:cs="Arial"/>
                <w:b/>
                <w:sz w:val="22"/>
                <w:szCs w:val="22"/>
                <w:lang w:eastAsia="es-ES"/>
              </w:rPr>
            </w:pPr>
            <w:r w:rsidRPr="00077C2A">
              <w:rPr>
                <w:rFonts w:ascii="Montserrat" w:hAnsi="Montserrat" w:cs="Arial"/>
                <w:b/>
                <w:sz w:val="22"/>
                <w:szCs w:val="22"/>
                <w:lang w:eastAsia="es-ES"/>
              </w:rPr>
              <w:t>RECIBIDO ENERO- JUNIO 2021</w:t>
            </w:r>
          </w:p>
        </w:tc>
        <w:tc>
          <w:tcPr>
            <w:tcW w:w="2126" w:type="dxa"/>
            <w:vAlign w:val="center"/>
          </w:tcPr>
          <w:p w14:paraId="0925C8E4" w14:textId="77777777" w:rsidR="00077C2A" w:rsidRPr="00077C2A" w:rsidRDefault="00077C2A" w:rsidP="00077C2A">
            <w:pPr>
              <w:autoSpaceDE w:val="0"/>
              <w:autoSpaceDN w:val="0"/>
              <w:spacing w:line="276" w:lineRule="auto"/>
              <w:jc w:val="center"/>
              <w:rPr>
                <w:rFonts w:ascii="Montserrat" w:hAnsi="Montserrat" w:cs="Arial"/>
                <w:b/>
                <w:sz w:val="22"/>
                <w:szCs w:val="22"/>
                <w:lang w:eastAsia="es-ES"/>
              </w:rPr>
            </w:pPr>
            <w:r w:rsidRPr="00077C2A">
              <w:rPr>
                <w:rFonts w:ascii="Montserrat" w:hAnsi="Montserrat" w:cs="Arial"/>
                <w:b/>
                <w:sz w:val="22"/>
                <w:szCs w:val="22"/>
                <w:lang w:eastAsia="es-ES"/>
              </w:rPr>
              <w:t>RECIBIDO ENERO-JUNIO 2020</w:t>
            </w:r>
          </w:p>
        </w:tc>
        <w:tc>
          <w:tcPr>
            <w:tcW w:w="2126" w:type="dxa"/>
            <w:vAlign w:val="center"/>
          </w:tcPr>
          <w:p w14:paraId="09987ED1" w14:textId="77777777" w:rsidR="00077C2A" w:rsidRPr="00077C2A" w:rsidRDefault="00077C2A" w:rsidP="00077C2A">
            <w:pPr>
              <w:autoSpaceDE w:val="0"/>
              <w:autoSpaceDN w:val="0"/>
              <w:spacing w:line="276" w:lineRule="auto"/>
              <w:jc w:val="center"/>
              <w:rPr>
                <w:rFonts w:ascii="Montserrat" w:hAnsi="Montserrat" w:cs="Arial"/>
                <w:b/>
                <w:sz w:val="22"/>
                <w:szCs w:val="22"/>
                <w:lang w:eastAsia="es-ES"/>
              </w:rPr>
            </w:pPr>
            <w:r w:rsidRPr="00077C2A">
              <w:rPr>
                <w:rFonts w:ascii="Montserrat" w:hAnsi="Montserrat" w:cs="Arial"/>
                <w:b/>
                <w:sz w:val="22"/>
                <w:szCs w:val="22"/>
                <w:lang w:eastAsia="es-ES"/>
              </w:rPr>
              <w:t>DIFERENCIA</w:t>
            </w:r>
          </w:p>
        </w:tc>
      </w:tr>
      <w:tr w:rsidR="00077C2A" w:rsidRPr="00077C2A" w14:paraId="7DCF3579" w14:textId="77777777" w:rsidTr="008E717E">
        <w:trPr>
          <w:jc w:val="center"/>
        </w:trPr>
        <w:tc>
          <w:tcPr>
            <w:tcW w:w="2978" w:type="dxa"/>
            <w:vMerge/>
            <w:vAlign w:val="center"/>
          </w:tcPr>
          <w:p w14:paraId="206E390D" w14:textId="77777777" w:rsidR="00077C2A" w:rsidRPr="00077C2A" w:rsidRDefault="00077C2A" w:rsidP="00077C2A">
            <w:pPr>
              <w:autoSpaceDE w:val="0"/>
              <w:autoSpaceDN w:val="0"/>
              <w:spacing w:line="276" w:lineRule="auto"/>
              <w:rPr>
                <w:rFonts w:ascii="Montserrat" w:eastAsia="Arial Unicode MS" w:hAnsi="Montserrat" w:cs="Arial"/>
                <w:sz w:val="22"/>
                <w:szCs w:val="22"/>
                <w:lang w:eastAsia="es-ES"/>
              </w:rPr>
            </w:pPr>
          </w:p>
        </w:tc>
        <w:tc>
          <w:tcPr>
            <w:tcW w:w="6378" w:type="dxa"/>
            <w:gridSpan w:val="3"/>
            <w:vAlign w:val="center"/>
          </w:tcPr>
          <w:p w14:paraId="3F8F76D9" w14:textId="77777777" w:rsidR="00077C2A" w:rsidRPr="00077C2A" w:rsidRDefault="00077C2A" w:rsidP="00077C2A">
            <w:pPr>
              <w:autoSpaceDE w:val="0"/>
              <w:autoSpaceDN w:val="0"/>
              <w:spacing w:line="276" w:lineRule="auto"/>
              <w:jc w:val="center"/>
              <w:rPr>
                <w:rFonts w:ascii="Montserrat" w:eastAsia="Arial Unicode MS" w:hAnsi="Montserrat" w:cs="Arial"/>
                <w:sz w:val="22"/>
                <w:szCs w:val="22"/>
                <w:lang w:eastAsia="es-ES"/>
              </w:rPr>
            </w:pPr>
            <w:r w:rsidRPr="00077C2A">
              <w:rPr>
                <w:rFonts w:ascii="Montserrat" w:eastAsia="Arial Unicode MS" w:hAnsi="Montserrat" w:cs="Arial"/>
                <w:sz w:val="22"/>
                <w:szCs w:val="22"/>
                <w:lang w:eastAsia="es-ES"/>
              </w:rPr>
              <w:t>(MILES DE PESOS)</w:t>
            </w:r>
          </w:p>
        </w:tc>
      </w:tr>
      <w:tr w:rsidR="00077C2A" w:rsidRPr="00077C2A" w14:paraId="4FECF9A0" w14:textId="77777777" w:rsidTr="008E717E">
        <w:trPr>
          <w:jc w:val="center"/>
        </w:trPr>
        <w:tc>
          <w:tcPr>
            <w:tcW w:w="2978" w:type="dxa"/>
            <w:vAlign w:val="center"/>
          </w:tcPr>
          <w:p w14:paraId="11437093" w14:textId="77777777" w:rsidR="00077C2A" w:rsidRPr="00077C2A" w:rsidRDefault="00077C2A" w:rsidP="00077C2A">
            <w:pPr>
              <w:autoSpaceDE w:val="0"/>
              <w:autoSpaceDN w:val="0"/>
              <w:spacing w:line="276" w:lineRule="auto"/>
              <w:rPr>
                <w:rFonts w:ascii="Montserrat" w:eastAsia="Arial Unicode MS" w:hAnsi="Montserrat" w:cs="Arial"/>
                <w:sz w:val="22"/>
                <w:szCs w:val="22"/>
                <w:lang w:eastAsia="es-ES"/>
              </w:rPr>
            </w:pPr>
            <w:r w:rsidRPr="00077C2A">
              <w:rPr>
                <w:rFonts w:ascii="Montserrat" w:eastAsia="Arial Unicode MS" w:hAnsi="Montserrat" w:cs="Arial"/>
                <w:sz w:val="22"/>
                <w:szCs w:val="22"/>
                <w:lang w:eastAsia="es-ES"/>
              </w:rPr>
              <w:t>Fondos Sectoriales</w:t>
            </w:r>
          </w:p>
        </w:tc>
        <w:tc>
          <w:tcPr>
            <w:tcW w:w="2126" w:type="dxa"/>
            <w:vAlign w:val="center"/>
          </w:tcPr>
          <w:p w14:paraId="63427691" w14:textId="77777777" w:rsidR="00077C2A" w:rsidRPr="00077C2A" w:rsidRDefault="00077C2A" w:rsidP="00077C2A">
            <w:pPr>
              <w:autoSpaceDE w:val="0"/>
              <w:autoSpaceDN w:val="0"/>
              <w:spacing w:line="276" w:lineRule="auto"/>
              <w:jc w:val="right"/>
              <w:rPr>
                <w:rFonts w:ascii="Montserrat" w:eastAsia="Arial Unicode MS" w:hAnsi="Montserrat" w:cs="Arial"/>
                <w:sz w:val="22"/>
                <w:szCs w:val="22"/>
                <w:lang w:eastAsia="es-ES"/>
              </w:rPr>
            </w:pPr>
            <w:r w:rsidRPr="00077C2A">
              <w:rPr>
                <w:rFonts w:ascii="Montserrat" w:eastAsia="Arial Unicode MS" w:hAnsi="Montserrat" w:cs="Arial"/>
                <w:sz w:val="22"/>
                <w:szCs w:val="22"/>
                <w:lang w:eastAsia="es-ES"/>
              </w:rPr>
              <w:t>2,984.8</w:t>
            </w:r>
          </w:p>
        </w:tc>
        <w:tc>
          <w:tcPr>
            <w:tcW w:w="2126" w:type="dxa"/>
            <w:vAlign w:val="center"/>
          </w:tcPr>
          <w:p w14:paraId="07CB773D" w14:textId="77777777" w:rsidR="00077C2A" w:rsidRPr="00077C2A" w:rsidRDefault="00077C2A" w:rsidP="00077C2A">
            <w:pPr>
              <w:autoSpaceDE w:val="0"/>
              <w:autoSpaceDN w:val="0"/>
              <w:spacing w:line="276" w:lineRule="auto"/>
              <w:jc w:val="right"/>
              <w:rPr>
                <w:rFonts w:ascii="Montserrat" w:eastAsia="Arial Unicode MS" w:hAnsi="Montserrat" w:cs="Arial"/>
                <w:sz w:val="22"/>
                <w:szCs w:val="22"/>
                <w:lang w:eastAsia="es-ES"/>
              </w:rPr>
            </w:pPr>
            <w:r w:rsidRPr="00077C2A">
              <w:rPr>
                <w:rFonts w:ascii="Montserrat" w:eastAsia="Arial Unicode MS" w:hAnsi="Montserrat" w:cs="Arial"/>
                <w:sz w:val="22"/>
                <w:szCs w:val="22"/>
                <w:lang w:eastAsia="es-ES"/>
              </w:rPr>
              <w:t>5,825.6</w:t>
            </w:r>
          </w:p>
        </w:tc>
        <w:tc>
          <w:tcPr>
            <w:tcW w:w="2126" w:type="dxa"/>
            <w:vAlign w:val="center"/>
          </w:tcPr>
          <w:p w14:paraId="23AA1B7B" w14:textId="77777777" w:rsidR="00077C2A" w:rsidRPr="00077C2A" w:rsidRDefault="00077C2A" w:rsidP="00077C2A">
            <w:pPr>
              <w:autoSpaceDE w:val="0"/>
              <w:autoSpaceDN w:val="0"/>
              <w:spacing w:line="276" w:lineRule="auto"/>
              <w:jc w:val="right"/>
              <w:rPr>
                <w:rFonts w:ascii="Montserrat" w:eastAsia="Arial Unicode MS" w:hAnsi="Montserrat" w:cs="Arial"/>
                <w:sz w:val="22"/>
                <w:szCs w:val="22"/>
                <w:lang w:eastAsia="es-ES"/>
              </w:rPr>
            </w:pPr>
            <w:r w:rsidRPr="00077C2A">
              <w:rPr>
                <w:rFonts w:ascii="Montserrat" w:eastAsia="Arial Unicode MS" w:hAnsi="Montserrat" w:cs="Arial"/>
                <w:sz w:val="22"/>
                <w:szCs w:val="22"/>
                <w:lang w:eastAsia="es-ES"/>
              </w:rPr>
              <w:t>-2,840.8</w:t>
            </w:r>
          </w:p>
        </w:tc>
      </w:tr>
      <w:tr w:rsidR="00077C2A" w:rsidRPr="00077C2A" w14:paraId="24D5BC43" w14:textId="77777777" w:rsidTr="008E717E">
        <w:trPr>
          <w:jc w:val="center"/>
        </w:trPr>
        <w:tc>
          <w:tcPr>
            <w:tcW w:w="2978" w:type="dxa"/>
            <w:vAlign w:val="center"/>
          </w:tcPr>
          <w:p w14:paraId="513154F4" w14:textId="77777777" w:rsidR="00077C2A" w:rsidRPr="00077C2A" w:rsidRDefault="00077C2A" w:rsidP="00077C2A">
            <w:pPr>
              <w:autoSpaceDE w:val="0"/>
              <w:autoSpaceDN w:val="0"/>
              <w:spacing w:line="276" w:lineRule="auto"/>
              <w:rPr>
                <w:rFonts w:ascii="Montserrat" w:eastAsia="Arial Unicode MS" w:hAnsi="Montserrat" w:cs="Arial"/>
                <w:sz w:val="22"/>
                <w:szCs w:val="22"/>
                <w:lang w:eastAsia="es-ES"/>
              </w:rPr>
            </w:pPr>
            <w:r w:rsidRPr="00077C2A">
              <w:rPr>
                <w:rFonts w:ascii="Montserrat" w:eastAsia="Arial Unicode MS" w:hAnsi="Montserrat" w:cs="Arial"/>
                <w:sz w:val="22"/>
                <w:szCs w:val="22"/>
                <w:lang w:eastAsia="es-ES"/>
              </w:rPr>
              <w:t>Fondos Mixtos</w:t>
            </w:r>
          </w:p>
        </w:tc>
        <w:tc>
          <w:tcPr>
            <w:tcW w:w="2126" w:type="dxa"/>
            <w:vAlign w:val="center"/>
          </w:tcPr>
          <w:p w14:paraId="6C94E8B5" w14:textId="77777777" w:rsidR="00077C2A" w:rsidRPr="00077C2A" w:rsidRDefault="00077C2A" w:rsidP="00077C2A">
            <w:pPr>
              <w:autoSpaceDE w:val="0"/>
              <w:autoSpaceDN w:val="0"/>
              <w:spacing w:line="276" w:lineRule="auto"/>
              <w:jc w:val="right"/>
              <w:rPr>
                <w:rFonts w:ascii="Montserrat" w:eastAsia="Arial Unicode MS" w:hAnsi="Montserrat" w:cs="Arial"/>
                <w:sz w:val="22"/>
                <w:szCs w:val="22"/>
                <w:lang w:eastAsia="es-ES"/>
              </w:rPr>
            </w:pPr>
            <w:r w:rsidRPr="00077C2A">
              <w:rPr>
                <w:rFonts w:ascii="Montserrat" w:eastAsia="Arial Unicode MS" w:hAnsi="Montserrat" w:cs="Arial"/>
                <w:sz w:val="22"/>
                <w:szCs w:val="22"/>
                <w:lang w:eastAsia="es-ES"/>
              </w:rPr>
              <w:t>0.0</w:t>
            </w:r>
          </w:p>
        </w:tc>
        <w:tc>
          <w:tcPr>
            <w:tcW w:w="2126" w:type="dxa"/>
            <w:vAlign w:val="center"/>
          </w:tcPr>
          <w:p w14:paraId="27B06051" w14:textId="77777777" w:rsidR="00077C2A" w:rsidRPr="00077C2A" w:rsidRDefault="00077C2A" w:rsidP="00077C2A">
            <w:pPr>
              <w:autoSpaceDE w:val="0"/>
              <w:autoSpaceDN w:val="0"/>
              <w:spacing w:line="276" w:lineRule="auto"/>
              <w:jc w:val="right"/>
              <w:rPr>
                <w:rFonts w:ascii="Montserrat" w:eastAsia="Arial Unicode MS" w:hAnsi="Montserrat" w:cs="Arial"/>
                <w:sz w:val="22"/>
                <w:szCs w:val="22"/>
                <w:lang w:eastAsia="es-ES"/>
              </w:rPr>
            </w:pPr>
            <w:r w:rsidRPr="00077C2A">
              <w:rPr>
                <w:rFonts w:ascii="Montserrat" w:eastAsia="Arial Unicode MS" w:hAnsi="Montserrat" w:cs="Arial"/>
                <w:sz w:val="22"/>
                <w:szCs w:val="22"/>
                <w:lang w:eastAsia="es-ES"/>
              </w:rPr>
              <w:t>0.0</w:t>
            </w:r>
          </w:p>
        </w:tc>
        <w:tc>
          <w:tcPr>
            <w:tcW w:w="2126" w:type="dxa"/>
            <w:vAlign w:val="center"/>
          </w:tcPr>
          <w:p w14:paraId="346BC0F1" w14:textId="77777777" w:rsidR="00077C2A" w:rsidRPr="00077C2A" w:rsidRDefault="00077C2A" w:rsidP="00077C2A">
            <w:pPr>
              <w:autoSpaceDE w:val="0"/>
              <w:autoSpaceDN w:val="0"/>
              <w:spacing w:line="276" w:lineRule="auto"/>
              <w:jc w:val="right"/>
              <w:rPr>
                <w:rFonts w:ascii="Montserrat" w:eastAsia="Arial Unicode MS" w:hAnsi="Montserrat" w:cs="Arial"/>
                <w:sz w:val="22"/>
                <w:szCs w:val="22"/>
                <w:lang w:eastAsia="es-ES"/>
              </w:rPr>
            </w:pPr>
            <w:r w:rsidRPr="00077C2A">
              <w:rPr>
                <w:rFonts w:ascii="Montserrat" w:eastAsia="Arial Unicode MS" w:hAnsi="Montserrat" w:cs="Arial"/>
                <w:sz w:val="22"/>
                <w:szCs w:val="22"/>
                <w:lang w:eastAsia="es-ES"/>
              </w:rPr>
              <w:t>0.0</w:t>
            </w:r>
          </w:p>
        </w:tc>
      </w:tr>
      <w:tr w:rsidR="00077C2A" w:rsidRPr="00077C2A" w14:paraId="55D32980" w14:textId="77777777" w:rsidTr="008E717E">
        <w:trPr>
          <w:jc w:val="center"/>
        </w:trPr>
        <w:tc>
          <w:tcPr>
            <w:tcW w:w="2978" w:type="dxa"/>
            <w:vAlign w:val="center"/>
          </w:tcPr>
          <w:p w14:paraId="36A42098" w14:textId="77777777" w:rsidR="00077C2A" w:rsidRPr="00077C2A" w:rsidRDefault="00077C2A" w:rsidP="00077C2A">
            <w:pPr>
              <w:autoSpaceDE w:val="0"/>
              <w:autoSpaceDN w:val="0"/>
              <w:spacing w:line="276" w:lineRule="auto"/>
              <w:rPr>
                <w:rFonts w:ascii="Montserrat" w:eastAsia="Arial Unicode MS" w:hAnsi="Montserrat" w:cs="Arial"/>
                <w:sz w:val="22"/>
                <w:szCs w:val="22"/>
                <w:lang w:eastAsia="es-ES"/>
              </w:rPr>
            </w:pPr>
            <w:r w:rsidRPr="00077C2A">
              <w:rPr>
                <w:rFonts w:ascii="Montserrat" w:eastAsia="Arial Unicode MS" w:hAnsi="Montserrat" w:cs="Arial"/>
                <w:sz w:val="22"/>
                <w:szCs w:val="22"/>
                <w:lang w:eastAsia="es-ES"/>
              </w:rPr>
              <w:t>Transferencias CONACyT</w:t>
            </w:r>
          </w:p>
        </w:tc>
        <w:tc>
          <w:tcPr>
            <w:tcW w:w="2126" w:type="dxa"/>
            <w:vAlign w:val="center"/>
          </w:tcPr>
          <w:p w14:paraId="51834148" w14:textId="77777777" w:rsidR="00077C2A" w:rsidRPr="00077C2A" w:rsidRDefault="00077C2A" w:rsidP="00077C2A">
            <w:pPr>
              <w:autoSpaceDE w:val="0"/>
              <w:autoSpaceDN w:val="0"/>
              <w:spacing w:line="276" w:lineRule="auto"/>
              <w:jc w:val="right"/>
              <w:rPr>
                <w:rFonts w:ascii="Montserrat" w:eastAsia="Arial Unicode MS" w:hAnsi="Montserrat" w:cs="Arial"/>
                <w:sz w:val="22"/>
                <w:szCs w:val="22"/>
                <w:lang w:eastAsia="es-ES"/>
              </w:rPr>
            </w:pPr>
            <w:r w:rsidRPr="00077C2A">
              <w:rPr>
                <w:rFonts w:ascii="Montserrat" w:eastAsia="Arial Unicode MS" w:hAnsi="Montserrat" w:cs="Arial"/>
                <w:sz w:val="22"/>
                <w:szCs w:val="22"/>
                <w:lang w:eastAsia="es-ES"/>
              </w:rPr>
              <w:t>0.0</w:t>
            </w:r>
          </w:p>
        </w:tc>
        <w:tc>
          <w:tcPr>
            <w:tcW w:w="2126" w:type="dxa"/>
            <w:vAlign w:val="center"/>
          </w:tcPr>
          <w:p w14:paraId="336C4DBC" w14:textId="77777777" w:rsidR="00077C2A" w:rsidRPr="00077C2A" w:rsidRDefault="00077C2A" w:rsidP="00077C2A">
            <w:pPr>
              <w:autoSpaceDE w:val="0"/>
              <w:autoSpaceDN w:val="0"/>
              <w:spacing w:line="276" w:lineRule="auto"/>
              <w:jc w:val="right"/>
              <w:rPr>
                <w:rFonts w:ascii="Montserrat" w:eastAsia="Arial Unicode MS" w:hAnsi="Montserrat" w:cs="Arial"/>
                <w:sz w:val="22"/>
                <w:szCs w:val="22"/>
                <w:lang w:eastAsia="es-ES"/>
              </w:rPr>
            </w:pPr>
            <w:r w:rsidRPr="00077C2A">
              <w:rPr>
                <w:rFonts w:ascii="Montserrat" w:eastAsia="Arial Unicode MS" w:hAnsi="Montserrat" w:cs="Arial"/>
                <w:sz w:val="22"/>
                <w:szCs w:val="22"/>
                <w:lang w:eastAsia="es-ES"/>
              </w:rPr>
              <w:t>0.0</w:t>
            </w:r>
          </w:p>
        </w:tc>
        <w:tc>
          <w:tcPr>
            <w:tcW w:w="2126" w:type="dxa"/>
            <w:vAlign w:val="center"/>
          </w:tcPr>
          <w:p w14:paraId="5CEEF252" w14:textId="77777777" w:rsidR="00077C2A" w:rsidRPr="00077C2A" w:rsidRDefault="00077C2A" w:rsidP="00077C2A">
            <w:pPr>
              <w:autoSpaceDE w:val="0"/>
              <w:autoSpaceDN w:val="0"/>
              <w:spacing w:line="276" w:lineRule="auto"/>
              <w:jc w:val="right"/>
              <w:rPr>
                <w:rFonts w:ascii="Montserrat" w:eastAsia="Arial Unicode MS" w:hAnsi="Montserrat" w:cs="Arial"/>
                <w:sz w:val="22"/>
                <w:szCs w:val="22"/>
                <w:lang w:eastAsia="es-ES"/>
              </w:rPr>
            </w:pPr>
            <w:r w:rsidRPr="00077C2A">
              <w:rPr>
                <w:rFonts w:ascii="Montserrat" w:eastAsia="Arial Unicode MS" w:hAnsi="Montserrat" w:cs="Arial"/>
                <w:sz w:val="22"/>
                <w:szCs w:val="22"/>
                <w:lang w:eastAsia="es-ES"/>
              </w:rPr>
              <w:t>0.0</w:t>
            </w:r>
          </w:p>
        </w:tc>
      </w:tr>
      <w:tr w:rsidR="00077C2A" w:rsidRPr="00077C2A" w14:paraId="28C90854" w14:textId="77777777" w:rsidTr="008E717E">
        <w:trPr>
          <w:jc w:val="center"/>
        </w:trPr>
        <w:tc>
          <w:tcPr>
            <w:tcW w:w="2978" w:type="dxa"/>
            <w:vAlign w:val="center"/>
          </w:tcPr>
          <w:p w14:paraId="20EBFB0E" w14:textId="77777777" w:rsidR="00077C2A" w:rsidRPr="00077C2A" w:rsidRDefault="00077C2A" w:rsidP="00077C2A">
            <w:pPr>
              <w:autoSpaceDE w:val="0"/>
              <w:autoSpaceDN w:val="0"/>
              <w:spacing w:line="276" w:lineRule="auto"/>
              <w:rPr>
                <w:rFonts w:ascii="Montserrat" w:eastAsia="Arial Unicode MS" w:hAnsi="Montserrat" w:cs="Arial"/>
                <w:sz w:val="22"/>
                <w:szCs w:val="22"/>
                <w:lang w:eastAsia="es-ES"/>
              </w:rPr>
            </w:pPr>
            <w:r w:rsidRPr="00077C2A">
              <w:rPr>
                <w:rFonts w:ascii="Montserrat" w:eastAsia="Arial Unicode MS" w:hAnsi="Montserrat" w:cs="Arial"/>
                <w:sz w:val="22"/>
                <w:szCs w:val="22"/>
                <w:lang w:eastAsia="es-ES"/>
              </w:rPr>
              <w:t>Fondos Institucionales</w:t>
            </w:r>
          </w:p>
        </w:tc>
        <w:tc>
          <w:tcPr>
            <w:tcW w:w="2126" w:type="dxa"/>
            <w:vAlign w:val="center"/>
          </w:tcPr>
          <w:p w14:paraId="180AFC9D" w14:textId="77777777" w:rsidR="00077C2A" w:rsidRPr="00077C2A" w:rsidRDefault="00077C2A" w:rsidP="00077C2A">
            <w:pPr>
              <w:autoSpaceDE w:val="0"/>
              <w:autoSpaceDN w:val="0"/>
              <w:spacing w:line="276" w:lineRule="auto"/>
              <w:jc w:val="right"/>
              <w:rPr>
                <w:rFonts w:ascii="Montserrat" w:eastAsia="Arial Unicode MS" w:hAnsi="Montserrat" w:cs="Arial"/>
                <w:sz w:val="22"/>
                <w:szCs w:val="22"/>
                <w:lang w:eastAsia="es-ES"/>
              </w:rPr>
            </w:pPr>
            <w:r w:rsidRPr="00077C2A">
              <w:rPr>
                <w:rFonts w:ascii="Montserrat" w:eastAsia="Arial Unicode MS" w:hAnsi="Montserrat" w:cs="Arial"/>
                <w:sz w:val="22"/>
                <w:szCs w:val="22"/>
                <w:lang w:eastAsia="es-ES"/>
              </w:rPr>
              <w:t>5,838.7</w:t>
            </w:r>
          </w:p>
        </w:tc>
        <w:tc>
          <w:tcPr>
            <w:tcW w:w="2126" w:type="dxa"/>
            <w:vAlign w:val="center"/>
          </w:tcPr>
          <w:p w14:paraId="7889D32C" w14:textId="77777777" w:rsidR="00077C2A" w:rsidRPr="00077C2A" w:rsidRDefault="00077C2A" w:rsidP="00077C2A">
            <w:pPr>
              <w:autoSpaceDE w:val="0"/>
              <w:autoSpaceDN w:val="0"/>
              <w:spacing w:line="276" w:lineRule="auto"/>
              <w:jc w:val="right"/>
              <w:rPr>
                <w:rFonts w:ascii="Montserrat" w:eastAsia="Arial Unicode MS" w:hAnsi="Montserrat" w:cs="Arial"/>
                <w:sz w:val="22"/>
                <w:szCs w:val="22"/>
                <w:lang w:eastAsia="es-ES"/>
              </w:rPr>
            </w:pPr>
            <w:r w:rsidRPr="00077C2A">
              <w:rPr>
                <w:rFonts w:ascii="Montserrat" w:eastAsia="Arial Unicode MS" w:hAnsi="Montserrat" w:cs="Arial"/>
                <w:sz w:val="22"/>
                <w:szCs w:val="22"/>
                <w:lang w:eastAsia="es-ES"/>
              </w:rPr>
              <w:t>621.3</w:t>
            </w:r>
          </w:p>
        </w:tc>
        <w:tc>
          <w:tcPr>
            <w:tcW w:w="2126" w:type="dxa"/>
            <w:vAlign w:val="center"/>
          </w:tcPr>
          <w:p w14:paraId="5A772B68" w14:textId="77777777" w:rsidR="00077C2A" w:rsidRPr="00077C2A" w:rsidRDefault="00077C2A" w:rsidP="00077C2A">
            <w:pPr>
              <w:autoSpaceDE w:val="0"/>
              <w:autoSpaceDN w:val="0"/>
              <w:spacing w:line="276" w:lineRule="auto"/>
              <w:jc w:val="right"/>
              <w:rPr>
                <w:rFonts w:ascii="Montserrat" w:eastAsia="Arial Unicode MS" w:hAnsi="Montserrat" w:cs="Arial"/>
                <w:sz w:val="22"/>
                <w:szCs w:val="22"/>
                <w:lang w:eastAsia="es-ES"/>
              </w:rPr>
            </w:pPr>
            <w:r w:rsidRPr="00077C2A">
              <w:rPr>
                <w:rFonts w:ascii="Montserrat" w:eastAsia="Arial Unicode MS" w:hAnsi="Montserrat" w:cs="Arial"/>
                <w:sz w:val="22"/>
                <w:szCs w:val="22"/>
                <w:lang w:eastAsia="es-ES"/>
              </w:rPr>
              <w:t>5,217.4</w:t>
            </w:r>
          </w:p>
        </w:tc>
      </w:tr>
      <w:tr w:rsidR="00077C2A" w:rsidRPr="00077C2A" w14:paraId="53BF4E10" w14:textId="77777777" w:rsidTr="008E717E">
        <w:trPr>
          <w:jc w:val="center"/>
        </w:trPr>
        <w:tc>
          <w:tcPr>
            <w:tcW w:w="2978" w:type="dxa"/>
            <w:vAlign w:val="center"/>
          </w:tcPr>
          <w:p w14:paraId="4351464C" w14:textId="77777777" w:rsidR="00077C2A" w:rsidRPr="00077C2A" w:rsidRDefault="00077C2A" w:rsidP="00077C2A">
            <w:pPr>
              <w:autoSpaceDE w:val="0"/>
              <w:autoSpaceDN w:val="0"/>
              <w:spacing w:line="276" w:lineRule="auto"/>
              <w:rPr>
                <w:rFonts w:ascii="Montserrat" w:eastAsia="Arial Unicode MS" w:hAnsi="Montserrat" w:cs="Arial"/>
                <w:sz w:val="22"/>
                <w:szCs w:val="22"/>
                <w:lang w:eastAsia="es-ES"/>
              </w:rPr>
            </w:pPr>
            <w:r w:rsidRPr="00077C2A">
              <w:rPr>
                <w:rFonts w:ascii="Montserrat" w:eastAsia="Arial Unicode MS" w:hAnsi="Montserrat" w:cs="Arial"/>
                <w:sz w:val="22"/>
                <w:szCs w:val="22"/>
                <w:lang w:eastAsia="es-ES"/>
              </w:rPr>
              <w:t>Apoyos Institucionales</w:t>
            </w:r>
          </w:p>
        </w:tc>
        <w:tc>
          <w:tcPr>
            <w:tcW w:w="2126" w:type="dxa"/>
            <w:vAlign w:val="center"/>
          </w:tcPr>
          <w:p w14:paraId="2002ABE6" w14:textId="77777777" w:rsidR="00077C2A" w:rsidRPr="00077C2A" w:rsidRDefault="00077C2A" w:rsidP="00077C2A">
            <w:pPr>
              <w:autoSpaceDE w:val="0"/>
              <w:autoSpaceDN w:val="0"/>
              <w:spacing w:line="276" w:lineRule="auto"/>
              <w:jc w:val="right"/>
              <w:rPr>
                <w:rFonts w:ascii="Montserrat" w:eastAsia="Arial Unicode MS" w:hAnsi="Montserrat" w:cs="Arial"/>
                <w:sz w:val="22"/>
                <w:szCs w:val="22"/>
                <w:lang w:eastAsia="es-ES"/>
              </w:rPr>
            </w:pPr>
            <w:r w:rsidRPr="00077C2A">
              <w:rPr>
                <w:rFonts w:ascii="Montserrat" w:eastAsia="Arial Unicode MS" w:hAnsi="Montserrat" w:cs="Arial"/>
                <w:sz w:val="22"/>
                <w:szCs w:val="22"/>
                <w:lang w:eastAsia="es-ES"/>
              </w:rPr>
              <w:t>0.0</w:t>
            </w:r>
          </w:p>
        </w:tc>
        <w:tc>
          <w:tcPr>
            <w:tcW w:w="2126" w:type="dxa"/>
            <w:vAlign w:val="center"/>
          </w:tcPr>
          <w:p w14:paraId="21896BAD" w14:textId="77777777" w:rsidR="00077C2A" w:rsidRPr="00077C2A" w:rsidRDefault="00077C2A" w:rsidP="00077C2A">
            <w:pPr>
              <w:autoSpaceDE w:val="0"/>
              <w:autoSpaceDN w:val="0"/>
              <w:spacing w:line="276" w:lineRule="auto"/>
              <w:jc w:val="right"/>
              <w:rPr>
                <w:rFonts w:ascii="Montserrat" w:eastAsia="Arial Unicode MS" w:hAnsi="Montserrat" w:cs="Arial"/>
                <w:sz w:val="22"/>
                <w:szCs w:val="22"/>
                <w:lang w:eastAsia="es-ES"/>
              </w:rPr>
            </w:pPr>
            <w:r w:rsidRPr="00077C2A">
              <w:rPr>
                <w:rFonts w:ascii="Montserrat" w:eastAsia="Arial Unicode MS" w:hAnsi="Montserrat" w:cs="Arial"/>
                <w:sz w:val="22"/>
                <w:szCs w:val="22"/>
                <w:lang w:eastAsia="es-ES"/>
              </w:rPr>
              <w:t>220.9</w:t>
            </w:r>
          </w:p>
        </w:tc>
        <w:tc>
          <w:tcPr>
            <w:tcW w:w="2126" w:type="dxa"/>
            <w:vAlign w:val="center"/>
          </w:tcPr>
          <w:p w14:paraId="2FF48C83" w14:textId="77777777" w:rsidR="00077C2A" w:rsidRPr="00077C2A" w:rsidRDefault="00077C2A" w:rsidP="00077C2A">
            <w:pPr>
              <w:autoSpaceDE w:val="0"/>
              <w:autoSpaceDN w:val="0"/>
              <w:spacing w:line="276" w:lineRule="auto"/>
              <w:jc w:val="right"/>
              <w:rPr>
                <w:rFonts w:ascii="Montserrat" w:eastAsia="Arial Unicode MS" w:hAnsi="Montserrat" w:cs="Arial"/>
                <w:sz w:val="22"/>
                <w:szCs w:val="22"/>
                <w:lang w:eastAsia="es-ES"/>
              </w:rPr>
            </w:pPr>
            <w:r w:rsidRPr="00077C2A">
              <w:rPr>
                <w:rFonts w:ascii="Montserrat" w:eastAsia="Arial Unicode MS" w:hAnsi="Montserrat" w:cs="Arial"/>
                <w:sz w:val="22"/>
                <w:szCs w:val="22"/>
                <w:lang w:eastAsia="es-ES"/>
              </w:rPr>
              <w:t>-220.9</w:t>
            </w:r>
          </w:p>
        </w:tc>
      </w:tr>
      <w:tr w:rsidR="00077C2A" w:rsidRPr="00077C2A" w14:paraId="6A8A0289" w14:textId="77777777" w:rsidTr="008E717E">
        <w:trPr>
          <w:trHeight w:val="104"/>
          <w:jc w:val="center"/>
        </w:trPr>
        <w:tc>
          <w:tcPr>
            <w:tcW w:w="2978" w:type="dxa"/>
            <w:vAlign w:val="center"/>
          </w:tcPr>
          <w:p w14:paraId="6D2298CC" w14:textId="77777777" w:rsidR="00077C2A" w:rsidRPr="00077C2A" w:rsidRDefault="00077C2A" w:rsidP="00077C2A">
            <w:pPr>
              <w:autoSpaceDE w:val="0"/>
              <w:autoSpaceDN w:val="0"/>
              <w:spacing w:line="276" w:lineRule="auto"/>
              <w:jc w:val="right"/>
              <w:rPr>
                <w:rFonts w:ascii="Montserrat" w:eastAsia="Arial Unicode MS" w:hAnsi="Montserrat" w:cs="Arial"/>
                <w:b/>
                <w:sz w:val="22"/>
                <w:szCs w:val="22"/>
                <w:lang w:eastAsia="es-ES"/>
              </w:rPr>
            </w:pPr>
            <w:r w:rsidRPr="00077C2A">
              <w:rPr>
                <w:rFonts w:ascii="Montserrat" w:hAnsi="Montserrat" w:cs="Arial"/>
                <w:b/>
                <w:sz w:val="22"/>
                <w:szCs w:val="22"/>
                <w:lang w:eastAsia="es-ES"/>
              </w:rPr>
              <w:t xml:space="preserve">GRAN TOTAL: </w:t>
            </w:r>
          </w:p>
        </w:tc>
        <w:tc>
          <w:tcPr>
            <w:tcW w:w="2126" w:type="dxa"/>
            <w:vAlign w:val="center"/>
          </w:tcPr>
          <w:p w14:paraId="634CB3E8" w14:textId="77777777" w:rsidR="00077C2A" w:rsidRPr="00077C2A" w:rsidRDefault="00077C2A" w:rsidP="00077C2A">
            <w:pPr>
              <w:autoSpaceDE w:val="0"/>
              <w:autoSpaceDN w:val="0"/>
              <w:spacing w:line="276" w:lineRule="auto"/>
              <w:jc w:val="right"/>
              <w:rPr>
                <w:rFonts w:ascii="Montserrat" w:eastAsia="Arial Unicode MS" w:hAnsi="Montserrat" w:cs="Arial"/>
                <w:b/>
                <w:sz w:val="22"/>
                <w:szCs w:val="22"/>
                <w:lang w:eastAsia="es-ES"/>
              </w:rPr>
            </w:pPr>
            <w:r w:rsidRPr="00077C2A">
              <w:rPr>
                <w:rFonts w:ascii="Montserrat" w:eastAsia="Arial Unicode MS" w:hAnsi="Montserrat" w:cs="Arial"/>
                <w:b/>
                <w:sz w:val="22"/>
                <w:szCs w:val="22"/>
                <w:lang w:eastAsia="es-ES"/>
              </w:rPr>
              <w:t>8,823.5</w:t>
            </w:r>
          </w:p>
        </w:tc>
        <w:tc>
          <w:tcPr>
            <w:tcW w:w="2126" w:type="dxa"/>
            <w:vAlign w:val="center"/>
          </w:tcPr>
          <w:p w14:paraId="109EB768" w14:textId="77777777" w:rsidR="00077C2A" w:rsidRPr="00077C2A" w:rsidRDefault="00077C2A" w:rsidP="00077C2A">
            <w:pPr>
              <w:autoSpaceDE w:val="0"/>
              <w:autoSpaceDN w:val="0"/>
              <w:spacing w:line="276" w:lineRule="auto"/>
              <w:jc w:val="right"/>
              <w:rPr>
                <w:rFonts w:ascii="Montserrat" w:eastAsia="Arial Unicode MS" w:hAnsi="Montserrat" w:cs="Arial"/>
                <w:b/>
                <w:sz w:val="22"/>
                <w:szCs w:val="22"/>
                <w:lang w:eastAsia="es-ES"/>
              </w:rPr>
            </w:pPr>
            <w:r w:rsidRPr="00077C2A">
              <w:rPr>
                <w:rFonts w:ascii="Montserrat" w:eastAsia="Arial Unicode MS" w:hAnsi="Montserrat" w:cs="Arial"/>
                <w:b/>
                <w:sz w:val="22"/>
                <w:szCs w:val="22"/>
                <w:lang w:eastAsia="es-ES"/>
              </w:rPr>
              <w:t>6,667.8</w:t>
            </w:r>
          </w:p>
        </w:tc>
        <w:tc>
          <w:tcPr>
            <w:tcW w:w="2126" w:type="dxa"/>
            <w:vAlign w:val="center"/>
          </w:tcPr>
          <w:p w14:paraId="33EEC861" w14:textId="77777777" w:rsidR="00077C2A" w:rsidRPr="00077C2A" w:rsidRDefault="00077C2A" w:rsidP="00077C2A">
            <w:pPr>
              <w:autoSpaceDE w:val="0"/>
              <w:autoSpaceDN w:val="0"/>
              <w:spacing w:line="276" w:lineRule="auto"/>
              <w:jc w:val="right"/>
              <w:rPr>
                <w:rFonts w:ascii="Montserrat" w:eastAsia="Arial Unicode MS" w:hAnsi="Montserrat" w:cs="Arial"/>
                <w:b/>
                <w:sz w:val="22"/>
                <w:szCs w:val="22"/>
                <w:lang w:eastAsia="es-ES"/>
              </w:rPr>
            </w:pPr>
            <w:r w:rsidRPr="00077C2A">
              <w:rPr>
                <w:rFonts w:ascii="Montserrat" w:eastAsia="Arial Unicode MS" w:hAnsi="Montserrat" w:cs="Arial"/>
                <w:b/>
                <w:sz w:val="22"/>
                <w:szCs w:val="22"/>
                <w:lang w:eastAsia="es-ES"/>
              </w:rPr>
              <w:t>2,155.7</w:t>
            </w:r>
          </w:p>
        </w:tc>
      </w:tr>
    </w:tbl>
    <w:p w14:paraId="4B901EAE" w14:textId="77777777" w:rsidR="00077C2A" w:rsidRPr="00077C2A" w:rsidRDefault="00077C2A" w:rsidP="00077C2A">
      <w:pPr>
        <w:tabs>
          <w:tab w:val="left" w:pos="4155"/>
        </w:tabs>
        <w:autoSpaceDE w:val="0"/>
        <w:autoSpaceDN w:val="0"/>
        <w:spacing w:line="276" w:lineRule="auto"/>
        <w:rPr>
          <w:rFonts w:ascii="Montserrata" w:eastAsia="Times New Roman" w:hAnsi="Montserrata" w:cs="Times New Roman"/>
          <w:sz w:val="22"/>
          <w:szCs w:val="22"/>
          <w:lang w:eastAsia="es-ES"/>
        </w:rPr>
      </w:pPr>
    </w:p>
    <w:p w14:paraId="72F5DC0A" w14:textId="77777777" w:rsidR="00077C2A" w:rsidRPr="00077C2A" w:rsidRDefault="00077C2A" w:rsidP="00077C2A">
      <w:pPr>
        <w:tabs>
          <w:tab w:val="left" w:pos="4155"/>
        </w:tabs>
        <w:autoSpaceDE w:val="0"/>
        <w:autoSpaceDN w:val="0"/>
        <w:spacing w:line="276" w:lineRule="auto"/>
        <w:rPr>
          <w:rFonts w:ascii="Montserrata" w:eastAsia="Times New Roman" w:hAnsi="Montserrata" w:cs="Times New Roman"/>
          <w:sz w:val="22"/>
          <w:szCs w:val="22"/>
          <w:lang w:eastAsia="es-ES"/>
        </w:rPr>
      </w:pPr>
    </w:p>
    <w:p w14:paraId="5D075BE0" w14:textId="77777777" w:rsidR="00077C2A" w:rsidRPr="00077C2A" w:rsidRDefault="00077C2A" w:rsidP="00077C2A">
      <w:pPr>
        <w:tabs>
          <w:tab w:val="left" w:pos="4155"/>
        </w:tabs>
        <w:autoSpaceDE w:val="0"/>
        <w:autoSpaceDN w:val="0"/>
        <w:spacing w:line="276" w:lineRule="auto"/>
        <w:rPr>
          <w:rFonts w:ascii="Montserrata" w:eastAsia="Times New Roman" w:hAnsi="Montserrata" w:cs="Times New Roman"/>
          <w:sz w:val="22"/>
          <w:szCs w:val="22"/>
          <w:lang w:eastAsia="es-ES"/>
        </w:rPr>
      </w:pPr>
    </w:p>
    <w:p w14:paraId="7E5C7E1B" w14:textId="77777777" w:rsidR="00077C2A" w:rsidRPr="00077C2A" w:rsidRDefault="00077C2A" w:rsidP="00077C2A">
      <w:pPr>
        <w:tabs>
          <w:tab w:val="left" w:pos="4155"/>
        </w:tabs>
        <w:autoSpaceDE w:val="0"/>
        <w:autoSpaceDN w:val="0"/>
        <w:spacing w:line="276" w:lineRule="auto"/>
        <w:rPr>
          <w:rFonts w:ascii="Montserrata" w:eastAsia="Times New Roman" w:hAnsi="Montserrata" w:cs="Times New Roman"/>
          <w:sz w:val="22"/>
          <w:szCs w:val="22"/>
          <w:lang w:eastAsia="es-ES"/>
        </w:rPr>
      </w:pPr>
    </w:p>
    <w:p w14:paraId="3D5EDAEE" w14:textId="77777777" w:rsidR="00077C2A" w:rsidRPr="00077C2A" w:rsidRDefault="00077C2A" w:rsidP="00077C2A">
      <w:pPr>
        <w:tabs>
          <w:tab w:val="left" w:pos="4155"/>
        </w:tabs>
        <w:autoSpaceDE w:val="0"/>
        <w:autoSpaceDN w:val="0"/>
        <w:spacing w:line="276" w:lineRule="auto"/>
        <w:rPr>
          <w:rFonts w:ascii="Montserrata" w:eastAsia="Times New Roman" w:hAnsi="Montserrata" w:cs="Times New Roman"/>
          <w:sz w:val="22"/>
          <w:szCs w:val="22"/>
          <w:lang w:eastAsia="es-ES"/>
        </w:rPr>
      </w:pPr>
    </w:p>
    <w:p w14:paraId="7B019F85" w14:textId="77777777" w:rsidR="00077C2A" w:rsidRPr="00077C2A" w:rsidRDefault="00077C2A" w:rsidP="00077C2A">
      <w:pPr>
        <w:tabs>
          <w:tab w:val="left" w:pos="4155"/>
        </w:tabs>
        <w:autoSpaceDE w:val="0"/>
        <w:autoSpaceDN w:val="0"/>
        <w:spacing w:line="276" w:lineRule="auto"/>
        <w:rPr>
          <w:rFonts w:ascii="Montserrata" w:eastAsia="Times New Roman" w:hAnsi="Montserrata" w:cs="Times New Roman"/>
          <w:sz w:val="22"/>
          <w:szCs w:val="22"/>
          <w:lang w:eastAsia="es-ES"/>
        </w:rPr>
      </w:pPr>
    </w:p>
    <w:p w14:paraId="0851A0F7" w14:textId="77777777" w:rsidR="00077C2A" w:rsidRPr="00077C2A" w:rsidRDefault="00077C2A" w:rsidP="00077C2A">
      <w:pPr>
        <w:tabs>
          <w:tab w:val="left" w:pos="4155"/>
        </w:tabs>
        <w:autoSpaceDE w:val="0"/>
        <w:autoSpaceDN w:val="0"/>
        <w:spacing w:line="276" w:lineRule="auto"/>
        <w:rPr>
          <w:rFonts w:ascii="Montserrata" w:eastAsia="Times New Roman" w:hAnsi="Montserrata" w:cs="Times New Roman"/>
          <w:sz w:val="22"/>
          <w:szCs w:val="22"/>
          <w:lang w:eastAsia="es-ES"/>
        </w:rPr>
      </w:pPr>
    </w:p>
    <w:p w14:paraId="3E98C9B8" w14:textId="77777777" w:rsidR="00077C2A" w:rsidRPr="00077C2A" w:rsidRDefault="00077C2A" w:rsidP="00077C2A">
      <w:pPr>
        <w:tabs>
          <w:tab w:val="left" w:pos="4155"/>
        </w:tabs>
        <w:autoSpaceDE w:val="0"/>
        <w:autoSpaceDN w:val="0"/>
        <w:spacing w:line="276" w:lineRule="auto"/>
        <w:rPr>
          <w:rFonts w:ascii="Montserrata" w:eastAsia="Times New Roman" w:hAnsi="Montserrata" w:cs="Times New Roman"/>
          <w:sz w:val="22"/>
          <w:szCs w:val="22"/>
          <w:lang w:eastAsia="es-ES"/>
        </w:rPr>
      </w:pPr>
    </w:p>
    <w:p w14:paraId="067F7535" w14:textId="77777777" w:rsidR="00077C2A" w:rsidRPr="00077C2A" w:rsidRDefault="00077C2A" w:rsidP="00077C2A">
      <w:pPr>
        <w:tabs>
          <w:tab w:val="left" w:pos="4155"/>
        </w:tabs>
        <w:autoSpaceDE w:val="0"/>
        <w:autoSpaceDN w:val="0"/>
        <w:spacing w:line="276" w:lineRule="auto"/>
        <w:rPr>
          <w:rFonts w:ascii="Montserrata" w:eastAsia="Times New Roman" w:hAnsi="Montserrata" w:cs="Times New Roman"/>
          <w:sz w:val="22"/>
          <w:szCs w:val="22"/>
          <w:lang w:eastAsia="es-ES"/>
        </w:rPr>
      </w:pPr>
    </w:p>
    <w:p w14:paraId="62C0322A" w14:textId="77777777" w:rsidR="00077C2A" w:rsidRPr="00077C2A" w:rsidRDefault="00077C2A" w:rsidP="00077C2A">
      <w:pPr>
        <w:tabs>
          <w:tab w:val="left" w:pos="4155"/>
        </w:tabs>
        <w:autoSpaceDE w:val="0"/>
        <w:autoSpaceDN w:val="0"/>
        <w:spacing w:line="276" w:lineRule="auto"/>
        <w:rPr>
          <w:rFonts w:ascii="Montserrata" w:eastAsia="Times New Roman" w:hAnsi="Montserrata" w:cs="Times New Roman"/>
          <w:sz w:val="22"/>
          <w:szCs w:val="22"/>
          <w:lang w:eastAsia="es-ES"/>
        </w:rPr>
      </w:pPr>
    </w:p>
    <w:p w14:paraId="02517324" w14:textId="77777777" w:rsidR="00077C2A" w:rsidRPr="00077C2A" w:rsidRDefault="00077C2A" w:rsidP="00077C2A">
      <w:pPr>
        <w:tabs>
          <w:tab w:val="left" w:pos="4155"/>
        </w:tabs>
        <w:autoSpaceDE w:val="0"/>
        <w:autoSpaceDN w:val="0"/>
        <w:spacing w:line="276" w:lineRule="auto"/>
        <w:rPr>
          <w:rFonts w:ascii="Montserrata" w:eastAsia="Times New Roman" w:hAnsi="Montserrata" w:cs="Times New Roman"/>
          <w:sz w:val="22"/>
          <w:szCs w:val="22"/>
          <w:lang w:eastAsia="es-ES"/>
        </w:rPr>
      </w:pPr>
    </w:p>
    <w:p w14:paraId="36C53871" w14:textId="77777777" w:rsidR="00077C2A" w:rsidRPr="00077C2A" w:rsidRDefault="00077C2A" w:rsidP="00077C2A">
      <w:pPr>
        <w:numPr>
          <w:ilvl w:val="0"/>
          <w:numId w:val="8"/>
        </w:numPr>
        <w:autoSpaceDE w:val="0"/>
        <w:autoSpaceDN w:val="0"/>
        <w:spacing w:line="276" w:lineRule="auto"/>
        <w:contextualSpacing/>
        <w:rPr>
          <w:rFonts w:ascii="Calibri" w:eastAsia="Times New Roman" w:hAnsi="Calibri" w:cs="Times New Roman"/>
          <w:b/>
          <w:lang w:val="es-ES" w:eastAsia="es-ES"/>
        </w:rPr>
      </w:pPr>
      <w:r w:rsidRPr="00077C2A">
        <w:rPr>
          <w:rFonts w:ascii="Calibri" w:eastAsia="Times New Roman" w:hAnsi="Calibri" w:cs="Times New Roman"/>
          <w:b/>
          <w:lang w:val="es-ES" w:eastAsia="es-ES"/>
        </w:rPr>
        <w:lastRenderedPageBreak/>
        <w:t>Relación de proyectos apoyados.</w:t>
      </w:r>
    </w:p>
    <w:p w14:paraId="43D33D26" w14:textId="47E7141C" w:rsidR="00077C2A" w:rsidRPr="00077C2A" w:rsidRDefault="00077C2A" w:rsidP="00077C2A">
      <w:pPr>
        <w:autoSpaceDE w:val="0"/>
        <w:autoSpaceDN w:val="0"/>
        <w:spacing w:line="276" w:lineRule="auto"/>
        <w:rPr>
          <w:rFonts w:ascii="Calibri" w:eastAsia="Times New Roman" w:hAnsi="Calibri" w:cs="Times New Roman"/>
          <w:sz w:val="20"/>
          <w:szCs w:val="20"/>
          <w:lang w:val="en-US" w:eastAsia="es-ES"/>
        </w:rPr>
      </w:pPr>
    </w:p>
    <w:tbl>
      <w:tblPr>
        <w:tblW w:w="13380" w:type="dxa"/>
        <w:tblInd w:w="55" w:type="dxa"/>
        <w:tblCellMar>
          <w:left w:w="70" w:type="dxa"/>
          <w:right w:w="70" w:type="dxa"/>
        </w:tblCellMar>
        <w:tblLook w:val="04A0" w:firstRow="1" w:lastRow="0" w:firstColumn="1" w:lastColumn="0" w:noHBand="0" w:noVBand="1"/>
      </w:tblPr>
      <w:tblGrid>
        <w:gridCol w:w="4280"/>
        <w:gridCol w:w="2800"/>
        <w:gridCol w:w="1440"/>
        <w:gridCol w:w="1340"/>
        <w:gridCol w:w="1340"/>
        <w:gridCol w:w="2180"/>
      </w:tblGrid>
      <w:tr w:rsidR="00077C2A" w:rsidRPr="00077C2A" w14:paraId="564656D3" w14:textId="77777777" w:rsidTr="008E717E">
        <w:trPr>
          <w:trHeight w:val="1200"/>
        </w:trPr>
        <w:tc>
          <w:tcPr>
            <w:tcW w:w="4280" w:type="dxa"/>
            <w:tcBorders>
              <w:top w:val="single" w:sz="4" w:space="0" w:color="auto"/>
              <w:left w:val="single" w:sz="4" w:space="0" w:color="auto"/>
              <w:bottom w:val="single" w:sz="4" w:space="0" w:color="auto"/>
              <w:right w:val="single" w:sz="4" w:space="0" w:color="auto"/>
            </w:tcBorders>
            <w:shd w:val="clear" w:color="000000" w:fill="B38E5D"/>
            <w:vAlign w:val="center"/>
            <w:hideMark/>
          </w:tcPr>
          <w:p w14:paraId="19DDA270"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Times New Roman"/>
                <w:b/>
                <w:bCs/>
                <w:color w:val="FFFFFF"/>
                <w:sz w:val="22"/>
                <w:szCs w:val="22"/>
                <w:lang w:val="en-US" w:eastAsia="es-ES"/>
              </w:rPr>
              <w:t>NOMBRE DEL PROYECTO</w:t>
            </w:r>
          </w:p>
        </w:tc>
        <w:tc>
          <w:tcPr>
            <w:tcW w:w="2800" w:type="dxa"/>
            <w:tcBorders>
              <w:top w:val="single" w:sz="4" w:space="0" w:color="auto"/>
              <w:left w:val="nil"/>
              <w:bottom w:val="single" w:sz="4" w:space="0" w:color="auto"/>
              <w:right w:val="single" w:sz="4" w:space="0" w:color="auto"/>
            </w:tcBorders>
            <w:shd w:val="clear" w:color="000000" w:fill="B38E5D"/>
            <w:vAlign w:val="center"/>
            <w:hideMark/>
          </w:tcPr>
          <w:p w14:paraId="66AD6F0A"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Times New Roman"/>
                <w:b/>
                <w:bCs/>
                <w:color w:val="FFFFFF"/>
                <w:sz w:val="22"/>
                <w:szCs w:val="22"/>
                <w:lang w:val="en-US" w:eastAsia="es-ES"/>
              </w:rPr>
              <w:t xml:space="preserve">FUENTE DE FINANCIAMIENTO </w:t>
            </w:r>
          </w:p>
        </w:tc>
        <w:tc>
          <w:tcPr>
            <w:tcW w:w="1440" w:type="dxa"/>
            <w:tcBorders>
              <w:top w:val="single" w:sz="4" w:space="0" w:color="auto"/>
              <w:left w:val="nil"/>
              <w:bottom w:val="single" w:sz="4" w:space="0" w:color="auto"/>
              <w:right w:val="single" w:sz="4" w:space="0" w:color="auto"/>
            </w:tcBorders>
            <w:shd w:val="clear" w:color="000000" w:fill="B38E5D"/>
            <w:vAlign w:val="center"/>
            <w:hideMark/>
          </w:tcPr>
          <w:p w14:paraId="2689AFFF"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eastAsia="es-ES"/>
              </w:rPr>
            </w:pPr>
            <w:r w:rsidRPr="00077C2A">
              <w:rPr>
                <w:rFonts w:ascii="Calibri" w:eastAsia="Times New Roman" w:hAnsi="Calibri" w:cs="Times New Roman"/>
                <w:b/>
                <w:bCs/>
                <w:color w:val="FFFFFF"/>
                <w:sz w:val="22"/>
                <w:szCs w:val="22"/>
                <w:lang w:eastAsia="es-ES"/>
              </w:rPr>
              <w:t>INGRESOS RECIBIDOS DEL AÑO 2021 (PESOS)</w:t>
            </w:r>
          </w:p>
        </w:tc>
        <w:tc>
          <w:tcPr>
            <w:tcW w:w="1340" w:type="dxa"/>
            <w:tcBorders>
              <w:top w:val="single" w:sz="4" w:space="0" w:color="auto"/>
              <w:left w:val="nil"/>
              <w:bottom w:val="single" w:sz="4" w:space="0" w:color="auto"/>
              <w:right w:val="single" w:sz="4" w:space="0" w:color="auto"/>
            </w:tcBorders>
            <w:shd w:val="clear" w:color="000000" w:fill="B38E5D"/>
            <w:vAlign w:val="center"/>
            <w:hideMark/>
          </w:tcPr>
          <w:p w14:paraId="0B31898E"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Times New Roman"/>
                <w:b/>
                <w:bCs/>
                <w:color w:val="FFFFFF"/>
                <w:sz w:val="22"/>
                <w:szCs w:val="22"/>
                <w:lang w:val="en-US" w:eastAsia="es-ES"/>
              </w:rPr>
              <w:t>STATUS</w:t>
            </w:r>
          </w:p>
        </w:tc>
        <w:tc>
          <w:tcPr>
            <w:tcW w:w="1340" w:type="dxa"/>
            <w:tcBorders>
              <w:top w:val="single" w:sz="4" w:space="0" w:color="auto"/>
              <w:left w:val="nil"/>
              <w:bottom w:val="single" w:sz="4" w:space="0" w:color="auto"/>
              <w:right w:val="single" w:sz="4" w:space="0" w:color="auto"/>
            </w:tcBorders>
            <w:shd w:val="clear" w:color="000000" w:fill="B38E5D"/>
            <w:vAlign w:val="center"/>
            <w:hideMark/>
          </w:tcPr>
          <w:p w14:paraId="0676BDBE"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Times New Roman"/>
                <w:b/>
                <w:bCs/>
                <w:color w:val="FFFFFF"/>
                <w:sz w:val="22"/>
                <w:szCs w:val="22"/>
                <w:lang w:val="en-US" w:eastAsia="es-ES"/>
              </w:rPr>
              <w:t>% DE AVANCE FINANCIERO</w:t>
            </w:r>
          </w:p>
        </w:tc>
        <w:tc>
          <w:tcPr>
            <w:tcW w:w="2180" w:type="dxa"/>
            <w:tcBorders>
              <w:top w:val="single" w:sz="4" w:space="0" w:color="auto"/>
              <w:left w:val="nil"/>
              <w:bottom w:val="single" w:sz="4" w:space="0" w:color="auto"/>
              <w:right w:val="single" w:sz="4" w:space="0" w:color="auto"/>
            </w:tcBorders>
            <w:shd w:val="clear" w:color="000000" w:fill="B38E5D"/>
            <w:vAlign w:val="center"/>
            <w:hideMark/>
          </w:tcPr>
          <w:p w14:paraId="1459DB7F"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Times New Roman"/>
                <w:b/>
                <w:bCs/>
                <w:color w:val="FFFFFF"/>
                <w:sz w:val="22"/>
                <w:szCs w:val="22"/>
                <w:lang w:val="en-US" w:eastAsia="es-ES"/>
              </w:rPr>
              <w:t>RESPONSABLE</w:t>
            </w:r>
          </w:p>
        </w:tc>
      </w:tr>
      <w:tr w:rsidR="00077C2A" w:rsidRPr="00077C2A" w14:paraId="608229F4" w14:textId="77777777" w:rsidTr="008E717E">
        <w:trPr>
          <w:trHeight w:val="300"/>
        </w:trPr>
        <w:tc>
          <w:tcPr>
            <w:tcW w:w="4280" w:type="dxa"/>
            <w:tcBorders>
              <w:top w:val="nil"/>
              <w:left w:val="nil"/>
              <w:bottom w:val="nil"/>
              <w:right w:val="nil"/>
            </w:tcBorders>
            <w:shd w:val="clear" w:color="auto" w:fill="auto"/>
            <w:vAlign w:val="bottom"/>
            <w:hideMark/>
          </w:tcPr>
          <w:p w14:paraId="637DC5A0"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p>
        </w:tc>
        <w:tc>
          <w:tcPr>
            <w:tcW w:w="2800" w:type="dxa"/>
            <w:tcBorders>
              <w:top w:val="nil"/>
              <w:left w:val="nil"/>
              <w:bottom w:val="nil"/>
              <w:right w:val="nil"/>
            </w:tcBorders>
            <w:shd w:val="clear" w:color="auto" w:fill="auto"/>
            <w:vAlign w:val="bottom"/>
            <w:hideMark/>
          </w:tcPr>
          <w:p w14:paraId="6B137752"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p>
        </w:tc>
        <w:tc>
          <w:tcPr>
            <w:tcW w:w="1440" w:type="dxa"/>
            <w:tcBorders>
              <w:top w:val="nil"/>
              <w:left w:val="nil"/>
              <w:bottom w:val="nil"/>
              <w:right w:val="nil"/>
            </w:tcBorders>
            <w:shd w:val="clear" w:color="auto" w:fill="auto"/>
            <w:vAlign w:val="bottom"/>
            <w:hideMark/>
          </w:tcPr>
          <w:p w14:paraId="64D569B7"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p>
        </w:tc>
        <w:tc>
          <w:tcPr>
            <w:tcW w:w="1340" w:type="dxa"/>
            <w:tcBorders>
              <w:top w:val="nil"/>
              <w:left w:val="nil"/>
              <w:bottom w:val="nil"/>
              <w:right w:val="nil"/>
            </w:tcBorders>
            <w:shd w:val="clear" w:color="auto" w:fill="auto"/>
            <w:vAlign w:val="bottom"/>
            <w:hideMark/>
          </w:tcPr>
          <w:p w14:paraId="6A458518"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p>
        </w:tc>
        <w:tc>
          <w:tcPr>
            <w:tcW w:w="1340" w:type="dxa"/>
            <w:tcBorders>
              <w:top w:val="nil"/>
              <w:left w:val="nil"/>
              <w:bottom w:val="nil"/>
              <w:right w:val="nil"/>
            </w:tcBorders>
            <w:shd w:val="clear" w:color="auto" w:fill="auto"/>
            <w:vAlign w:val="bottom"/>
            <w:hideMark/>
          </w:tcPr>
          <w:p w14:paraId="080FCDFA"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p>
        </w:tc>
        <w:tc>
          <w:tcPr>
            <w:tcW w:w="2180" w:type="dxa"/>
            <w:tcBorders>
              <w:top w:val="nil"/>
              <w:left w:val="nil"/>
              <w:bottom w:val="nil"/>
              <w:right w:val="nil"/>
            </w:tcBorders>
            <w:shd w:val="clear" w:color="auto" w:fill="auto"/>
            <w:vAlign w:val="bottom"/>
            <w:hideMark/>
          </w:tcPr>
          <w:p w14:paraId="615DA4A5"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p>
        </w:tc>
      </w:tr>
      <w:tr w:rsidR="00077C2A" w:rsidRPr="00077C2A" w14:paraId="4579421A" w14:textId="77777777" w:rsidTr="008E717E">
        <w:trPr>
          <w:trHeight w:val="499"/>
        </w:trPr>
        <w:tc>
          <w:tcPr>
            <w:tcW w:w="4280" w:type="dxa"/>
            <w:tcBorders>
              <w:top w:val="single" w:sz="4" w:space="0" w:color="auto"/>
              <w:left w:val="single" w:sz="4" w:space="0" w:color="auto"/>
              <w:bottom w:val="single" w:sz="4" w:space="0" w:color="auto"/>
              <w:right w:val="single" w:sz="4" w:space="0" w:color="auto"/>
            </w:tcBorders>
            <w:shd w:val="clear" w:color="000000" w:fill="621132"/>
            <w:vAlign w:val="center"/>
            <w:hideMark/>
          </w:tcPr>
          <w:p w14:paraId="7C905193" w14:textId="05359888"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RECURSOS SECTORIALES. -</w:t>
            </w:r>
          </w:p>
        </w:tc>
        <w:tc>
          <w:tcPr>
            <w:tcW w:w="2800" w:type="dxa"/>
            <w:tcBorders>
              <w:top w:val="single" w:sz="4" w:space="0" w:color="auto"/>
              <w:left w:val="nil"/>
              <w:bottom w:val="single" w:sz="4" w:space="0" w:color="auto"/>
              <w:right w:val="single" w:sz="4" w:space="0" w:color="auto"/>
            </w:tcBorders>
            <w:shd w:val="clear" w:color="000000" w:fill="621132"/>
            <w:vAlign w:val="center"/>
            <w:hideMark/>
          </w:tcPr>
          <w:p w14:paraId="47966FBC"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 </w:t>
            </w:r>
          </w:p>
        </w:tc>
        <w:tc>
          <w:tcPr>
            <w:tcW w:w="1440" w:type="dxa"/>
            <w:tcBorders>
              <w:top w:val="single" w:sz="4" w:space="0" w:color="auto"/>
              <w:left w:val="nil"/>
              <w:bottom w:val="single" w:sz="4" w:space="0" w:color="auto"/>
              <w:right w:val="single" w:sz="4" w:space="0" w:color="auto"/>
            </w:tcBorders>
            <w:shd w:val="clear" w:color="000000" w:fill="621132"/>
            <w:vAlign w:val="center"/>
            <w:hideMark/>
          </w:tcPr>
          <w:p w14:paraId="71495889"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Times New Roman"/>
                <w:b/>
                <w:bCs/>
                <w:color w:val="FFFFFF"/>
                <w:sz w:val="22"/>
                <w:szCs w:val="22"/>
                <w:lang w:val="en-US" w:eastAsia="es-ES"/>
              </w:rPr>
              <w:t>2,984,805.76</w:t>
            </w:r>
          </w:p>
        </w:tc>
        <w:tc>
          <w:tcPr>
            <w:tcW w:w="1340" w:type="dxa"/>
            <w:tcBorders>
              <w:top w:val="single" w:sz="4" w:space="0" w:color="auto"/>
              <w:left w:val="nil"/>
              <w:bottom w:val="single" w:sz="4" w:space="0" w:color="auto"/>
              <w:right w:val="single" w:sz="4" w:space="0" w:color="auto"/>
            </w:tcBorders>
            <w:shd w:val="clear" w:color="000000" w:fill="621132"/>
            <w:vAlign w:val="center"/>
            <w:hideMark/>
          </w:tcPr>
          <w:p w14:paraId="25D6666C"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 </w:t>
            </w:r>
          </w:p>
        </w:tc>
        <w:tc>
          <w:tcPr>
            <w:tcW w:w="1340" w:type="dxa"/>
            <w:tcBorders>
              <w:top w:val="single" w:sz="4" w:space="0" w:color="auto"/>
              <w:left w:val="nil"/>
              <w:bottom w:val="single" w:sz="4" w:space="0" w:color="auto"/>
              <w:right w:val="single" w:sz="4" w:space="0" w:color="auto"/>
            </w:tcBorders>
            <w:shd w:val="clear" w:color="000000" w:fill="621132"/>
            <w:vAlign w:val="center"/>
            <w:hideMark/>
          </w:tcPr>
          <w:p w14:paraId="2D241161"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 </w:t>
            </w:r>
          </w:p>
        </w:tc>
        <w:tc>
          <w:tcPr>
            <w:tcW w:w="2180" w:type="dxa"/>
            <w:tcBorders>
              <w:top w:val="single" w:sz="4" w:space="0" w:color="auto"/>
              <w:left w:val="nil"/>
              <w:bottom w:val="single" w:sz="4" w:space="0" w:color="auto"/>
              <w:right w:val="single" w:sz="4" w:space="0" w:color="auto"/>
            </w:tcBorders>
            <w:shd w:val="clear" w:color="000000" w:fill="621132"/>
            <w:vAlign w:val="bottom"/>
            <w:hideMark/>
          </w:tcPr>
          <w:p w14:paraId="5BBB8F67"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 </w:t>
            </w:r>
          </w:p>
        </w:tc>
      </w:tr>
      <w:tr w:rsidR="00077C2A" w:rsidRPr="00077C2A" w14:paraId="08412CE7" w14:textId="77777777" w:rsidTr="00077C2A">
        <w:trPr>
          <w:trHeight w:val="1200"/>
        </w:trPr>
        <w:tc>
          <w:tcPr>
            <w:tcW w:w="4280" w:type="dxa"/>
            <w:tcBorders>
              <w:top w:val="nil"/>
              <w:left w:val="single" w:sz="4" w:space="0" w:color="auto"/>
              <w:bottom w:val="single" w:sz="4" w:space="0" w:color="auto"/>
              <w:right w:val="single" w:sz="4" w:space="0" w:color="auto"/>
            </w:tcBorders>
            <w:shd w:val="clear" w:color="auto" w:fill="auto"/>
            <w:vAlign w:val="center"/>
          </w:tcPr>
          <w:p w14:paraId="57E9B78F"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Times New Roman"/>
                <w:color w:val="000000"/>
                <w:sz w:val="22"/>
                <w:szCs w:val="22"/>
                <w:lang w:eastAsia="es-ES"/>
              </w:rPr>
              <w:t>Ciclo doméstico, peridoméstico, silvestre y ecología de la enfermedad de Chagas en regiones focalizadas de Oaxaca y Chiapas, México.</w:t>
            </w:r>
          </w:p>
        </w:tc>
        <w:tc>
          <w:tcPr>
            <w:tcW w:w="2800" w:type="dxa"/>
            <w:tcBorders>
              <w:top w:val="nil"/>
              <w:left w:val="nil"/>
              <w:bottom w:val="single" w:sz="4" w:space="0" w:color="auto"/>
              <w:right w:val="single" w:sz="4" w:space="0" w:color="auto"/>
            </w:tcBorders>
            <w:shd w:val="clear" w:color="auto" w:fill="auto"/>
          </w:tcPr>
          <w:p w14:paraId="3C33DA2B"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Times New Roman"/>
                <w:color w:val="000000"/>
                <w:sz w:val="22"/>
                <w:szCs w:val="22"/>
                <w:lang w:eastAsia="es-ES"/>
              </w:rPr>
              <w:t>Fondo Sectorial de Investigación para la Educación (SEP-CONACYT).</w:t>
            </w:r>
          </w:p>
        </w:tc>
        <w:tc>
          <w:tcPr>
            <w:tcW w:w="1440" w:type="dxa"/>
            <w:tcBorders>
              <w:top w:val="nil"/>
              <w:left w:val="nil"/>
              <w:bottom w:val="single" w:sz="4" w:space="0" w:color="auto"/>
              <w:right w:val="single" w:sz="4" w:space="0" w:color="auto"/>
            </w:tcBorders>
            <w:shd w:val="clear" w:color="auto" w:fill="auto"/>
            <w:noWrap/>
            <w:vAlign w:val="center"/>
          </w:tcPr>
          <w:p w14:paraId="2C4568B5" w14:textId="77777777" w:rsidR="00077C2A" w:rsidRPr="00077C2A" w:rsidRDefault="00077C2A" w:rsidP="00077C2A">
            <w:pPr>
              <w:autoSpaceDE w:val="0"/>
              <w:autoSpaceDN w:val="0"/>
              <w:spacing w:line="276" w:lineRule="auto"/>
              <w:jc w:val="right"/>
              <w:rPr>
                <w:rFonts w:ascii="Arial" w:eastAsia="Times New Roman" w:hAnsi="Arial" w:cs="Arial"/>
                <w:sz w:val="18"/>
                <w:szCs w:val="18"/>
                <w:lang w:val="en-US" w:eastAsia="es-ES"/>
              </w:rPr>
            </w:pPr>
            <w:r w:rsidRPr="00077C2A">
              <w:rPr>
                <w:rFonts w:ascii="Arial" w:eastAsia="Times New Roman" w:hAnsi="Arial" w:cs="Arial"/>
                <w:sz w:val="18"/>
                <w:szCs w:val="18"/>
                <w:lang w:val="en-US" w:eastAsia="es-ES"/>
              </w:rPr>
              <w:t>649,805.76</w:t>
            </w:r>
          </w:p>
        </w:tc>
        <w:tc>
          <w:tcPr>
            <w:tcW w:w="1340" w:type="dxa"/>
            <w:tcBorders>
              <w:top w:val="nil"/>
              <w:left w:val="nil"/>
              <w:bottom w:val="single" w:sz="4" w:space="0" w:color="auto"/>
              <w:right w:val="single" w:sz="4" w:space="0" w:color="auto"/>
            </w:tcBorders>
            <w:shd w:val="clear" w:color="auto" w:fill="auto"/>
            <w:vAlign w:val="center"/>
          </w:tcPr>
          <w:p w14:paraId="7DCEAD5C"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Vigente</w:t>
            </w:r>
          </w:p>
        </w:tc>
        <w:tc>
          <w:tcPr>
            <w:tcW w:w="1340" w:type="dxa"/>
            <w:tcBorders>
              <w:top w:val="nil"/>
              <w:left w:val="nil"/>
              <w:bottom w:val="single" w:sz="4" w:space="0" w:color="auto"/>
              <w:right w:val="single" w:sz="4" w:space="0" w:color="auto"/>
            </w:tcBorders>
            <w:shd w:val="clear" w:color="auto" w:fill="auto"/>
            <w:vAlign w:val="center"/>
          </w:tcPr>
          <w:p w14:paraId="7CDD98CE"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24%</w:t>
            </w:r>
          </w:p>
        </w:tc>
        <w:tc>
          <w:tcPr>
            <w:tcW w:w="2180" w:type="dxa"/>
            <w:tcBorders>
              <w:top w:val="nil"/>
              <w:left w:val="nil"/>
              <w:bottom w:val="single" w:sz="4" w:space="0" w:color="auto"/>
              <w:right w:val="single" w:sz="4" w:space="0" w:color="auto"/>
            </w:tcBorders>
            <w:shd w:val="clear" w:color="auto" w:fill="auto"/>
            <w:vAlign w:val="center"/>
          </w:tcPr>
          <w:p w14:paraId="5C3C16BD"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Ochoa Díaz-López Héctor</w:t>
            </w:r>
          </w:p>
        </w:tc>
      </w:tr>
      <w:tr w:rsidR="00077C2A" w:rsidRPr="00077C2A" w14:paraId="45618730" w14:textId="77777777" w:rsidTr="00077C2A">
        <w:trPr>
          <w:trHeight w:val="680"/>
        </w:trPr>
        <w:tc>
          <w:tcPr>
            <w:tcW w:w="4280" w:type="dxa"/>
            <w:tcBorders>
              <w:top w:val="nil"/>
              <w:left w:val="single" w:sz="4" w:space="0" w:color="auto"/>
              <w:bottom w:val="single" w:sz="4" w:space="0" w:color="auto"/>
              <w:right w:val="single" w:sz="4" w:space="0" w:color="auto"/>
            </w:tcBorders>
            <w:shd w:val="clear" w:color="auto" w:fill="auto"/>
            <w:vAlign w:val="center"/>
          </w:tcPr>
          <w:p w14:paraId="47643E09"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Times New Roman"/>
                <w:color w:val="000000"/>
                <w:sz w:val="22"/>
                <w:szCs w:val="22"/>
                <w:lang w:eastAsia="es-ES"/>
              </w:rPr>
              <w:t>Atlas de los humedales del sur-sureste y sus amenazas</w:t>
            </w:r>
          </w:p>
        </w:tc>
        <w:tc>
          <w:tcPr>
            <w:tcW w:w="2800" w:type="dxa"/>
            <w:tcBorders>
              <w:top w:val="nil"/>
              <w:left w:val="nil"/>
              <w:bottom w:val="single" w:sz="4" w:space="0" w:color="auto"/>
              <w:right w:val="single" w:sz="4" w:space="0" w:color="auto"/>
            </w:tcBorders>
            <w:shd w:val="clear" w:color="auto" w:fill="auto"/>
          </w:tcPr>
          <w:p w14:paraId="6BACA7DF"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Fondo Sectorial CONAGUA</w:t>
            </w:r>
          </w:p>
        </w:tc>
        <w:tc>
          <w:tcPr>
            <w:tcW w:w="1440" w:type="dxa"/>
            <w:tcBorders>
              <w:top w:val="nil"/>
              <w:left w:val="nil"/>
              <w:bottom w:val="single" w:sz="4" w:space="0" w:color="auto"/>
              <w:right w:val="single" w:sz="4" w:space="0" w:color="auto"/>
            </w:tcBorders>
            <w:shd w:val="clear" w:color="auto" w:fill="auto"/>
            <w:noWrap/>
            <w:vAlign w:val="center"/>
          </w:tcPr>
          <w:p w14:paraId="59B11696" w14:textId="77777777" w:rsidR="00077C2A" w:rsidRPr="00077C2A" w:rsidRDefault="00077C2A" w:rsidP="00077C2A">
            <w:pPr>
              <w:autoSpaceDE w:val="0"/>
              <w:autoSpaceDN w:val="0"/>
              <w:spacing w:line="276" w:lineRule="auto"/>
              <w:jc w:val="right"/>
              <w:rPr>
                <w:rFonts w:ascii="Arial" w:eastAsia="Times New Roman" w:hAnsi="Arial" w:cs="Arial"/>
                <w:sz w:val="18"/>
                <w:szCs w:val="18"/>
                <w:lang w:val="en-US" w:eastAsia="es-ES"/>
              </w:rPr>
            </w:pPr>
            <w:r w:rsidRPr="00077C2A">
              <w:rPr>
                <w:rFonts w:ascii="Arial" w:eastAsia="Times New Roman" w:hAnsi="Arial" w:cs="Arial"/>
                <w:sz w:val="18"/>
                <w:szCs w:val="18"/>
                <w:lang w:val="en-US" w:eastAsia="es-ES"/>
              </w:rPr>
              <w:t>1,415,000.00</w:t>
            </w:r>
          </w:p>
        </w:tc>
        <w:tc>
          <w:tcPr>
            <w:tcW w:w="1340" w:type="dxa"/>
            <w:tcBorders>
              <w:top w:val="nil"/>
              <w:left w:val="nil"/>
              <w:bottom w:val="single" w:sz="4" w:space="0" w:color="auto"/>
              <w:right w:val="single" w:sz="4" w:space="0" w:color="auto"/>
            </w:tcBorders>
            <w:shd w:val="clear" w:color="auto" w:fill="auto"/>
            <w:vAlign w:val="center"/>
          </w:tcPr>
          <w:p w14:paraId="79BC6D01"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Vigente</w:t>
            </w:r>
          </w:p>
        </w:tc>
        <w:tc>
          <w:tcPr>
            <w:tcW w:w="1340" w:type="dxa"/>
            <w:tcBorders>
              <w:top w:val="nil"/>
              <w:left w:val="nil"/>
              <w:bottom w:val="single" w:sz="4" w:space="0" w:color="auto"/>
              <w:right w:val="single" w:sz="4" w:space="0" w:color="auto"/>
            </w:tcBorders>
            <w:shd w:val="clear" w:color="auto" w:fill="auto"/>
            <w:vAlign w:val="center"/>
          </w:tcPr>
          <w:p w14:paraId="4CAEAA83"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52%</w:t>
            </w:r>
          </w:p>
        </w:tc>
        <w:tc>
          <w:tcPr>
            <w:tcW w:w="2180" w:type="dxa"/>
            <w:tcBorders>
              <w:top w:val="nil"/>
              <w:left w:val="nil"/>
              <w:bottom w:val="single" w:sz="4" w:space="0" w:color="auto"/>
              <w:right w:val="single" w:sz="4" w:space="0" w:color="auto"/>
            </w:tcBorders>
            <w:shd w:val="clear" w:color="auto" w:fill="auto"/>
            <w:vAlign w:val="center"/>
          </w:tcPr>
          <w:p w14:paraId="63D033D6"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Barba Macías Everardo</w:t>
            </w:r>
          </w:p>
        </w:tc>
      </w:tr>
      <w:tr w:rsidR="00077C2A" w:rsidRPr="00077C2A" w14:paraId="66A1507B" w14:textId="77777777" w:rsidTr="00077C2A">
        <w:trPr>
          <w:trHeight w:val="900"/>
        </w:trPr>
        <w:tc>
          <w:tcPr>
            <w:tcW w:w="4280" w:type="dxa"/>
            <w:tcBorders>
              <w:top w:val="nil"/>
              <w:left w:val="single" w:sz="4" w:space="0" w:color="auto"/>
              <w:bottom w:val="single" w:sz="4" w:space="0" w:color="auto"/>
              <w:right w:val="single" w:sz="4" w:space="0" w:color="auto"/>
            </w:tcBorders>
            <w:shd w:val="clear" w:color="auto" w:fill="auto"/>
            <w:vAlign w:val="center"/>
          </w:tcPr>
          <w:p w14:paraId="498C0C3C"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Times New Roman"/>
                <w:color w:val="000000"/>
                <w:sz w:val="22"/>
                <w:szCs w:val="22"/>
                <w:lang w:eastAsia="es-ES"/>
              </w:rPr>
              <w:t>Modelación Paleo climática en la Península de Yucatán</w:t>
            </w:r>
          </w:p>
        </w:tc>
        <w:tc>
          <w:tcPr>
            <w:tcW w:w="2800" w:type="dxa"/>
            <w:tcBorders>
              <w:top w:val="nil"/>
              <w:left w:val="nil"/>
              <w:bottom w:val="single" w:sz="4" w:space="0" w:color="auto"/>
              <w:right w:val="single" w:sz="4" w:space="0" w:color="auto"/>
            </w:tcBorders>
            <w:shd w:val="clear" w:color="auto" w:fill="auto"/>
          </w:tcPr>
          <w:p w14:paraId="1CBE44CC"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Times New Roman"/>
                <w:color w:val="000000"/>
                <w:sz w:val="22"/>
                <w:szCs w:val="22"/>
                <w:lang w:eastAsia="es-ES"/>
              </w:rPr>
              <w:t>Fondo Sectorial de Investigación para la Educación (SEP-CONACYT).</w:t>
            </w:r>
          </w:p>
        </w:tc>
        <w:tc>
          <w:tcPr>
            <w:tcW w:w="1440" w:type="dxa"/>
            <w:tcBorders>
              <w:top w:val="nil"/>
              <w:left w:val="nil"/>
              <w:bottom w:val="single" w:sz="4" w:space="0" w:color="auto"/>
              <w:right w:val="single" w:sz="4" w:space="0" w:color="auto"/>
            </w:tcBorders>
            <w:shd w:val="clear" w:color="auto" w:fill="auto"/>
            <w:noWrap/>
            <w:vAlign w:val="center"/>
          </w:tcPr>
          <w:p w14:paraId="4A620845" w14:textId="77777777" w:rsidR="00077C2A" w:rsidRPr="00077C2A" w:rsidRDefault="00077C2A" w:rsidP="00077C2A">
            <w:pPr>
              <w:autoSpaceDE w:val="0"/>
              <w:autoSpaceDN w:val="0"/>
              <w:spacing w:line="276" w:lineRule="auto"/>
              <w:jc w:val="right"/>
              <w:rPr>
                <w:rFonts w:ascii="Arial" w:eastAsia="Times New Roman" w:hAnsi="Arial" w:cs="Arial"/>
                <w:sz w:val="18"/>
                <w:szCs w:val="18"/>
                <w:lang w:val="en-US" w:eastAsia="es-ES"/>
              </w:rPr>
            </w:pPr>
            <w:r w:rsidRPr="00077C2A">
              <w:rPr>
                <w:rFonts w:ascii="Arial" w:eastAsia="Times New Roman" w:hAnsi="Arial" w:cs="Arial"/>
                <w:sz w:val="18"/>
                <w:szCs w:val="18"/>
                <w:lang w:val="en-US" w:eastAsia="es-ES"/>
              </w:rPr>
              <w:t>920,000.00</w:t>
            </w:r>
          </w:p>
        </w:tc>
        <w:tc>
          <w:tcPr>
            <w:tcW w:w="1340" w:type="dxa"/>
            <w:tcBorders>
              <w:top w:val="nil"/>
              <w:left w:val="nil"/>
              <w:bottom w:val="single" w:sz="4" w:space="0" w:color="auto"/>
              <w:right w:val="single" w:sz="4" w:space="0" w:color="auto"/>
            </w:tcBorders>
            <w:shd w:val="clear" w:color="auto" w:fill="auto"/>
            <w:vAlign w:val="center"/>
          </w:tcPr>
          <w:p w14:paraId="2DE427D1"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Vigente</w:t>
            </w:r>
          </w:p>
        </w:tc>
        <w:tc>
          <w:tcPr>
            <w:tcW w:w="1340" w:type="dxa"/>
            <w:tcBorders>
              <w:top w:val="nil"/>
              <w:left w:val="nil"/>
              <w:bottom w:val="single" w:sz="4" w:space="0" w:color="auto"/>
              <w:right w:val="single" w:sz="4" w:space="0" w:color="auto"/>
            </w:tcBorders>
            <w:shd w:val="clear" w:color="auto" w:fill="auto"/>
            <w:vAlign w:val="center"/>
          </w:tcPr>
          <w:p w14:paraId="24D85438"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37%</w:t>
            </w:r>
          </w:p>
        </w:tc>
        <w:tc>
          <w:tcPr>
            <w:tcW w:w="2180" w:type="dxa"/>
            <w:tcBorders>
              <w:top w:val="nil"/>
              <w:left w:val="nil"/>
              <w:bottom w:val="single" w:sz="4" w:space="0" w:color="auto"/>
              <w:right w:val="single" w:sz="4" w:space="0" w:color="auto"/>
            </w:tcBorders>
            <w:shd w:val="clear" w:color="auto" w:fill="auto"/>
            <w:vAlign w:val="center"/>
          </w:tcPr>
          <w:p w14:paraId="1A23B346"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Torrescano Valle Nuria</w:t>
            </w:r>
          </w:p>
        </w:tc>
      </w:tr>
      <w:tr w:rsidR="00077C2A" w:rsidRPr="00077C2A" w14:paraId="3BC9340D" w14:textId="77777777" w:rsidTr="008E717E">
        <w:trPr>
          <w:trHeight w:val="300"/>
        </w:trPr>
        <w:tc>
          <w:tcPr>
            <w:tcW w:w="4280" w:type="dxa"/>
            <w:tcBorders>
              <w:top w:val="single" w:sz="4" w:space="0" w:color="auto"/>
              <w:bottom w:val="single" w:sz="4" w:space="0" w:color="auto"/>
            </w:tcBorders>
            <w:shd w:val="clear" w:color="auto" w:fill="auto"/>
            <w:vAlign w:val="bottom"/>
          </w:tcPr>
          <w:p w14:paraId="55996689"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p>
        </w:tc>
        <w:tc>
          <w:tcPr>
            <w:tcW w:w="2800" w:type="dxa"/>
            <w:tcBorders>
              <w:top w:val="single" w:sz="4" w:space="0" w:color="auto"/>
              <w:bottom w:val="single" w:sz="4" w:space="0" w:color="auto"/>
            </w:tcBorders>
            <w:shd w:val="clear" w:color="auto" w:fill="auto"/>
            <w:vAlign w:val="bottom"/>
          </w:tcPr>
          <w:p w14:paraId="78FF662A"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p>
        </w:tc>
        <w:tc>
          <w:tcPr>
            <w:tcW w:w="1440" w:type="dxa"/>
            <w:tcBorders>
              <w:top w:val="single" w:sz="4" w:space="0" w:color="auto"/>
              <w:bottom w:val="single" w:sz="4" w:space="0" w:color="auto"/>
            </w:tcBorders>
            <w:shd w:val="clear" w:color="auto" w:fill="auto"/>
            <w:noWrap/>
            <w:vAlign w:val="bottom"/>
          </w:tcPr>
          <w:p w14:paraId="78FF55A3" w14:textId="77777777" w:rsidR="00077C2A" w:rsidRPr="00077C2A" w:rsidRDefault="00077C2A" w:rsidP="00077C2A">
            <w:pPr>
              <w:autoSpaceDE w:val="0"/>
              <w:autoSpaceDN w:val="0"/>
              <w:spacing w:line="276" w:lineRule="auto"/>
              <w:rPr>
                <w:rFonts w:ascii="Arial" w:eastAsia="Times New Roman" w:hAnsi="Arial" w:cs="Arial"/>
                <w:sz w:val="22"/>
                <w:szCs w:val="22"/>
                <w:lang w:val="en-US" w:eastAsia="es-ES"/>
              </w:rPr>
            </w:pPr>
          </w:p>
        </w:tc>
        <w:tc>
          <w:tcPr>
            <w:tcW w:w="1340" w:type="dxa"/>
            <w:tcBorders>
              <w:top w:val="single" w:sz="4" w:space="0" w:color="auto"/>
              <w:bottom w:val="single" w:sz="4" w:space="0" w:color="auto"/>
            </w:tcBorders>
            <w:shd w:val="clear" w:color="auto" w:fill="auto"/>
            <w:vAlign w:val="bottom"/>
          </w:tcPr>
          <w:p w14:paraId="76853C22"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p>
        </w:tc>
        <w:tc>
          <w:tcPr>
            <w:tcW w:w="1340" w:type="dxa"/>
            <w:tcBorders>
              <w:top w:val="single" w:sz="4" w:space="0" w:color="auto"/>
              <w:bottom w:val="single" w:sz="4" w:space="0" w:color="auto"/>
            </w:tcBorders>
            <w:shd w:val="clear" w:color="auto" w:fill="auto"/>
            <w:vAlign w:val="bottom"/>
            <w:hideMark/>
          </w:tcPr>
          <w:p w14:paraId="7060D02C"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 </w:t>
            </w:r>
          </w:p>
        </w:tc>
        <w:tc>
          <w:tcPr>
            <w:tcW w:w="2180" w:type="dxa"/>
            <w:tcBorders>
              <w:top w:val="single" w:sz="4" w:space="0" w:color="auto"/>
              <w:bottom w:val="single" w:sz="4" w:space="0" w:color="auto"/>
            </w:tcBorders>
            <w:shd w:val="clear" w:color="auto" w:fill="auto"/>
            <w:vAlign w:val="bottom"/>
            <w:hideMark/>
          </w:tcPr>
          <w:p w14:paraId="4D1F1082"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 </w:t>
            </w:r>
          </w:p>
        </w:tc>
      </w:tr>
      <w:tr w:rsidR="00077C2A" w:rsidRPr="00077C2A" w14:paraId="399F8F6C" w14:textId="77777777" w:rsidTr="008E717E">
        <w:trPr>
          <w:trHeight w:val="499"/>
        </w:trPr>
        <w:tc>
          <w:tcPr>
            <w:tcW w:w="4280" w:type="dxa"/>
            <w:tcBorders>
              <w:top w:val="single" w:sz="4" w:space="0" w:color="auto"/>
              <w:left w:val="single" w:sz="4" w:space="0" w:color="auto"/>
              <w:bottom w:val="single" w:sz="4" w:space="0" w:color="auto"/>
              <w:right w:val="single" w:sz="4" w:space="0" w:color="auto"/>
            </w:tcBorders>
            <w:shd w:val="clear" w:color="000000" w:fill="621132"/>
            <w:vAlign w:val="center"/>
            <w:hideMark/>
          </w:tcPr>
          <w:p w14:paraId="30DEB4FC"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FONDOS INSTITUCIONALES</w:t>
            </w:r>
          </w:p>
        </w:tc>
        <w:tc>
          <w:tcPr>
            <w:tcW w:w="2800" w:type="dxa"/>
            <w:tcBorders>
              <w:top w:val="single" w:sz="4" w:space="0" w:color="auto"/>
              <w:left w:val="nil"/>
              <w:bottom w:val="single" w:sz="4" w:space="0" w:color="auto"/>
              <w:right w:val="single" w:sz="4" w:space="0" w:color="auto"/>
            </w:tcBorders>
            <w:shd w:val="clear" w:color="000000" w:fill="621132"/>
            <w:vAlign w:val="center"/>
            <w:hideMark/>
          </w:tcPr>
          <w:p w14:paraId="6AD1EE5A"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 </w:t>
            </w:r>
          </w:p>
        </w:tc>
        <w:tc>
          <w:tcPr>
            <w:tcW w:w="1440" w:type="dxa"/>
            <w:tcBorders>
              <w:top w:val="single" w:sz="4" w:space="0" w:color="auto"/>
              <w:left w:val="nil"/>
              <w:bottom w:val="single" w:sz="4" w:space="0" w:color="auto"/>
              <w:right w:val="single" w:sz="4" w:space="0" w:color="auto"/>
            </w:tcBorders>
            <w:shd w:val="clear" w:color="000000" w:fill="621132"/>
            <w:vAlign w:val="center"/>
            <w:hideMark/>
          </w:tcPr>
          <w:p w14:paraId="12B1E57D"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Times New Roman"/>
                <w:b/>
                <w:bCs/>
                <w:color w:val="FFFFFF"/>
                <w:sz w:val="22"/>
                <w:szCs w:val="22"/>
                <w:lang w:val="en-US" w:eastAsia="es-ES"/>
              </w:rPr>
              <w:t>5,838,705.56</w:t>
            </w:r>
          </w:p>
        </w:tc>
        <w:tc>
          <w:tcPr>
            <w:tcW w:w="1340" w:type="dxa"/>
            <w:tcBorders>
              <w:top w:val="single" w:sz="4" w:space="0" w:color="auto"/>
              <w:left w:val="nil"/>
              <w:bottom w:val="single" w:sz="4" w:space="0" w:color="auto"/>
              <w:right w:val="single" w:sz="4" w:space="0" w:color="auto"/>
            </w:tcBorders>
            <w:shd w:val="clear" w:color="000000" w:fill="621132"/>
            <w:vAlign w:val="center"/>
            <w:hideMark/>
          </w:tcPr>
          <w:p w14:paraId="4DBDAA60"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 </w:t>
            </w:r>
          </w:p>
        </w:tc>
        <w:tc>
          <w:tcPr>
            <w:tcW w:w="1340" w:type="dxa"/>
            <w:tcBorders>
              <w:top w:val="single" w:sz="4" w:space="0" w:color="auto"/>
              <w:left w:val="nil"/>
              <w:bottom w:val="single" w:sz="4" w:space="0" w:color="auto"/>
              <w:right w:val="single" w:sz="4" w:space="0" w:color="auto"/>
            </w:tcBorders>
            <w:shd w:val="clear" w:color="000000" w:fill="621132"/>
            <w:vAlign w:val="center"/>
            <w:hideMark/>
          </w:tcPr>
          <w:p w14:paraId="003E0709"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 </w:t>
            </w:r>
          </w:p>
        </w:tc>
        <w:tc>
          <w:tcPr>
            <w:tcW w:w="2180" w:type="dxa"/>
            <w:tcBorders>
              <w:top w:val="single" w:sz="4" w:space="0" w:color="auto"/>
              <w:left w:val="nil"/>
              <w:bottom w:val="single" w:sz="4" w:space="0" w:color="auto"/>
              <w:right w:val="single" w:sz="4" w:space="0" w:color="auto"/>
            </w:tcBorders>
            <w:shd w:val="clear" w:color="000000" w:fill="621132"/>
            <w:vAlign w:val="bottom"/>
            <w:hideMark/>
          </w:tcPr>
          <w:p w14:paraId="66A095CC"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 </w:t>
            </w:r>
          </w:p>
        </w:tc>
      </w:tr>
      <w:tr w:rsidR="00077C2A" w:rsidRPr="00077C2A" w14:paraId="19B06BBB" w14:textId="77777777" w:rsidTr="00077C2A">
        <w:trPr>
          <w:trHeight w:val="900"/>
        </w:trPr>
        <w:tc>
          <w:tcPr>
            <w:tcW w:w="4280" w:type="dxa"/>
            <w:tcBorders>
              <w:top w:val="single" w:sz="4" w:space="0" w:color="auto"/>
              <w:left w:val="single" w:sz="4" w:space="0" w:color="auto"/>
              <w:bottom w:val="single" w:sz="4" w:space="0" w:color="auto"/>
              <w:right w:val="single" w:sz="4" w:space="0" w:color="auto"/>
            </w:tcBorders>
            <w:shd w:val="clear" w:color="auto" w:fill="auto"/>
            <w:vAlign w:val="bottom"/>
          </w:tcPr>
          <w:p w14:paraId="394E0212"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Times New Roman"/>
                <w:color w:val="000000"/>
                <w:sz w:val="22"/>
                <w:szCs w:val="22"/>
                <w:lang w:eastAsia="es-ES"/>
              </w:rPr>
              <w:t>Fortalecimiento de infraestructura y acreditación de métodos analíticos para evaluación de riesgos por exposición a contaminantes en escenarios rurales vulnerables del sureste de México.</w:t>
            </w:r>
          </w:p>
        </w:tc>
        <w:tc>
          <w:tcPr>
            <w:tcW w:w="2800" w:type="dxa"/>
            <w:tcBorders>
              <w:top w:val="single" w:sz="4" w:space="0" w:color="auto"/>
              <w:left w:val="nil"/>
              <w:bottom w:val="single" w:sz="4" w:space="0" w:color="auto"/>
              <w:right w:val="single" w:sz="4" w:space="0" w:color="auto"/>
            </w:tcBorders>
            <w:shd w:val="clear" w:color="auto" w:fill="auto"/>
          </w:tcPr>
          <w:p w14:paraId="00B22C3B"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Times New Roman"/>
                <w:color w:val="000000"/>
                <w:sz w:val="22"/>
                <w:szCs w:val="22"/>
                <w:lang w:eastAsia="es-ES"/>
              </w:rPr>
              <w:t>Consejo Nacional de Ciencia y Tecnología (CONACYT).</w:t>
            </w:r>
          </w:p>
        </w:tc>
        <w:tc>
          <w:tcPr>
            <w:tcW w:w="1440" w:type="dxa"/>
            <w:tcBorders>
              <w:top w:val="single" w:sz="4" w:space="0" w:color="auto"/>
              <w:left w:val="nil"/>
              <w:bottom w:val="single" w:sz="4" w:space="0" w:color="auto"/>
              <w:right w:val="single" w:sz="4" w:space="0" w:color="auto"/>
            </w:tcBorders>
            <w:shd w:val="clear" w:color="auto" w:fill="auto"/>
            <w:vAlign w:val="bottom"/>
          </w:tcPr>
          <w:p w14:paraId="4E57960B" w14:textId="77777777" w:rsidR="00077C2A" w:rsidRPr="00077C2A" w:rsidRDefault="00077C2A" w:rsidP="00077C2A">
            <w:pPr>
              <w:autoSpaceDE w:val="0"/>
              <w:autoSpaceDN w:val="0"/>
              <w:spacing w:line="276" w:lineRule="auto"/>
              <w:jc w:val="right"/>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5,500,000.00</w:t>
            </w:r>
          </w:p>
        </w:tc>
        <w:tc>
          <w:tcPr>
            <w:tcW w:w="1340" w:type="dxa"/>
            <w:tcBorders>
              <w:top w:val="single" w:sz="4" w:space="0" w:color="auto"/>
              <w:left w:val="nil"/>
              <w:bottom w:val="single" w:sz="4" w:space="0" w:color="auto"/>
              <w:right w:val="single" w:sz="4" w:space="0" w:color="auto"/>
            </w:tcBorders>
            <w:shd w:val="clear" w:color="auto" w:fill="auto"/>
            <w:vAlign w:val="bottom"/>
          </w:tcPr>
          <w:p w14:paraId="11241032"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Vigente</w:t>
            </w:r>
          </w:p>
        </w:tc>
        <w:tc>
          <w:tcPr>
            <w:tcW w:w="1340" w:type="dxa"/>
            <w:tcBorders>
              <w:top w:val="single" w:sz="4" w:space="0" w:color="auto"/>
              <w:left w:val="nil"/>
              <w:bottom w:val="single" w:sz="4" w:space="0" w:color="auto"/>
              <w:right w:val="single" w:sz="4" w:space="0" w:color="auto"/>
            </w:tcBorders>
            <w:shd w:val="clear" w:color="auto" w:fill="auto"/>
            <w:vAlign w:val="bottom"/>
          </w:tcPr>
          <w:p w14:paraId="2F8E1832"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0%</w:t>
            </w:r>
          </w:p>
        </w:tc>
        <w:tc>
          <w:tcPr>
            <w:tcW w:w="2180" w:type="dxa"/>
            <w:tcBorders>
              <w:top w:val="single" w:sz="4" w:space="0" w:color="auto"/>
              <w:left w:val="nil"/>
              <w:bottom w:val="single" w:sz="4" w:space="0" w:color="auto"/>
              <w:right w:val="single" w:sz="4" w:space="0" w:color="auto"/>
            </w:tcBorders>
            <w:shd w:val="clear" w:color="auto" w:fill="auto"/>
            <w:vAlign w:val="bottom"/>
          </w:tcPr>
          <w:p w14:paraId="7942FB52"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Torres Dosal Arturo</w:t>
            </w:r>
          </w:p>
        </w:tc>
      </w:tr>
      <w:tr w:rsidR="00077C2A" w:rsidRPr="00077C2A" w14:paraId="28164D1C" w14:textId="77777777" w:rsidTr="00077C2A">
        <w:trPr>
          <w:trHeight w:val="300"/>
        </w:trPr>
        <w:tc>
          <w:tcPr>
            <w:tcW w:w="4280" w:type="dxa"/>
            <w:tcBorders>
              <w:top w:val="nil"/>
              <w:left w:val="single" w:sz="4" w:space="0" w:color="auto"/>
              <w:bottom w:val="single" w:sz="4" w:space="0" w:color="auto"/>
              <w:right w:val="single" w:sz="4" w:space="0" w:color="auto"/>
            </w:tcBorders>
            <w:shd w:val="clear" w:color="auto" w:fill="auto"/>
            <w:vAlign w:val="bottom"/>
          </w:tcPr>
          <w:p w14:paraId="2021B0FD"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Times New Roman"/>
                <w:color w:val="000000"/>
                <w:sz w:val="22"/>
                <w:szCs w:val="22"/>
                <w:lang w:eastAsia="es-ES"/>
              </w:rPr>
              <w:lastRenderedPageBreak/>
              <w:t xml:space="preserve">Influencia de la infección por trypanosoma cruzi en la comunicación intra-específica de chinches chagasicas: un primer paso hacia la prevención de la enfermedad de Chagas        </w:t>
            </w:r>
          </w:p>
        </w:tc>
        <w:tc>
          <w:tcPr>
            <w:tcW w:w="2800" w:type="dxa"/>
            <w:tcBorders>
              <w:top w:val="nil"/>
              <w:left w:val="nil"/>
              <w:bottom w:val="single" w:sz="4" w:space="0" w:color="auto"/>
              <w:right w:val="single" w:sz="4" w:space="0" w:color="auto"/>
            </w:tcBorders>
            <w:shd w:val="clear" w:color="auto" w:fill="auto"/>
          </w:tcPr>
          <w:p w14:paraId="478F9B66"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CONACYT - UNAM</w:t>
            </w:r>
          </w:p>
        </w:tc>
        <w:tc>
          <w:tcPr>
            <w:tcW w:w="1440" w:type="dxa"/>
            <w:tcBorders>
              <w:top w:val="nil"/>
              <w:left w:val="nil"/>
              <w:bottom w:val="single" w:sz="4" w:space="0" w:color="auto"/>
              <w:right w:val="single" w:sz="4" w:space="0" w:color="auto"/>
            </w:tcBorders>
            <w:shd w:val="clear" w:color="auto" w:fill="auto"/>
            <w:vAlign w:val="bottom"/>
          </w:tcPr>
          <w:p w14:paraId="6B496873" w14:textId="77777777" w:rsidR="00077C2A" w:rsidRPr="00077C2A" w:rsidRDefault="00077C2A" w:rsidP="00077C2A">
            <w:pPr>
              <w:autoSpaceDE w:val="0"/>
              <w:autoSpaceDN w:val="0"/>
              <w:spacing w:line="276" w:lineRule="auto"/>
              <w:jc w:val="right"/>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105,000.00</w:t>
            </w:r>
          </w:p>
        </w:tc>
        <w:tc>
          <w:tcPr>
            <w:tcW w:w="1340" w:type="dxa"/>
            <w:tcBorders>
              <w:top w:val="nil"/>
              <w:left w:val="nil"/>
              <w:bottom w:val="single" w:sz="4" w:space="0" w:color="auto"/>
              <w:right w:val="single" w:sz="4" w:space="0" w:color="auto"/>
            </w:tcBorders>
            <w:shd w:val="clear" w:color="auto" w:fill="auto"/>
            <w:vAlign w:val="bottom"/>
          </w:tcPr>
          <w:p w14:paraId="7A390028"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Vigente</w:t>
            </w:r>
          </w:p>
        </w:tc>
        <w:tc>
          <w:tcPr>
            <w:tcW w:w="1340" w:type="dxa"/>
            <w:tcBorders>
              <w:top w:val="nil"/>
              <w:left w:val="nil"/>
              <w:bottom w:val="single" w:sz="4" w:space="0" w:color="auto"/>
              <w:right w:val="single" w:sz="4" w:space="0" w:color="auto"/>
            </w:tcBorders>
            <w:shd w:val="clear" w:color="auto" w:fill="auto"/>
            <w:vAlign w:val="bottom"/>
          </w:tcPr>
          <w:p w14:paraId="77C7EC73"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0%</w:t>
            </w:r>
          </w:p>
        </w:tc>
        <w:tc>
          <w:tcPr>
            <w:tcW w:w="2180" w:type="dxa"/>
            <w:tcBorders>
              <w:top w:val="nil"/>
              <w:left w:val="nil"/>
              <w:bottom w:val="single" w:sz="4" w:space="0" w:color="auto"/>
              <w:right w:val="single" w:sz="4" w:space="0" w:color="auto"/>
            </w:tcBorders>
            <w:shd w:val="clear" w:color="auto" w:fill="auto"/>
            <w:vAlign w:val="bottom"/>
          </w:tcPr>
          <w:p w14:paraId="4BC6E399"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Cruz López Leopoldo Caridad</w:t>
            </w:r>
          </w:p>
        </w:tc>
      </w:tr>
      <w:tr w:rsidR="00077C2A" w:rsidRPr="00077C2A" w14:paraId="01A7DC91" w14:textId="77777777" w:rsidTr="00077C2A">
        <w:trPr>
          <w:trHeight w:val="300"/>
        </w:trPr>
        <w:tc>
          <w:tcPr>
            <w:tcW w:w="4280" w:type="dxa"/>
            <w:tcBorders>
              <w:top w:val="nil"/>
              <w:left w:val="single" w:sz="4" w:space="0" w:color="auto"/>
              <w:bottom w:val="single" w:sz="4" w:space="0" w:color="auto"/>
              <w:right w:val="single" w:sz="4" w:space="0" w:color="auto"/>
            </w:tcBorders>
            <w:shd w:val="clear" w:color="auto" w:fill="auto"/>
            <w:vAlign w:val="bottom"/>
          </w:tcPr>
          <w:p w14:paraId="7A98ED8E"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From traditional uses to an integrated valorisation of sediments in the Usumacinta River Basin</w:t>
            </w:r>
          </w:p>
        </w:tc>
        <w:tc>
          <w:tcPr>
            <w:tcW w:w="2800" w:type="dxa"/>
            <w:tcBorders>
              <w:top w:val="nil"/>
              <w:left w:val="nil"/>
              <w:bottom w:val="single" w:sz="4" w:space="0" w:color="auto"/>
              <w:right w:val="single" w:sz="4" w:space="0" w:color="auto"/>
            </w:tcBorders>
            <w:shd w:val="clear" w:color="auto" w:fill="auto"/>
          </w:tcPr>
          <w:p w14:paraId="57DE5E3D"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Times New Roman"/>
                <w:color w:val="000000"/>
                <w:sz w:val="22"/>
                <w:szCs w:val="22"/>
                <w:lang w:eastAsia="es-ES"/>
              </w:rPr>
              <w:t>Centro del Cambio Global y la Sustentabilidad en el Sureste, A.C.</w:t>
            </w:r>
          </w:p>
        </w:tc>
        <w:tc>
          <w:tcPr>
            <w:tcW w:w="1440" w:type="dxa"/>
            <w:tcBorders>
              <w:top w:val="nil"/>
              <w:left w:val="nil"/>
              <w:bottom w:val="single" w:sz="4" w:space="0" w:color="auto"/>
              <w:right w:val="single" w:sz="4" w:space="0" w:color="auto"/>
            </w:tcBorders>
            <w:shd w:val="clear" w:color="auto" w:fill="auto"/>
            <w:vAlign w:val="bottom"/>
          </w:tcPr>
          <w:p w14:paraId="08D23B88" w14:textId="77777777" w:rsidR="00077C2A" w:rsidRPr="00077C2A" w:rsidRDefault="00077C2A" w:rsidP="00077C2A">
            <w:pPr>
              <w:autoSpaceDE w:val="0"/>
              <w:autoSpaceDN w:val="0"/>
              <w:spacing w:line="276" w:lineRule="auto"/>
              <w:jc w:val="right"/>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212,705.56</w:t>
            </w:r>
          </w:p>
        </w:tc>
        <w:tc>
          <w:tcPr>
            <w:tcW w:w="1340" w:type="dxa"/>
            <w:tcBorders>
              <w:top w:val="nil"/>
              <w:left w:val="nil"/>
              <w:bottom w:val="single" w:sz="4" w:space="0" w:color="auto"/>
              <w:right w:val="single" w:sz="4" w:space="0" w:color="auto"/>
            </w:tcBorders>
            <w:shd w:val="clear" w:color="auto" w:fill="auto"/>
            <w:vAlign w:val="bottom"/>
          </w:tcPr>
          <w:p w14:paraId="04427D11"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Vigente</w:t>
            </w:r>
          </w:p>
        </w:tc>
        <w:tc>
          <w:tcPr>
            <w:tcW w:w="1340" w:type="dxa"/>
            <w:tcBorders>
              <w:top w:val="nil"/>
              <w:left w:val="nil"/>
              <w:bottom w:val="single" w:sz="4" w:space="0" w:color="auto"/>
              <w:right w:val="single" w:sz="4" w:space="0" w:color="auto"/>
            </w:tcBorders>
            <w:shd w:val="clear" w:color="auto" w:fill="auto"/>
            <w:vAlign w:val="bottom"/>
          </w:tcPr>
          <w:p w14:paraId="05C4B28C"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77%</w:t>
            </w:r>
          </w:p>
        </w:tc>
        <w:tc>
          <w:tcPr>
            <w:tcW w:w="2180" w:type="dxa"/>
            <w:tcBorders>
              <w:top w:val="nil"/>
              <w:left w:val="nil"/>
              <w:bottom w:val="single" w:sz="4" w:space="0" w:color="auto"/>
              <w:right w:val="single" w:sz="4" w:space="0" w:color="auto"/>
            </w:tcBorders>
            <w:shd w:val="clear" w:color="auto" w:fill="auto"/>
            <w:vAlign w:val="bottom"/>
          </w:tcPr>
          <w:p w14:paraId="66024F44"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Van der Wal Johannes Cornelis</w:t>
            </w:r>
          </w:p>
        </w:tc>
      </w:tr>
      <w:tr w:rsidR="00077C2A" w:rsidRPr="00077C2A" w14:paraId="5567FA1B" w14:textId="77777777" w:rsidTr="00077C2A">
        <w:trPr>
          <w:trHeight w:val="300"/>
        </w:trPr>
        <w:tc>
          <w:tcPr>
            <w:tcW w:w="4280" w:type="dxa"/>
            <w:tcBorders>
              <w:top w:val="nil"/>
              <w:left w:val="single" w:sz="4" w:space="0" w:color="auto"/>
              <w:bottom w:val="single" w:sz="4" w:space="0" w:color="auto"/>
              <w:right w:val="single" w:sz="4" w:space="0" w:color="auto"/>
            </w:tcBorders>
            <w:shd w:val="clear" w:color="auto" w:fill="auto"/>
            <w:vAlign w:val="bottom"/>
          </w:tcPr>
          <w:p w14:paraId="1FC559A1"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Times New Roman"/>
                <w:color w:val="000000"/>
                <w:sz w:val="22"/>
                <w:szCs w:val="22"/>
                <w:lang w:eastAsia="es-ES"/>
              </w:rPr>
              <w:t>Descifrando el microbioma de la piel en ajolotes y las consecuencias de la interacción huésped-microbioma sobre una enfermedad letal emergente</w:t>
            </w:r>
          </w:p>
        </w:tc>
        <w:tc>
          <w:tcPr>
            <w:tcW w:w="2800" w:type="dxa"/>
            <w:tcBorders>
              <w:top w:val="nil"/>
              <w:left w:val="nil"/>
              <w:bottom w:val="single" w:sz="4" w:space="0" w:color="auto"/>
              <w:right w:val="single" w:sz="4" w:space="0" w:color="auto"/>
            </w:tcBorders>
            <w:shd w:val="clear" w:color="auto" w:fill="auto"/>
          </w:tcPr>
          <w:p w14:paraId="710C3CBE"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CONACYT - UNAM</w:t>
            </w:r>
          </w:p>
        </w:tc>
        <w:tc>
          <w:tcPr>
            <w:tcW w:w="1440" w:type="dxa"/>
            <w:tcBorders>
              <w:top w:val="nil"/>
              <w:left w:val="nil"/>
              <w:bottom w:val="single" w:sz="4" w:space="0" w:color="auto"/>
              <w:right w:val="single" w:sz="4" w:space="0" w:color="auto"/>
            </w:tcBorders>
            <w:shd w:val="clear" w:color="auto" w:fill="auto"/>
            <w:vAlign w:val="bottom"/>
          </w:tcPr>
          <w:p w14:paraId="7D8346C2" w14:textId="77777777" w:rsidR="00077C2A" w:rsidRPr="00077C2A" w:rsidRDefault="00077C2A" w:rsidP="00077C2A">
            <w:pPr>
              <w:autoSpaceDE w:val="0"/>
              <w:autoSpaceDN w:val="0"/>
              <w:spacing w:line="276" w:lineRule="auto"/>
              <w:jc w:val="right"/>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21,000.00</w:t>
            </w:r>
          </w:p>
        </w:tc>
        <w:tc>
          <w:tcPr>
            <w:tcW w:w="1340" w:type="dxa"/>
            <w:tcBorders>
              <w:top w:val="nil"/>
              <w:left w:val="nil"/>
              <w:bottom w:val="single" w:sz="4" w:space="0" w:color="auto"/>
              <w:right w:val="single" w:sz="4" w:space="0" w:color="auto"/>
            </w:tcBorders>
            <w:shd w:val="clear" w:color="auto" w:fill="auto"/>
            <w:vAlign w:val="bottom"/>
          </w:tcPr>
          <w:p w14:paraId="303E8121"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Vigente</w:t>
            </w:r>
          </w:p>
        </w:tc>
        <w:tc>
          <w:tcPr>
            <w:tcW w:w="1340" w:type="dxa"/>
            <w:tcBorders>
              <w:top w:val="nil"/>
              <w:left w:val="nil"/>
              <w:bottom w:val="single" w:sz="4" w:space="0" w:color="auto"/>
              <w:right w:val="single" w:sz="4" w:space="0" w:color="auto"/>
            </w:tcBorders>
            <w:shd w:val="clear" w:color="auto" w:fill="auto"/>
            <w:vAlign w:val="bottom"/>
          </w:tcPr>
          <w:p w14:paraId="68ECA42E"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0%</w:t>
            </w:r>
          </w:p>
        </w:tc>
        <w:tc>
          <w:tcPr>
            <w:tcW w:w="2180" w:type="dxa"/>
            <w:tcBorders>
              <w:top w:val="nil"/>
              <w:left w:val="nil"/>
              <w:bottom w:val="single" w:sz="4" w:space="0" w:color="auto"/>
              <w:right w:val="single" w:sz="4" w:space="0" w:color="auto"/>
            </w:tcBorders>
            <w:shd w:val="clear" w:color="auto" w:fill="auto"/>
            <w:vAlign w:val="bottom"/>
          </w:tcPr>
          <w:p w14:paraId="596366B4"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Castellanos Morales Gabriela</w:t>
            </w:r>
          </w:p>
        </w:tc>
      </w:tr>
    </w:tbl>
    <w:p w14:paraId="4B0346E6" w14:textId="77777777" w:rsidR="00077C2A" w:rsidRPr="00077C2A" w:rsidRDefault="00077C2A" w:rsidP="00077C2A">
      <w:pPr>
        <w:autoSpaceDE w:val="0"/>
        <w:autoSpaceDN w:val="0"/>
        <w:spacing w:line="276" w:lineRule="auto"/>
        <w:rPr>
          <w:rFonts w:ascii="Calibri" w:eastAsia="Times New Roman" w:hAnsi="Calibri" w:cs="Times New Roman"/>
          <w:sz w:val="20"/>
          <w:szCs w:val="20"/>
          <w:lang w:val="en-US" w:eastAsia="es-ES"/>
        </w:rPr>
      </w:pPr>
    </w:p>
    <w:tbl>
      <w:tblPr>
        <w:tblW w:w="13380" w:type="dxa"/>
        <w:tblInd w:w="55" w:type="dxa"/>
        <w:tblCellMar>
          <w:left w:w="70" w:type="dxa"/>
          <w:right w:w="70" w:type="dxa"/>
        </w:tblCellMar>
        <w:tblLook w:val="04A0" w:firstRow="1" w:lastRow="0" w:firstColumn="1" w:lastColumn="0" w:noHBand="0" w:noVBand="1"/>
      </w:tblPr>
      <w:tblGrid>
        <w:gridCol w:w="4280"/>
        <w:gridCol w:w="2800"/>
        <w:gridCol w:w="1440"/>
        <w:gridCol w:w="1340"/>
        <w:gridCol w:w="1340"/>
        <w:gridCol w:w="2180"/>
      </w:tblGrid>
      <w:tr w:rsidR="00077C2A" w:rsidRPr="00077C2A" w14:paraId="4D688452" w14:textId="77777777" w:rsidTr="008E717E">
        <w:trPr>
          <w:trHeight w:val="1200"/>
        </w:trPr>
        <w:tc>
          <w:tcPr>
            <w:tcW w:w="4280" w:type="dxa"/>
            <w:tcBorders>
              <w:top w:val="single" w:sz="4" w:space="0" w:color="auto"/>
              <w:left w:val="single" w:sz="4" w:space="0" w:color="auto"/>
              <w:bottom w:val="single" w:sz="4" w:space="0" w:color="auto"/>
              <w:right w:val="single" w:sz="4" w:space="0" w:color="auto"/>
            </w:tcBorders>
            <w:shd w:val="clear" w:color="000000" w:fill="B38E5D"/>
            <w:vAlign w:val="center"/>
            <w:hideMark/>
          </w:tcPr>
          <w:p w14:paraId="57C3BD12"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Times New Roman"/>
                <w:b/>
                <w:bCs/>
                <w:color w:val="FFFFFF"/>
                <w:sz w:val="22"/>
                <w:szCs w:val="22"/>
                <w:lang w:val="en-US" w:eastAsia="es-ES"/>
              </w:rPr>
              <w:t>NOMBRE DEL PROYECTO</w:t>
            </w:r>
          </w:p>
        </w:tc>
        <w:tc>
          <w:tcPr>
            <w:tcW w:w="2800" w:type="dxa"/>
            <w:tcBorders>
              <w:top w:val="single" w:sz="4" w:space="0" w:color="auto"/>
              <w:left w:val="nil"/>
              <w:bottom w:val="single" w:sz="4" w:space="0" w:color="auto"/>
              <w:right w:val="single" w:sz="4" w:space="0" w:color="auto"/>
            </w:tcBorders>
            <w:shd w:val="clear" w:color="000000" w:fill="B38E5D"/>
            <w:vAlign w:val="center"/>
            <w:hideMark/>
          </w:tcPr>
          <w:p w14:paraId="0B393B60"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Times New Roman"/>
                <w:b/>
                <w:bCs/>
                <w:color w:val="FFFFFF"/>
                <w:sz w:val="22"/>
                <w:szCs w:val="22"/>
                <w:lang w:val="en-US" w:eastAsia="es-ES"/>
              </w:rPr>
              <w:t xml:space="preserve">FUENTE DE FINANCIAMIENTO </w:t>
            </w:r>
          </w:p>
        </w:tc>
        <w:tc>
          <w:tcPr>
            <w:tcW w:w="1440" w:type="dxa"/>
            <w:tcBorders>
              <w:top w:val="single" w:sz="4" w:space="0" w:color="auto"/>
              <w:left w:val="nil"/>
              <w:bottom w:val="single" w:sz="4" w:space="0" w:color="auto"/>
              <w:right w:val="single" w:sz="4" w:space="0" w:color="auto"/>
            </w:tcBorders>
            <w:shd w:val="clear" w:color="000000" w:fill="B38E5D"/>
            <w:vAlign w:val="center"/>
            <w:hideMark/>
          </w:tcPr>
          <w:p w14:paraId="2DA79191"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eastAsia="es-ES"/>
              </w:rPr>
            </w:pPr>
            <w:r w:rsidRPr="00077C2A">
              <w:rPr>
                <w:rFonts w:ascii="Calibri" w:eastAsia="Times New Roman" w:hAnsi="Calibri" w:cs="Times New Roman"/>
                <w:b/>
                <w:bCs/>
                <w:color w:val="FFFFFF"/>
                <w:sz w:val="22"/>
                <w:szCs w:val="22"/>
                <w:lang w:eastAsia="es-ES"/>
              </w:rPr>
              <w:t>INGRESOS RECIBIDOS DEL AÑO 2020 (PESOS)</w:t>
            </w:r>
          </w:p>
        </w:tc>
        <w:tc>
          <w:tcPr>
            <w:tcW w:w="1340" w:type="dxa"/>
            <w:tcBorders>
              <w:top w:val="single" w:sz="4" w:space="0" w:color="auto"/>
              <w:left w:val="nil"/>
              <w:bottom w:val="single" w:sz="4" w:space="0" w:color="auto"/>
              <w:right w:val="single" w:sz="4" w:space="0" w:color="auto"/>
            </w:tcBorders>
            <w:shd w:val="clear" w:color="000000" w:fill="B38E5D"/>
            <w:vAlign w:val="center"/>
            <w:hideMark/>
          </w:tcPr>
          <w:p w14:paraId="10882A4A"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Times New Roman"/>
                <w:b/>
                <w:bCs/>
                <w:color w:val="FFFFFF"/>
                <w:sz w:val="22"/>
                <w:szCs w:val="22"/>
                <w:lang w:val="en-US" w:eastAsia="es-ES"/>
              </w:rPr>
              <w:t>STATUS</w:t>
            </w:r>
          </w:p>
        </w:tc>
        <w:tc>
          <w:tcPr>
            <w:tcW w:w="1340" w:type="dxa"/>
            <w:tcBorders>
              <w:top w:val="single" w:sz="4" w:space="0" w:color="auto"/>
              <w:left w:val="nil"/>
              <w:bottom w:val="single" w:sz="4" w:space="0" w:color="auto"/>
              <w:right w:val="single" w:sz="4" w:space="0" w:color="auto"/>
            </w:tcBorders>
            <w:shd w:val="clear" w:color="000000" w:fill="B38E5D"/>
            <w:vAlign w:val="center"/>
            <w:hideMark/>
          </w:tcPr>
          <w:p w14:paraId="52CB1EB7"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Times New Roman"/>
                <w:b/>
                <w:bCs/>
                <w:color w:val="FFFFFF"/>
                <w:sz w:val="22"/>
                <w:szCs w:val="22"/>
                <w:lang w:val="en-US" w:eastAsia="es-ES"/>
              </w:rPr>
              <w:t>% DE AVANCE FINANCIERO</w:t>
            </w:r>
          </w:p>
        </w:tc>
        <w:tc>
          <w:tcPr>
            <w:tcW w:w="2180" w:type="dxa"/>
            <w:tcBorders>
              <w:top w:val="single" w:sz="4" w:space="0" w:color="auto"/>
              <w:left w:val="nil"/>
              <w:bottom w:val="single" w:sz="4" w:space="0" w:color="auto"/>
              <w:right w:val="single" w:sz="4" w:space="0" w:color="auto"/>
            </w:tcBorders>
            <w:shd w:val="clear" w:color="000000" w:fill="B38E5D"/>
            <w:vAlign w:val="center"/>
            <w:hideMark/>
          </w:tcPr>
          <w:p w14:paraId="55663768"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Times New Roman"/>
                <w:b/>
                <w:bCs/>
                <w:color w:val="FFFFFF"/>
                <w:sz w:val="22"/>
                <w:szCs w:val="22"/>
                <w:lang w:val="en-US" w:eastAsia="es-ES"/>
              </w:rPr>
              <w:t>RESPONSABLE</w:t>
            </w:r>
          </w:p>
        </w:tc>
      </w:tr>
      <w:tr w:rsidR="00077C2A" w:rsidRPr="00077C2A" w14:paraId="44E8AE13" w14:textId="77777777" w:rsidTr="008E717E">
        <w:trPr>
          <w:trHeight w:val="300"/>
        </w:trPr>
        <w:tc>
          <w:tcPr>
            <w:tcW w:w="4280" w:type="dxa"/>
            <w:tcBorders>
              <w:top w:val="nil"/>
              <w:left w:val="nil"/>
              <w:bottom w:val="nil"/>
              <w:right w:val="nil"/>
            </w:tcBorders>
            <w:shd w:val="clear" w:color="auto" w:fill="auto"/>
            <w:vAlign w:val="bottom"/>
            <w:hideMark/>
          </w:tcPr>
          <w:p w14:paraId="3DA91B13"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p>
        </w:tc>
        <w:tc>
          <w:tcPr>
            <w:tcW w:w="2800" w:type="dxa"/>
            <w:tcBorders>
              <w:top w:val="nil"/>
              <w:left w:val="nil"/>
              <w:bottom w:val="nil"/>
              <w:right w:val="nil"/>
            </w:tcBorders>
            <w:shd w:val="clear" w:color="auto" w:fill="auto"/>
            <w:vAlign w:val="bottom"/>
            <w:hideMark/>
          </w:tcPr>
          <w:p w14:paraId="1B808737"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p>
        </w:tc>
        <w:tc>
          <w:tcPr>
            <w:tcW w:w="1440" w:type="dxa"/>
            <w:tcBorders>
              <w:top w:val="nil"/>
              <w:left w:val="nil"/>
              <w:bottom w:val="nil"/>
              <w:right w:val="nil"/>
            </w:tcBorders>
            <w:shd w:val="clear" w:color="auto" w:fill="auto"/>
            <w:vAlign w:val="bottom"/>
            <w:hideMark/>
          </w:tcPr>
          <w:p w14:paraId="2CCFFE42"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p>
        </w:tc>
        <w:tc>
          <w:tcPr>
            <w:tcW w:w="1340" w:type="dxa"/>
            <w:tcBorders>
              <w:top w:val="nil"/>
              <w:left w:val="nil"/>
              <w:bottom w:val="nil"/>
              <w:right w:val="nil"/>
            </w:tcBorders>
            <w:shd w:val="clear" w:color="auto" w:fill="auto"/>
            <w:vAlign w:val="bottom"/>
            <w:hideMark/>
          </w:tcPr>
          <w:p w14:paraId="4259E312"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p>
        </w:tc>
        <w:tc>
          <w:tcPr>
            <w:tcW w:w="1340" w:type="dxa"/>
            <w:tcBorders>
              <w:top w:val="nil"/>
              <w:left w:val="nil"/>
              <w:bottom w:val="nil"/>
              <w:right w:val="nil"/>
            </w:tcBorders>
            <w:shd w:val="clear" w:color="auto" w:fill="auto"/>
            <w:vAlign w:val="bottom"/>
            <w:hideMark/>
          </w:tcPr>
          <w:p w14:paraId="0D69131E"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p>
        </w:tc>
        <w:tc>
          <w:tcPr>
            <w:tcW w:w="2180" w:type="dxa"/>
            <w:tcBorders>
              <w:top w:val="nil"/>
              <w:left w:val="nil"/>
              <w:bottom w:val="nil"/>
              <w:right w:val="nil"/>
            </w:tcBorders>
            <w:shd w:val="clear" w:color="auto" w:fill="auto"/>
            <w:vAlign w:val="bottom"/>
            <w:hideMark/>
          </w:tcPr>
          <w:p w14:paraId="130F16C1"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p>
        </w:tc>
      </w:tr>
      <w:tr w:rsidR="00077C2A" w:rsidRPr="00077C2A" w14:paraId="459F4EE0" w14:textId="77777777" w:rsidTr="008E717E">
        <w:trPr>
          <w:trHeight w:val="499"/>
        </w:trPr>
        <w:tc>
          <w:tcPr>
            <w:tcW w:w="4280" w:type="dxa"/>
            <w:tcBorders>
              <w:top w:val="single" w:sz="4" w:space="0" w:color="auto"/>
              <w:left w:val="single" w:sz="4" w:space="0" w:color="auto"/>
              <w:bottom w:val="single" w:sz="4" w:space="0" w:color="auto"/>
              <w:right w:val="single" w:sz="4" w:space="0" w:color="auto"/>
            </w:tcBorders>
            <w:shd w:val="clear" w:color="000000" w:fill="621132"/>
            <w:vAlign w:val="center"/>
            <w:hideMark/>
          </w:tcPr>
          <w:p w14:paraId="2D6ADF14"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RECURSOS SECTORIALES.-</w:t>
            </w:r>
          </w:p>
        </w:tc>
        <w:tc>
          <w:tcPr>
            <w:tcW w:w="2800" w:type="dxa"/>
            <w:tcBorders>
              <w:top w:val="single" w:sz="4" w:space="0" w:color="auto"/>
              <w:left w:val="nil"/>
              <w:bottom w:val="single" w:sz="4" w:space="0" w:color="auto"/>
              <w:right w:val="single" w:sz="4" w:space="0" w:color="auto"/>
            </w:tcBorders>
            <w:shd w:val="clear" w:color="000000" w:fill="621132"/>
            <w:vAlign w:val="center"/>
            <w:hideMark/>
          </w:tcPr>
          <w:p w14:paraId="77FCC360"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 </w:t>
            </w:r>
          </w:p>
        </w:tc>
        <w:tc>
          <w:tcPr>
            <w:tcW w:w="1440" w:type="dxa"/>
            <w:tcBorders>
              <w:top w:val="single" w:sz="4" w:space="0" w:color="auto"/>
              <w:left w:val="nil"/>
              <w:bottom w:val="single" w:sz="4" w:space="0" w:color="auto"/>
              <w:right w:val="single" w:sz="4" w:space="0" w:color="auto"/>
            </w:tcBorders>
            <w:shd w:val="clear" w:color="000000" w:fill="621132"/>
            <w:vAlign w:val="center"/>
            <w:hideMark/>
          </w:tcPr>
          <w:p w14:paraId="36E03429"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5,825,637.80</w:t>
            </w:r>
          </w:p>
        </w:tc>
        <w:tc>
          <w:tcPr>
            <w:tcW w:w="1340" w:type="dxa"/>
            <w:tcBorders>
              <w:top w:val="single" w:sz="4" w:space="0" w:color="auto"/>
              <w:left w:val="nil"/>
              <w:bottom w:val="single" w:sz="4" w:space="0" w:color="auto"/>
              <w:right w:val="single" w:sz="4" w:space="0" w:color="auto"/>
            </w:tcBorders>
            <w:shd w:val="clear" w:color="000000" w:fill="621132"/>
            <w:vAlign w:val="center"/>
            <w:hideMark/>
          </w:tcPr>
          <w:p w14:paraId="523DCD27"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 </w:t>
            </w:r>
          </w:p>
        </w:tc>
        <w:tc>
          <w:tcPr>
            <w:tcW w:w="1340" w:type="dxa"/>
            <w:tcBorders>
              <w:top w:val="single" w:sz="4" w:space="0" w:color="auto"/>
              <w:left w:val="nil"/>
              <w:bottom w:val="single" w:sz="4" w:space="0" w:color="auto"/>
              <w:right w:val="single" w:sz="4" w:space="0" w:color="auto"/>
            </w:tcBorders>
            <w:shd w:val="clear" w:color="000000" w:fill="621132"/>
            <w:vAlign w:val="center"/>
            <w:hideMark/>
          </w:tcPr>
          <w:p w14:paraId="27F43D37"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 </w:t>
            </w:r>
          </w:p>
        </w:tc>
        <w:tc>
          <w:tcPr>
            <w:tcW w:w="2180" w:type="dxa"/>
            <w:tcBorders>
              <w:top w:val="single" w:sz="4" w:space="0" w:color="auto"/>
              <w:left w:val="nil"/>
              <w:bottom w:val="single" w:sz="4" w:space="0" w:color="auto"/>
              <w:right w:val="single" w:sz="4" w:space="0" w:color="auto"/>
            </w:tcBorders>
            <w:shd w:val="clear" w:color="000000" w:fill="621132"/>
            <w:vAlign w:val="bottom"/>
            <w:hideMark/>
          </w:tcPr>
          <w:p w14:paraId="5FDD3DF8"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 </w:t>
            </w:r>
          </w:p>
        </w:tc>
      </w:tr>
      <w:tr w:rsidR="00077C2A" w:rsidRPr="00077C2A" w14:paraId="40199C2D" w14:textId="77777777" w:rsidTr="00077C2A">
        <w:trPr>
          <w:trHeight w:val="654"/>
        </w:trPr>
        <w:tc>
          <w:tcPr>
            <w:tcW w:w="4280" w:type="dxa"/>
            <w:tcBorders>
              <w:top w:val="nil"/>
              <w:left w:val="single" w:sz="4" w:space="0" w:color="auto"/>
              <w:bottom w:val="single" w:sz="4" w:space="0" w:color="auto"/>
              <w:right w:val="single" w:sz="4" w:space="0" w:color="auto"/>
            </w:tcBorders>
            <w:shd w:val="clear" w:color="auto" w:fill="auto"/>
            <w:vAlign w:val="bottom"/>
          </w:tcPr>
          <w:p w14:paraId="0BA1C3EA"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Calibri"/>
                <w:color w:val="000000"/>
                <w:sz w:val="22"/>
                <w:szCs w:val="22"/>
                <w:lang w:eastAsia="es-ES"/>
              </w:rPr>
              <w:t>Cambios en el clima y en el uso del suelo como determinantes de la alteración espacial y la estructura de las comunidades de insectos en sistemas montañosos del sur de México.</w:t>
            </w:r>
          </w:p>
        </w:tc>
        <w:tc>
          <w:tcPr>
            <w:tcW w:w="2800" w:type="dxa"/>
            <w:tcBorders>
              <w:top w:val="nil"/>
              <w:left w:val="nil"/>
              <w:bottom w:val="single" w:sz="4" w:space="0" w:color="auto"/>
              <w:right w:val="single" w:sz="4" w:space="0" w:color="auto"/>
            </w:tcBorders>
            <w:shd w:val="clear" w:color="auto" w:fill="auto"/>
          </w:tcPr>
          <w:p w14:paraId="57E5A7FF"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Calibri"/>
                <w:color w:val="000000"/>
                <w:sz w:val="22"/>
                <w:szCs w:val="22"/>
                <w:lang w:eastAsia="es-ES"/>
              </w:rPr>
              <w:t>Fondo Sectorial de Investigación para la Educación (SEP-CONACYT).</w:t>
            </w:r>
          </w:p>
        </w:tc>
        <w:tc>
          <w:tcPr>
            <w:tcW w:w="1440" w:type="dxa"/>
            <w:tcBorders>
              <w:top w:val="nil"/>
              <w:left w:val="nil"/>
              <w:bottom w:val="single" w:sz="4" w:space="0" w:color="auto"/>
              <w:right w:val="single" w:sz="4" w:space="0" w:color="auto"/>
            </w:tcBorders>
            <w:shd w:val="clear" w:color="auto" w:fill="auto"/>
            <w:noWrap/>
            <w:vAlign w:val="bottom"/>
          </w:tcPr>
          <w:p w14:paraId="206AC020" w14:textId="77777777" w:rsidR="00077C2A" w:rsidRPr="00077C2A" w:rsidRDefault="00077C2A" w:rsidP="00077C2A">
            <w:pPr>
              <w:autoSpaceDE w:val="0"/>
              <w:autoSpaceDN w:val="0"/>
              <w:spacing w:line="276" w:lineRule="auto"/>
              <w:jc w:val="right"/>
              <w:rPr>
                <w:rFonts w:ascii="Arial" w:eastAsia="Times New Roman" w:hAnsi="Arial" w:cs="Arial"/>
                <w:sz w:val="18"/>
                <w:szCs w:val="18"/>
                <w:lang w:val="en-US" w:eastAsia="es-ES"/>
              </w:rPr>
            </w:pPr>
            <w:r w:rsidRPr="00077C2A">
              <w:rPr>
                <w:rFonts w:ascii="Arial" w:eastAsia="Times New Roman" w:hAnsi="Arial" w:cs="Arial"/>
                <w:sz w:val="18"/>
                <w:szCs w:val="18"/>
                <w:lang w:val="en-US" w:eastAsia="es-ES"/>
              </w:rPr>
              <w:t>564,000.00</w:t>
            </w:r>
          </w:p>
        </w:tc>
        <w:tc>
          <w:tcPr>
            <w:tcW w:w="1340" w:type="dxa"/>
            <w:tcBorders>
              <w:top w:val="nil"/>
              <w:left w:val="nil"/>
              <w:bottom w:val="single" w:sz="4" w:space="0" w:color="auto"/>
              <w:right w:val="single" w:sz="4" w:space="0" w:color="auto"/>
            </w:tcBorders>
            <w:shd w:val="clear" w:color="auto" w:fill="auto"/>
            <w:vAlign w:val="bottom"/>
          </w:tcPr>
          <w:p w14:paraId="3A5940FA"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Vigente</w:t>
            </w:r>
          </w:p>
        </w:tc>
        <w:tc>
          <w:tcPr>
            <w:tcW w:w="1340" w:type="dxa"/>
            <w:tcBorders>
              <w:top w:val="nil"/>
              <w:left w:val="nil"/>
              <w:bottom w:val="single" w:sz="4" w:space="0" w:color="auto"/>
              <w:right w:val="single" w:sz="4" w:space="0" w:color="auto"/>
            </w:tcBorders>
            <w:shd w:val="clear" w:color="auto" w:fill="auto"/>
            <w:vAlign w:val="bottom"/>
          </w:tcPr>
          <w:p w14:paraId="0D1E76E3"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66%</w:t>
            </w:r>
          </w:p>
        </w:tc>
        <w:tc>
          <w:tcPr>
            <w:tcW w:w="2180" w:type="dxa"/>
            <w:tcBorders>
              <w:top w:val="nil"/>
              <w:left w:val="nil"/>
              <w:bottom w:val="single" w:sz="4" w:space="0" w:color="auto"/>
              <w:right w:val="single" w:sz="4" w:space="0" w:color="auto"/>
            </w:tcBorders>
            <w:shd w:val="clear" w:color="auto" w:fill="auto"/>
            <w:vAlign w:val="bottom"/>
          </w:tcPr>
          <w:p w14:paraId="64C3A18D"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León Cortés Jorge Leonel</w:t>
            </w:r>
          </w:p>
        </w:tc>
      </w:tr>
      <w:tr w:rsidR="00077C2A" w:rsidRPr="00077C2A" w14:paraId="6A302C0F" w14:textId="77777777" w:rsidTr="00077C2A">
        <w:trPr>
          <w:trHeight w:val="1500"/>
        </w:trPr>
        <w:tc>
          <w:tcPr>
            <w:tcW w:w="4280" w:type="dxa"/>
            <w:tcBorders>
              <w:top w:val="nil"/>
              <w:left w:val="single" w:sz="4" w:space="0" w:color="auto"/>
              <w:bottom w:val="single" w:sz="4" w:space="0" w:color="auto"/>
              <w:right w:val="single" w:sz="4" w:space="0" w:color="auto"/>
            </w:tcBorders>
            <w:shd w:val="clear" w:color="auto" w:fill="auto"/>
            <w:vAlign w:val="bottom"/>
          </w:tcPr>
          <w:p w14:paraId="31895127"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Calibri"/>
                <w:color w:val="000000"/>
                <w:sz w:val="22"/>
                <w:szCs w:val="22"/>
                <w:lang w:eastAsia="es-ES"/>
              </w:rPr>
              <w:lastRenderedPageBreak/>
              <w:t>Manejo sustentable de polinizadores: estatus actual, factores de riesgo y estrategias para el aprovechamiento de las abejas melíferas y silvestres en sistemas de agricultura protegida y en cultivos a campo abierto en México.</w:t>
            </w:r>
          </w:p>
        </w:tc>
        <w:tc>
          <w:tcPr>
            <w:tcW w:w="2800" w:type="dxa"/>
            <w:tcBorders>
              <w:top w:val="nil"/>
              <w:left w:val="nil"/>
              <w:bottom w:val="single" w:sz="4" w:space="0" w:color="auto"/>
              <w:right w:val="single" w:sz="4" w:space="0" w:color="auto"/>
            </w:tcBorders>
            <w:shd w:val="clear" w:color="auto" w:fill="auto"/>
          </w:tcPr>
          <w:p w14:paraId="7BFB00BC"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Calibri"/>
                <w:color w:val="000000"/>
                <w:sz w:val="22"/>
                <w:szCs w:val="22"/>
                <w:lang w:eastAsia="es-ES"/>
              </w:rPr>
              <w:t>Fondo Sectorial SAGARPA-CONACYT (UNAM Morelia)</w:t>
            </w:r>
          </w:p>
        </w:tc>
        <w:tc>
          <w:tcPr>
            <w:tcW w:w="1440" w:type="dxa"/>
            <w:tcBorders>
              <w:top w:val="nil"/>
              <w:left w:val="nil"/>
              <w:bottom w:val="single" w:sz="4" w:space="0" w:color="auto"/>
              <w:right w:val="single" w:sz="4" w:space="0" w:color="auto"/>
            </w:tcBorders>
            <w:shd w:val="clear" w:color="auto" w:fill="auto"/>
            <w:noWrap/>
            <w:vAlign w:val="bottom"/>
          </w:tcPr>
          <w:p w14:paraId="675815A5" w14:textId="77777777" w:rsidR="00077C2A" w:rsidRPr="00077C2A" w:rsidRDefault="00077C2A" w:rsidP="00077C2A">
            <w:pPr>
              <w:autoSpaceDE w:val="0"/>
              <w:autoSpaceDN w:val="0"/>
              <w:spacing w:line="276" w:lineRule="auto"/>
              <w:jc w:val="right"/>
              <w:rPr>
                <w:rFonts w:ascii="Arial" w:eastAsia="Times New Roman" w:hAnsi="Arial" w:cs="Arial"/>
                <w:sz w:val="18"/>
                <w:szCs w:val="18"/>
                <w:lang w:val="en-US" w:eastAsia="es-ES"/>
              </w:rPr>
            </w:pPr>
            <w:r w:rsidRPr="00077C2A">
              <w:rPr>
                <w:rFonts w:ascii="Arial" w:eastAsia="Times New Roman" w:hAnsi="Arial" w:cs="Arial"/>
                <w:sz w:val="18"/>
                <w:szCs w:val="18"/>
                <w:lang w:val="en-US" w:eastAsia="es-ES"/>
              </w:rPr>
              <w:t>1,786,000.00</w:t>
            </w:r>
          </w:p>
        </w:tc>
        <w:tc>
          <w:tcPr>
            <w:tcW w:w="1340" w:type="dxa"/>
            <w:tcBorders>
              <w:top w:val="nil"/>
              <w:left w:val="nil"/>
              <w:bottom w:val="single" w:sz="4" w:space="0" w:color="auto"/>
              <w:right w:val="single" w:sz="4" w:space="0" w:color="auto"/>
            </w:tcBorders>
            <w:shd w:val="clear" w:color="auto" w:fill="auto"/>
            <w:vAlign w:val="bottom"/>
          </w:tcPr>
          <w:p w14:paraId="394343C4"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Vigente</w:t>
            </w:r>
          </w:p>
        </w:tc>
        <w:tc>
          <w:tcPr>
            <w:tcW w:w="1340" w:type="dxa"/>
            <w:tcBorders>
              <w:top w:val="nil"/>
              <w:left w:val="nil"/>
              <w:bottom w:val="single" w:sz="4" w:space="0" w:color="auto"/>
              <w:right w:val="single" w:sz="4" w:space="0" w:color="auto"/>
            </w:tcBorders>
            <w:shd w:val="clear" w:color="auto" w:fill="auto"/>
            <w:vAlign w:val="bottom"/>
          </w:tcPr>
          <w:p w14:paraId="648B9476"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77%</w:t>
            </w:r>
          </w:p>
        </w:tc>
        <w:tc>
          <w:tcPr>
            <w:tcW w:w="2180" w:type="dxa"/>
            <w:tcBorders>
              <w:top w:val="nil"/>
              <w:left w:val="nil"/>
              <w:bottom w:val="single" w:sz="4" w:space="0" w:color="auto"/>
              <w:right w:val="single" w:sz="4" w:space="0" w:color="auto"/>
            </w:tcBorders>
            <w:shd w:val="clear" w:color="auto" w:fill="auto"/>
            <w:vAlign w:val="bottom"/>
          </w:tcPr>
          <w:p w14:paraId="59CB6009"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Vandame Remy Benoit Marie</w:t>
            </w:r>
          </w:p>
        </w:tc>
      </w:tr>
      <w:tr w:rsidR="00077C2A" w:rsidRPr="00077C2A" w14:paraId="1677A24D" w14:textId="77777777" w:rsidTr="00077C2A">
        <w:trPr>
          <w:trHeight w:val="900"/>
        </w:trPr>
        <w:tc>
          <w:tcPr>
            <w:tcW w:w="4280" w:type="dxa"/>
            <w:tcBorders>
              <w:top w:val="single" w:sz="4" w:space="0" w:color="auto"/>
              <w:left w:val="single" w:sz="4" w:space="0" w:color="auto"/>
              <w:bottom w:val="single" w:sz="4" w:space="0" w:color="auto"/>
              <w:right w:val="single" w:sz="4" w:space="0" w:color="auto"/>
            </w:tcBorders>
            <w:shd w:val="clear" w:color="auto" w:fill="auto"/>
            <w:vAlign w:val="bottom"/>
          </w:tcPr>
          <w:p w14:paraId="55171FC7"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Calibri"/>
                <w:color w:val="000000"/>
                <w:sz w:val="22"/>
                <w:szCs w:val="22"/>
                <w:lang w:eastAsia="es-ES"/>
              </w:rPr>
              <w:t>Impacto del uso de los plaguicidas y los cultivos genéticamente modificados utilizados en la agricultura altamente tecnificada sobre la diversidad de insectos polinizadores en seis regiones de México.</w:t>
            </w:r>
          </w:p>
        </w:tc>
        <w:tc>
          <w:tcPr>
            <w:tcW w:w="2800" w:type="dxa"/>
            <w:tcBorders>
              <w:top w:val="single" w:sz="4" w:space="0" w:color="auto"/>
              <w:left w:val="nil"/>
              <w:bottom w:val="single" w:sz="4" w:space="0" w:color="auto"/>
              <w:right w:val="single" w:sz="4" w:space="0" w:color="auto"/>
            </w:tcBorders>
            <w:shd w:val="clear" w:color="auto" w:fill="auto"/>
          </w:tcPr>
          <w:p w14:paraId="732AF772"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Fondo Sectorial SEMARNAT-CONACyT</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5263CEAB" w14:textId="77777777" w:rsidR="00077C2A" w:rsidRPr="00077C2A" w:rsidRDefault="00077C2A" w:rsidP="00077C2A">
            <w:pPr>
              <w:autoSpaceDE w:val="0"/>
              <w:autoSpaceDN w:val="0"/>
              <w:spacing w:line="276" w:lineRule="auto"/>
              <w:jc w:val="right"/>
              <w:rPr>
                <w:rFonts w:ascii="Arial" w:eastAsia="Times New Roman" w:hAnsi="Arial" w:cs="Arial"/>
                <w:sz w:val="18"/>
                <w:szCs w:val="18"/>
                <w:lang w:val="en-US" w:eastAsia="es-ES"/>
              </w:rPr>
            </w:pPr>
            <w:r w:rsidRPr="00077C2A">
              <w:rPr>
                <w:rFonts w:ascii="Arial" w:eastAsia="Times New Roman" w:hAnsi="Arial" w:cs="Arial"/>
                <w:sz w:val="18"/>
                <w:szCs w:val="18"/>
                <w:lang w:val="en-US" w:eastAsia="es-ES"/>
              </w:rPr>
              <w:t>788,850.00</w:t>
            </w:r>
          </w:p>
        </w:tc>
        <w:tc>
          <w:tcPr>
            <w:tcW w:w="1340" w:type="dxa"/>
            <w:tcBorders>
              <w:top w:val="single" w:sz="4" w:space="0" w:color="auto"/>
              <w:left w:val="nil"/>
              <w:bottom w:val="single" w:sz="4" w:space="0" w:color="auto"/>
              <w:right w:val="single" w:sz="4" w:space="0" w:color="auto"/>
            </w:tcBorders>
            <w:shd w:val="clear" w:color="auto" w:fill="auto"/>
            <w:vAlign w:val="bottom"/>
          </w:tcPr>
          <w:p w14:paraId="59FC5282"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Vigente</w:t>
            </w:r>
          </w:p>
        </w:tc>
        <w:tc>
          <w:tcPr>
            <w:tcW w:w="1340" w:type="dxa"/>
            <w:tcBorders>
              <w:top w:val="single" w:sz="4" w:space="0" w:color="auto"/>
              <w:left w:val="nil"/>
              <w:bottom w:val="single" w:sz="4" w:space="0" w:color="auto"/>
              <w:right w:val="single" w:sz="4" w:space="0" w:color="auto"/>
            </w:tcBorders>
            <w:shd w:val="clear" w:color="auto" w:fill="auto"/>
            <w:vAlign w:val="bottom"/>
          </w:tcPr>
          <w:p w14:paraId="3FF61DA4"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0%</w:t>
            </w:r>
          </w:p>
        </w:tc>
        <w:tc>
          <w:tcPr>
            <w:tcW w:w="2180" w:type="dxa"/>
            <w:tcBorders>
              <w:top w:val="single" w:sz="4" w:space="0" w:color="auto"/>
              <w:left w:val="nil"/>
              <w:bottom w:val="single" w:sz="4" w:space="0" w:color="auto"/>
              <w:right w:val="single" w:sz="4" w:space="0" w:color="auto"/>
            </w:tcBorders>
            <w:shd w:val="clear" w:color="auto" w:fill="auto"/>
            <w:vAlign w:val="bottom"/>
          </w:tcPr>
          <w:p w14:paraId="5FDC034E"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Vandame Remy Benoit Marie</w:t>
            </w:r>
          </w:p>
        </w:tc>
      </w:tr>
      <w:tr w:rsidR="00077C2A" w:rsidRPr="00077C2A" w14:paraId="4DEB4AD0" w14:textId="77777777" w:rsidTr="00077C2A">
        <w:tc>
          <w:tcPr>
            <w:tcW w:w="4280" w:type="dxa"/>
            <w:tcBorders>
              <w:top w:val="nil"/>
              <w:left w:val="single" w:sz="4" w:space="0" w:color="auto"/>
              <w:bottom w:val="single" w:sz="4" w:space="0" w:color="auto"/>
              <w:right w:val="single" w:sz="4" w:space="0" w:color="auto"/>
            </w:tcBorders>
            <w:shd w:val="clear" w:color="auto" w:fill="auto"/>
            <w:vAlign w:val="bottom"/>
          </w:tcPr>
          <w:p w14:paraId="069A2B15"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Calibri"/>
                <w:color w:val="000000"/>
                <w:sz w:val="22"/>
                <w:szCs w:val="22"/>
                <w:lang w:eastAsia="es-ES"/>
              </w:rPr>
              <w:t>Atlas de los humedales del sur-sureste y sus amenazas</w:t>
            </w:r>
          </w:p>
        </w:tc>
        <w:tc>
          <w:tcPr>
            <w:tcW w:w="2800" w:type="dxa"/>
            <w:tcBorders>
              <w:top w:val="nil"/>
              <w:left w:val="nil"/>
              <w:bottom w:val="single" w:sz="4" w:space="0" w:color="auto"/>
              <w:right w:val="single" w:sz="4" w:space="0" w:color="auto"/>
            </w:tcBorders>
            <w:shd w:val="clear" w:color="auto" w:fill="auto"/>
          </w:tcPr>
          <w:p w14:paraId="63738690"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Fondo Sectorial CONAGUA</w:t>
            </w:r>
          </w:p>
        </w:tc>
        <w:tc>
          <w:tcPr>
            <w:tcW w:w="1440" w:type="dxa"/>
            <w:tcBorders>
              <w:top w:val="nil"/>
              <w:left w:val="nil"/>
              <w:bottom w:val="single" w:sz="4" w:space="0" w:color="auto"/>
              <w:right w:val="single" w:sz="4" w:space="0" w:color="auto"/>
            </w:tcBorders>
            <w:shd w:val="clear" w:color="auto" w:fill="auto"/>
            <w:noWrap/>
            <w:vAlign w:val="bottom"/>
          </w:tcPr>
          <w:p w14:paraId="61FE3C85" w14:textId="77777777" w:rsidR="00077C2A" w:rsidRPr="00077C2A" w:rsidRDefault="00077C2A" w:rsidP="00077C2A">
            <w:pPr>
              <w:autoSpaceDE w:val="0"/>
              <w:autoSpaceDN w:val="0"/>
              <w:spacing w:line="276" w:lineRule="auto"/>
              <w:jc w:val="right"/>
              <w:rPr>
                <w:rFonts w:ascii="Arial" w:eastAsia="Times New Roman" w:hAnsi="Arial" w:cs="Arial"/>
                <w:sz w:val="18"/>
                <w:szCs w:val="18"/>
                <w:lang w:val="en-US" w:eastAsia="es-ES"/>
              </w:rPr>
            </w:pPr>
            <w:r w:rsidRPr="00077C2A">
              <w:rPr>
                <w:rFonts w:ascii="Arial" w:eastAsia="Times New Roman" w:hAnsi="Arial" w:cs="Arial"/>
                <w:sz w:val="18"/>
                <w:szCs w:val="18"/>
                <w:lang w:val="en-US" w:eastAsia="es-ES"/>
              </w:rPr>
              <w:t>2,260,000.00</w:t>
            </w:r>
          </w:p>
        </w:tc>
        <w:tc>
          <w:tcPr>
            <w:tcW w:w="1340" w:type="dxa"/>
            <w:tcBorders>
              <w:top w:val="nil"/>
              <w:left w:val="nil"/>
              <w:bottom w:val="single" w:sz="4" w:space="0" w:color="auto"/>
              <w:right w:val="single" w:sz="4" w:space="0" w:color="auto"/>
            </w:tcBorders>
            <w:shd w:val="clear" w:color="auto" w:fill="auto"/>
            <w:vAlign w:val="bottom"/>
          </w:tcPr>
          <w:p w14:paraId="71649DF8"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Vigente</w:t>
            </w:r>
          </w:p>
        </w:tc>
        <w:tc>
          <w:tcPr>
            <w:tcW w:w="1340" w:type="dxa"/>
            <w:tcBorders>
              <w:top w:val="nil"/>
              <w:left w:val="nil"/>
              <w:bottom w:val="single" w:sz="4" w:space="0" w:color="auto"/>
              <w:right w:val="single" w:sz="4" w:space="0" w:color="auto"/>
            </w:tcBorders>
            <w:shd w:val="clear" w:color="auto" w:fill="auto"/>
            <w:vAlign w:val="bottom"/>
          </w:tcPr>
          <w:p w14:paraId="3C0D2343"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11%</w:t>
            </w:r>
          </w:p>
        </w:tc>
        <w:tc>
          <w:tcPr>
            <w:tcW w:w="2180" w:type="dxa"/>
            <w:tcBorders>
              <w:top w:val="nil"/>
              <w:left w:val="nil"/>
              <w:bottom w:val="single" w:sz="4" w:space="0" w:color="auto"/>
              <w:right w:val="single" w:sz="4" w:space="0" w:color="auto"/>
            </w:tcBorders>
            <w:shd w:val="clear" w:color="auto" w:fill="auto"/>
            <w:vAlign w:val="bottom"/>
          </w:tcPr>
          <w:p w14:paraId="5F0E9808"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Barba Macías Everardo</w:t>
            </w:r>
          </w:p>
        </w:tc>
      </w:tr>
      <w:tr w:rsidR="00077C2A" w:rsidRPr="00077C2A" w14:paraId="4DD10072" w14:textId="77777777" w:rsidTr="008E717E">
        <w:trPr>
          <w:trHeight w:val="300"/>
        </w:trPr>
        <w:tc>
          <w:tcPr>
            <w:tcW w:w="4280" w:type="dxa"/>
            <w:tcBorders>
              <w:top w:val="single" w:sz="4" w:space="0" w:color="auto"/>
              <w:bottom w:val="single" w:sz="4" w:space="0" w:color="auto"/>
            </w:tcBorders>
            <w:shd w:val="clear" w:color="auto" w:fill="auto"/>
            <w:vAlign w:val="bottom"/>
            <w:hideMark/>
          </w:tcPr>
          <w:p w14:paraId="1F170AFC" w14:textId="12CED6C2"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 </w:t>
            </w:r>
          </w:p>
          <w:p w14:paraId="520D2BC1"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p>
        </w:tc>
        <w:tc>
          <w:tcPr>
            <w:tcW w:w="2800" w:type="dxa"/>
            <w:tcBorders>
              <w:top w:val="single" w:sz="4" w:space="0" w:color="auto"/>
              <w:bottom w:val="single" w:sz="4" w:space="0" w:color="auto"/>
            </w:tcBorders>
            <w:shd w:val="clear" w:color="auto" w:fill="auto"/>
            <w:vAlign w:val="bottom"/>
            <w:hideMark/>
          </w:tcPr>
          <w:p w14:paraId="5E546C85"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 </w:t>
            </w:r>
          </w:p>
        </w:tc>
        <w:tc>
          <w:tcPr>
            <w:tcW w:w="1440" w:type="dxa"/>
            <w:tcBorders>
              <w:top w:val="single" w:sz="4" w:space="0" w:color="auto"/>
              <w:bottom w:val="single" w:sz="4" w:space="0" w:color="auto"/>
            </w:tcBorders>
            <w:shd w:val="clear" w:color="auto" w:fill="auto"/>
            <w:noWrap/>
            <w:vAlign w:val="bottom"/>
            <w:hideMark/>
          </w:tcPr>
          <w:p w14:paraId="67D40940" w14:textId="77777777" w:rsidR="00077C2A" w:rsidRPr="00077C2A" w:rsidRDefault="00077C2A" w:rsidP="00077C2A">
            <w:pPr>
              <w:autoSpaceDE w:val="0"/>
              <w:autoSpaceDN w:val="0"/>
              <w:spacing w:line="276" w:lineRule="auto"/>
              <w:rPr>
                <w:rFonts w:ascii="Arial" w:eastAsia="Times New Roman" w:hAnsi="Arial" w:cs="Arial"/>
                <w:sz w:val="22"/>
                <w:szCs w:val="22"/>
                <w:lang w:val="en-US" w:eastAsia="es-ES"/>
              </w:rPr>
            </w:pPr>
            <w:r w:rsidRPr="00077C2A">
              <w:rPr>
                <w:rFonts w:ascii="Arial" w:eastAsia="Times New Roman" w:hAnsi="Arial" w:cs="Arial"/>
                <w:sz w:val="22"/>
                <w:szCs w:val="22"/>
                <w:lang w:val="en-US" w:eastAsia="es-ES"/>
              </w:rPr>
              <w:t> </w:t>
            </w:r>
          </w:p>
        </w:tc>
        <w:tc>
          <w:tcPr>
            <w:tcW w:w="1340" w:type="dxa"/>
            <w:tcBorders>
              <w:top w:val="single" w:sz="4" w:space="0" w:color="auto"/>
              <w:bottom w:val="single" w:sz="4" w:space="0" w:color="auto"/>
            </w:tcBorders>
            <w:shd w:val="clear" w:color="auto" w:fill="auto"/>
            <w:vAlign w:val="bottom"/>
            <w:hideMark/>
          </w:tcPr>
          <w:p w14:paraId="4C73BB69"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 </w:t>
            </w:r>
          </w:p>
        </w:tc>
        <w:tc>
          <w:tcPr>
            <w:tcW w:w="1340" w:type="dxa"/>
            <w:tcBorders>
              <w:top w:val="single" w:sz="4" w:space="0" w:color="auto"/>
              <w:bottom w:val="single" w:sz="4" w:space="0" w:color="auto"/>
            </w:tcBorders>
            <w:shd w:val="clear" w:color="auto" w:fill="auto"/>
            <w:vAlign w:val="bottom"/>
            <w:hideMark/>
          </w:tcPr>
          <w:p w14:paraId="0EE978D9"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 </w:t>
            </w:r>
          </w:p>
        </w:tc>
        <w:tc>
          <w:tcPr>
            <w:tcW w:w="2180" w:type="dxa"/>
            <w:tcBorders>
              <w:top w:val="single" w:sz="4" w:space="0" w:color="auto"/>
              <w:bottom w:val="single" w:sz="4" w:space="0" w:color="auto"/>
            </w:tcBorders>
            <w:shd w:val="clear" w:color="auto" w:fill="auto"/>
            <w:vAlign w:val="bottom"/>
            <w:hideMark/>
          </w:tcPr>
          <w:p w14:paraId="2DCDDE2C"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 </w:t>
            </w:r>
          </w:p>
        </w:tc>
      </w:tr>
      <w:tr w:rsidR="00077C2A" w:rsidRPr="00077C2A" w14:paraId="7BD67EC7" w14:textId="77777777" w:rsidTr="008E717E">
        <w:trPr>
          <w:trHeight w:val="499"/>
        </w:trPr>
        <w:tc>
          <w:tcPr>
            <w:tcW w:w="4280" w:type="dxa"/>
            <w:tcBorders>
              <w:top w:val="single" w:sz="4" w:space="0" w:color="auto"/>
              <w:left w:val="single" w:sz="4" w:space="0" w:color="auto"/>
              <w:bottom w:val="single" w:sz="4" w:space="0" w:color="auto"/>
              <w:right w:val="single" w:sz="4" w:space="0" w:color="auto"/>
            </w:tcBorders>
            <w:shd w:val="clear" w:color="000000" w:fill="621132"/>
            <w:vAlign w:val="center"/>
            <w:hideMark/>
          </w:tcPr>
          <w:p w14:paraId="660AF3AC"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FONDOS INSTITUCIONALES</w:t>
            </w:r>
          </w:p>
        </w:tc>
        <w:tc>
          <w:tcPr>
            <w:tcW w:w="2800" w:type="dxa"/>
            <w:tcBorders>
              <w:top w:val="single" w:sz="4" w:space="0" w:color="auto"/>
              <w:left w:val="nil"/>
              <w:bottom w:val="single" w:sz="4" w:space="0" w:color="auto"/>
              <w:right w:val="single" w:sz="4" w:space="0" w:color="auto"/>
            </w:tcBorders>
            <w:shd w:val="clear" w:color="000000" w:fill="621132"/>
            <w:vAlign w:val="center"/>
            <w:hideMark/>
          </w:tcPr>
          <w:p w14:paraId="4D32FAA8"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 </w:t>
            </w:r>
          </w:p>
        </w:tc>
        <w:tc>
          <w:tcPr>
            <w:tcW w:w="1440" w:type="dxa"/>
            <w:tcBorders>
              <w:top w:val="single" w:sz="4" w:space="0" w:color="auto"/>
              <w:left w:val="nil"/>
              <w:bottom w:val="single" w:sz="4" w:space="0" w:color="auto"/>
              <w:right w:val="single" w:sz="4" w:space="0" w:color="auto"/>
            </w:tcBorders>
            <w:shd w:val="clear" w:color="000000" w:fill="621132"/>
            <w:vAlign w:val="center"/>
            <w:hideMark/>
          </w:tcPr>
          <w:p w14:paraId="37C6CB75"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621,320.00</w:t>
            </w:r>
          </w:p>
        </w:tc>
        <w:tc>
          <w:tcPr>
            <w:tcW w:w="1340" w:type="dxa"/>
            <w:tcBorders>
              <w:top w:val="single" w:sz="4" w:space="0" w:color="auto"/>
              <w:left w:val="nil"/>
              <w:bottom w:val="single" w:sz="4" w:space="0" w:color="auto"/>
              <w:right w:val="single" w:sz="4" w:space="0" w:color="auto"/>
            </w:tcBorders>
            <w:shd w:val="clear" w:color="000000" w:fill="621132"/>
            <w:vAlign w:val="center"/>
            <w:hideMark/>
          </w:tcPr>
          <w:p w14:paraId="60782BD5"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 </w:t>
            </w:r>
          </w:p>
        </w:tc>
        <w:tc>
          <w:tcPr>
            <w:tcW w:w="1340" w:type="dxa"/>
            <w:tcBorders>
              <w:top w:val="single" w:sz="4" w:space="0" w:color="auto"/>
              <w:left w:val="nil"/>
              <w:bottom w:val="single" w:sz="4" w:space="0" w:color="auto"/>
              <w:right w:val="single" w:sz="4" w:space="0" w:color="auto"/>
            </w:tcBorders>
            <w:shd w:val="clear" w:color="000000" w:fill="621132"/>
            <w:vAlign w:val="center"/>
            <w:hideMark/>
          </w:tcPr>
          <w:p w14:paraId="7D366C88"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 </w:t>
            </w:r>
          </w:p>
        </w:tc>
        <w:tc>
          <w:tcPr>
            <w:tcW w:w="2180" w:type="dxa"/>
            <w:tcBorders>
              <w:top w:val="single" w:sz="4" w:space="0" w:color="auto"/>
              <w:left w:val="nil"/>
              <w:bottom w:val="single" w:sz="4" w:space="0" w:color="auto"/>
              <w:right w:val="single" w:sz="4" w:space="0" w:color="auto"/>
            </w:tcBorders>
            <w:shd w:val="clear" w:color="000000" w:fill="621132"/>
            <w:vAlign w:val="bottom"/>
            <w:hideMark/>
          </w:tcPr>
          <w:p w14:paraId="2BEE9BA9"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 </w:t>
            </w:r>
          </w:p>
        </w:tc>
      </w:tr>
      <w:tr w:rsidR="00077C2A" w:rsidRPr="00077C2A" w14:paraId="5D276B2D" w14:textId="77777777" w:rsidTr="00077C2A">
        <w:trPr>
          <w:trHeight w:val="900"/>
        </w:trPr>
        <w:tc>
          <w:tcPr>
            <w:tcW w:w="4280" w:type="dxa"/>
            <w:tcBorders>
              <w:top w:val="single" w:sz="4" w:space="0" w:color="auto"/>
              <w:left w:val="single" w:sz="4" w:space="0" w:color="auto"/>
              <w:bottom w:val="single" w:sz="4" w:space="0" w:color="auto"/>
              <w:right w:val="single" w:sz="4" w:space="0" w:color="auto"/>
            </w:tcBorders>
            <w:shd w:val="clear" w:color="auto" w:fill="auto"/>
            <w:vAlign w:val="bottom"/>
          </w:tcPr>
          <w:p w14:paraId="6ECA9712"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Calibri"/>
                <w:color w:val="000000"/>
                <w:sz w:val="22"/>
                <w:szCs w:val="22"/>
                <w:lang w:eastAsia="es-ES"/>
              </w:rPr>
              <w:t>Colecta de semillas y ubicación de sitios para ensayos de dos variedades de madera balsa (OCHROMA PYRAMIDALE)</w:t>
            </w:r>
          </w:p>
        </w:tc>
        <w:tc>
          <w:tcPr>
            <w:tcW w:w="2800" w:type="dxa"/>
            <w:tcBorders>
              <w:top w:val="single" w:sz="4" w:space="0" w:color="auto"/>
              <w:left w:val="nil"/>
              <w:bottom w:val="single" w:sz="4" w:space="0" w:color="auto"/>
              <w:right w:val="single" w:sz="4" w:space="0" w:color="auto"/>
            </w:tcBorders>
            <w:shd w:val="clear" w:color="auto" w:fill="auto"/>
          </w:tcPr>
          <w:p w14:paraId="6D127443"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Calibri"/>
                <w:color w:val="000000"/>
                <w:sz w:val="22"/>
                <w:szCs w:val="22"/>
                <w:lang w:eastAsia="es-ES"/>
              </w:rPr>
              <w:t>Fondo Institucional del CONACYT (FOINS)</w:t>
            </w:r>
          </w:p>
        </w:tc>
        <w:tc>
          <w:tcPr>
            <w:tcW w:w="1440" w:type="dxa"/>
            <w:tcBorders>
              <w:top w:val="single" w:sz="4" w:space="0" w:color="auto"/>
              <w:left w:val="nil"/>
              <w:bottom w:val="single" w:sz="4" w:space="0" w:color="auto"/>
              <w:right w:val="single" w:sz="4" w:space="0" w:color="auto"/>
            </w:tcBorders>
            <w:shd w:val="clear" w:color="auto" w:fill="auto"/>
            <w:vAlign w:val="bottom"/>
          </w:tcPr>
          <w:p w14:paraId="78032FBD" w14:textId="77777777" w:rsidR="00077C2A" w:rsidRPr="00077C2A" w:rsidRDefault="00077C2A" w:rsidP="00077C2A">
            <w:pPr>
              <w:autoSpaceDE w:val="0"/>
              <w:autoSpaceDN w:val="0"/>
              <w:spacing w:line="276" w:lineRule="auto"/>
              <w:jc w:val="right"/>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99,720.00</w:t>
            </w:r>
          </w:p>
        </w:tc>
        <w:tc>
          <w:tcPr>
            <w:tcW w:w="1340" w:type="dxa"/>
            <w:tcBorders>
              <w:top w:val="single" w:sz="4" w:space="0" w:color="auto"/>
              <w:left w:val="nil"/>
              <w:bottom w:val="single" w:sz="4" w:space="0" w:color="auto"/>
              <w:right w:val="single" w:sz="4" w:space="0" w:color="auto"/>
            </w:tcBorders>
            <w:shd w:val="clear" w:color="auto" w:fill="auto"/>
            <w:vAlign w:val="bottom"/>
          </w:tcPr>
          <w:p w14:paraId="2D4B5A2D"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Vigente</w:t>
            </w:r>
          </w:p>
        </w:tc>
        <w:tc>
          <w:tcPr>
            <w:tcW w:w="1340" w:type="dxa"/>
            <w:tcBorders>
              <w:top w:val="single" w:sz="4" w:space="0" w:color="auto"/>
              <w:left w:val="nil"/>
              <w:bottom w:val="single" w:sz="4" w:space="0" w:color="auto"/>
              <w:right w:val="single" w:sz="4" w:space="0" w:color="auto"/>
            </w:tcBorders>
            <w:shd w:val="clear" w:color="auto" w:fill="auto"/>
            <w:vAlign w:val="bottom"/>
          </w:tcPr>
          <w:p w14:paraId="3ECF3535"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0%</w:t>
            </w:r>
          </w:p>
        </w:tc>
        <w:tc>
          <w:tcPr>
            <w:tcW w:w="2180" w:type="dxa"/>
            <w:tcBorders>
              <w:top w:val="single" w:sz="4" w:space="0" w:color="auto"/>
              <w:left w:val="nil"/>
              <w:bottom w:val="single" w:sz="4" w:space="0" w:color="auto"/>
              <w:right w:val="single" w:sz="4" w:space="0" w:color="auto"/>
            </w:tcBorders>
            <w:shd w:val="clear" w:color="auto" w:fill="auto"/>
            <w:vAlign w:val="bottom"/>
          </w:tcPr>
          <w:p w14:paraId="2E390952"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Levy Tacher Samuel Israel</w:t>
            </w:r>
          </w:p>
        </w:tc>
      </w:tr>
      <w:tr w:rsidR="00077C2A" w:rsidRPr="00077C2A" w14:paraId="3FA30967" w14:textId="77777777" w:rsidTr="00077C2A">
        <w:trPr>
          <w:trHeight w:val="300"/>
        </w:trPr>
        <w:tc>
          <w:tcPr>
            <w:tcW w:w="4280" w:type="dxa"/>
            <w:tcBorders>
              <w:top w:val="nil"/>
              <w:left w:val="single" w:sz="4" w:space="0" w:color="auto"/>
              <w:bottom w:val="single" w:sz="4" w:space="0" w:color="auto"/>
              <w:right w:val="single" w:sz="4" w:space="0" w:color="auto"/>
            </w:tcBorders>
            <w:shd w:val="clear" w:color="auto" w:fill="auto"/>
          </w:tcPr>
          <w:p w14:paraId="4C4775C3"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Resilient People, Resilient Ecosystems In Smart Cities (Respires)</w:t>
            </w:r>
          </w:p>
        </w:tc>
        <w:tc>
          <w:tcPr>
            <w:tcW w:w="2800" w:type="dxa"/>
            <w:tcBorders>
              <w:top w:val="nil"/>
              <w:left w:val="nil"/>
              <w:bottom w:val="single" w:sz="4" w:space="0" w:color="auto"/>
              <w:right w:val="single" w:sz="4" w:space="0" w:color="auto"/>
            </w:tcBorders>
            <w:shd w:val="clear" w:color="auto" w:fill="auto"/>
            <w:vAlign w:val="bottom"/>
          </w:tcPr>
          <w:p w14:paraId="6C7DA090"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Calibri"/>
                <w:color w:val="000000"/>
                <w:sz w:val="22"/>
                <w:szCs w:val="22"/>
                <w:lang w:eastAsia="es-ES"/>
              </w:rPr>
              <w:t>Fondo de Cooperación Internacional en Ciencia y Tecnología del CONACyT (FONCICYT)</w:t>
            </w:r>
          </w:p>
        </w:tc>
        <w:tc>
          <w:tcPr>
            <w:tcW w:w="1440" w:type="dxa"/>
            <w:tcBorders>
              <w:top w:val="nil"/>
              <w:left w:val="nil"/>
              <w:bottom w:val="single" w:sz="4" w:space="0" w:color="auto"/>
              <w:right w:val="single" w:sz="4" w:space="0" w:color="auto"/>
            </w:tcBorders>
            <w:shd w:val="clear" w:color="auto" w:fill="auto"/>
            <w:vAlign w:val="bottom"/>
          </w:tcPr>
          <w:p w14:paraId="2A85B5A4" w14:textId="77777777" w:rsidR="00077C2A" w:rsidRPr="00077C2A" w:rsidRDefault="00077C2A" w:rsidP="00077C2A">
            <w:pPr>
              <w:autoSpaceDE w:val="0"/>
              <w:autoSpaceDN w:val="0"/>
              <w:spacing w:line="276" w:lineRule="auto"/>
              <w:jc w:val="right"/>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75,000.00</w:t>
            </w:r>
          </w:p>
        </w:tc>
        <w:tc>
          <w:tcPr>
            <w:tcW w:w="1340" w:type="dxa"/>
            <w:tcBorders>
              <w:top w:val="nil"/>
              <w:left w:val="nil"/>
              <w:bottom w:val="single" w:sz="4" w:space="0" w:color="auto"/>
              <w:right w:val="single" w:sz="4" w:space="0" w:color="auto"/>
            </w:tcBorders>
            <w:shd w:val="clear" w:color="auto" w:fill="auto"/>
            <w:vAlign w:val="bottom"/>
          </w:tcPr>
          <w:p w14:paraId="66961BD5"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Vigente</w:t>
            </w:r>
          </w:p>
        </w:tc>
        <w:tc>
          <w:tcPr>
            <w:tcW w:w="1340" w:type="dxa"/>
            <w:tcBorders>
              <w:top w:val="nil"/>
              <w:left w:val="nil"/>
              <w:bottom w:val="single" w:sz="4" w:space="0" w:color="auto"/>
              <w:right w:val="single" w:sz="4" w:space="0" w:color="auto"/>
            </w:tcBorders>
            <w:shd w:val="clear" w:color="auto" w:fill="auto"/>
            <w:vAlign w:val="bottom"/>
          </w:tcPr>
          <w:p w14:paraId="27B6B09E"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15%</w:t>
            </w:r>
          </w:p>
        </w:tc>
        <w:tc>
          <w:tcPr>
            <w:tcW w:w="2180" w:type="dxa"/>
            <w:tcBorders>
              <w:top w:val="nil"/>
              <w:left w:val="nil"/>
              <w:bottom w:val="single" w:sz="4" w:space="0" w:color="auto"/>
              <w:right w:val="single" w:sz="4" w:space="0" w:color="auto"/>
            </w:tcBorders>
            <w:shd w:val="clear" w:color="auto" w:fill="auto"/>
            <w:vAlign w:val="bottom"/>
          </w:tcPr>
          <w:p w14:paraId="26A26901"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Mesa Jurado María Azahara</w:t>
            </w:r>
          </w:p>
        </w:tc>
      </w:tr>
      <w:tr w:rsidR="00077C2A" w:rsidRPr="00077C2A" w14:paraId="1E575AF1" w14:textId="77777777" w:rsidTr="008E717E">
        <w:trPr>
          <w:trHeight w:val="300"/>
        </w:trPr>
        <w:tc>
          <w:tcPr>
            <w:tcW w:w="4280" w:type="dxa"/>
            <w:tcBorders>
              <w:top w:val="nil"/>
              <w:left w:val="single" w:sz="4" w:space="0" w:color="auto"/>
              <w:bottom w:val="single" w:sz="4" w:space="0" w:color="auto"/>
              <w:right w:val="single" w:sz="4" w:space="0" w:color="auto"/>
            </w:tcBorders>
            <w:shd w:val="clear" w:color="auto" w:fill="auto"/>
            <w:vAlign w:val="bottom"/>
          </w:tcPr>
          <w:p w14:paraId="6CAC9D8A"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Calibri"/>
                <w:color w:val="000000"/>
                <w:sz w:val="22"/>
                <w:szCs w:val="22"/>
                <w:lang w:eastAsia="es-ES"/>
              </w:rPr>
              <w:t>Ampliación, complementación y conclusión de diagnóstico y escenarios en los territorios tren maya</w:t>
            </w:r>
          </w:p>
        </w:tc>
        <w:tc>
          <w:tcPr>
            <w:tcW w:w="2800" w:type="dxa"/>
            <w:tcBorders>
              <w:top w:val="nil"/>
              <w:left w:val="nil"/>
              <w:bottom w:val="single" w:sz="4" w:space="0" w:color="auto"/>
              <w:right w:val="single" w:sz="4" w:space="0" w:color="auto"/>
            </w:tcBorders>
            <w:shd w:val="clear" w:color="auto" w:fill="auto"/>
            <w:vAlign w:val="bottom"/>
          </w:tcPr>
          <w:p w14:paraId="3524B144"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Calibri"/>
                <w:color w:val="000000"/>
                <w:sz w:val="22"/>
                <w:szCs w:val="22"/>
                <w:lang w:eastAsia="es-ES"/>
              </w:rPr>
              <w:t>Fondo Institucional del CONACYT (FOINS)</w:t>
            </w:r>
          </w:p>
        </w:tc>
        <w:tc>
          <w:tcPr>
            <w:tcW w:w="1440" w:type="dxa"/>
            <w:tcBorders>
              <w:top w:val="nil"/>
              <w:left w:val="nil"/>
              <w:bottom w:val="single" w:sz="4" w:space="0" w:color="auto"/>
              <w:right w:val="single" w:sz="4" w:space="0" w:color="auto"/>
            </w:tcBorders>
            <w:shd w:val="clear" w:color="auto" w:fill="auto"/>
            <w:vAlign w:val="bottom"/>
          </w:tcPr>
          <w:p w14:paraId="5BB15A8A" w14:textId="77777777" w:rsidR="00077C2A" w:rsidRPr="00077C2A" w:rsidRDefault="00077C2A" w:rsidP="00077C2A">
            <w:pPr>
              <w:autoSpaceDE w:val="0"/>
              <w:autoSpaceDN w:val="0"/>
              <w:spacing w:line="276" w:lineRule="auto"/>
              <w:jc w:val="right"/>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446,600.00</w:t>
            </w:r>
          </w:p>
        </w:tc>
        <w:tc>
          <w:tcPr>
            <w:tcW w:w="1340" w:type="dxa"/>
            <w:tcBorders>
              <w:top w:val="nil"/>
              <w:left w:val="nil"/>
              <w:bottom w:val="single" w:sz="4" w:space="0" w:color="auto"/>
              <w:right w:val="single" w:sz="4" w:space="0" w:color="auto"/>
            </w:tcBorders>
            <w:shd w:val="clear" w:color="auto" w:fill="auto"/>
            <w:vAlign w:val="bottom"/>
          </w:tcPr>
          <w:p w14:paraId="3DEB3BFF"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Vigente</w:t>
            </w:r>
          </w:p>
        </w:tc>
        <w:tc>
          <w:tcPr>
            <w:tcW w:w="1340" w:type="dxa"/>
            <w:tcBorders>
              <w:top w:val="nil"/>
              <w:left w:val="nil"/>
              <w:bottom w:val="single" w:sz="4" w:space="0" w:color="auto"/>
              <w:right w:val="single" w:sz="4" w:space="0" w:color="auto"/>
            </w:tcBorders>
            <w:shd w:val="clear" w:color="auto" w:fill="auto"/>
            <w:vAlign w:val="bottom"/>
          </w:tcPr>
          <w:p w14:paraId="046973A4"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0%</w:t>
            </w:r>
          </w:p>
        </w:tc>
        <w:tc>
          <w:tcPr>
            <w:tcW w:w="2180" w:type="dxa"/>
            <w:tcBorders>
              <w:top w:val="nil"/>
              <w:left w:val="nil"/>
              <w:bottom w:val="single" w:sz="4" w:space="0" w:color="auto"/>
              <w:right w:val="single" w:sz="4" w:space="0" w:color="auto"/>
            </w:tcBorders>
            <w:shd w:val="clear" w:color="auto" w:fill="auto"/>
            <w:vAlign w:val="bottom"/>
          </w:tcPr>
          <w:p w14:paraId="5C86116D"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Díaz Perera Miguel Ángel</w:t>
            </w:r>
          </w:p>
        </w:tc>
      </w:tr>
      <w:tr w:rsidR="00077C2A" w:rsidRPr="00077C2A" w14:paraId="04A872E9" w14:textId="77777777" w:rsidTr="008E717E">
        <w:trPr>
          <w:trHeight w:val="300"/>
        </w:trPr>
        <w:tc>
          <w:tcPr>
            <w:tcW w:w="4280" w:type="dxa"/>
            <w:tcBorders>
              <w:top w:val="single" w:sz="4" w:space="0" w:color="auto"/>
              <w:bottom w:val="single" w:sz="4" w:space="0" w:color="auto"/>
            </w:tcBorders>
            <w:shd w:val="clear" w:color="auto" w:fill="auto"/>
            <w:vAlign w:val="bottom"/>
          </w:tcPr>
          <w:p w14:paraId="31BA8B00"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p>
        </w:tc>
        <w:tc>
          <w:tcPr>
            <w:tcW w:w="2800" w:type="dxa"/>
            <w:tcBorders>
              <w:top w:val="single" w:sz="4" w:space="0" w:color="auto"/>
              <w:bottom w:val="single" w:sz="4" w:space="0" w:color="auto"/>
            </w:tcBorders>
            <w:shd w:val="clear" w:color="auto" w:fill="auto"/>
            <w:vAlign w:val="bottom"/>
            <w:hideMark/>
          </w:tcPr>
          <w:p w14:paraId="5C7345BB"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 </w:t>
            </w:r>
          </w:p>
        </w:tc>
        <w:tc>
          <w:tcPr>
            <w:tcW w:w="1440" w:type="dxa"/>
            <w:tcBorders>
              <w:top w:val="single" w:sz="4" w:space="0" w:color="auto"/>
              <w:bottom w:val="single" w:sz="4" w:space="0" w:color="auto"/>
            </w:tcBorders>
            <w:shd w:val="clear" w:color="auto" w:fill="auto"/>
            <w:vAlign w:val="bottom"/>
            <w:hideMark/>
          </w:tcPr>
          <w:p w14:paraId="4D4702C1"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 </w:t>
            </w:r>
          </w:p>
        </w:tc>
        <w:tc>
          <w:tcPr>
            <w:tcW w:w="1340" w:type="dxa"/>
            <w:tcBorders>
              <w:top w:val="single" w:sz="4" w:space="0" w:color="auto"/>
              <w:bottom w:val="single" w:sz="4" w:space="0" w:color="auto"/>
            </w:tcBorders>
            <w:shd w:val="clear" w:color="auto" w:fill="auto"/>
            <w:vAlign w:val="bottom"/>
            <w:hideMark/>
          </w:tcPr>
          <w:p w14:paraId="38418E90"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 </w:t>
            </w:r>
          </w:p>
        </w:tc>
        <w:tc>
          <w:tcPr>
            <w:tcW w:w="1340" w:type="dxa"/>
            <w:tcBorders>
              <w:top w:val="single" w:sz="4" w:space="0" w:color="auto"/>
              <w:bottom w:val="single" w:sz="4" w:space="0" w:color="auto"/>
            </w:tcBorders>
            <w:shd w:val="clear" w:color="auto" w:fill="auto"/>
            <w:vAlign w:val="bottom"/>
            <w:hideMark/>
          </w:tcPr>
          <w:p w14:paraId="46070C18"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 </w:t>
            </w:r>
          </w:p>
        </w:tc>
        <w:tc>
          <w:tcPr>
            <w:tcW w:w="2180" w:type="dxa"/>
            <w:tcBorders>
              <w:top w:val="single" w:sz="4" w:space="0" w:color="auto"/>
              <w:bottom w:val="single" w:sz="4" w:space="0" w:color="auto"/>
            </w:tcBorders>
            <w:shd w:val="clear" w:color="auto" w:fill="auto"/>
            <w:vAlign w:val="bottom"/>
            <w:hideMark/>
          </w:tcPr>
          <w:p w14:paraId="1767D022"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Times New Roman"/>
                <w:color w:val="000000"/>
                <w:sz w:val="22"/>
                <w:szCs w:val="22"/>
                <w:lang w:val="en-US" w:eastAsia="es-ES"/>
              </w:rPr>
              <w:t> </w:t>
            </w:r>
          </w:p>
        </w:tc>
      </w:tr>
      <w:tr w:rsidR="00077C2A" w:rsidRPr="00077C2A" w14:paraId="5CF22E1C" w14:textId="77777777" w:rsidTr="008E717E">
        <w:trPr>
          <w:trHeight w:val="499"/>
        </w:trPr>
        <w:tc>
          <w:tcPr>
            <w:tcW w:w="4280" w:type="dxa"/>
            <w:tcBorders>
              <w:top w:val="single" w:sz="4" w:space="0" w:color="auto"/>
              <w:left w:val="single" w:sz="4" w:space="0" w:color="auto"/>
              <w:bottom w:val="single" w:sz="4" w:space="0" w:color="auto"/>
              <w:right w:val="single" w:sz="4" w:space="0" w:color="auto"/>
            </w:tcBorders>
            <w:shd w:val="clear" w:color="000000" w:fill="621132"/>
            <w:vAlign w:val="center"/>
          </w:tcPr>
          <w:p w14:paraId="4D4CFDDB"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p>
        </w:tc>
        <w:tc>
          <w:tcPr>
            <w:tcW w:w="2800" w:type="dxa"/>
            <w:tcBorders>
              <w:top w:val="single" w:sz="4" w:space="0" w:color="auto"/>
              <w:left w:val="nil"/>
              <w:bottom w:val="single" w:sz="4" w:space="0" w:color="auto"/>
              <w:right w:val="single" w:sz="4" w:space="0" w:color="auto"/>
            </w:tcBorders>
            <w:shd w:val="clear" w:color="000000" w:fill="621132"/>
            <w:vAlign w:val="center"/>
            <w:hideMark/>
          </w:tcPr>
          <w:p w14:paraId="1DB390A7"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 </w:t>
            </w:r>
          </w:p>
        </w:tc>
        <w:tc>
          <w:tcPr>
            <w:tcW w:w="1440" w:type="dxa"/>
            <w:tcBorders>
              <w:top w:val="single" w:sz="4" w:space="0" w:color="auto"/>
              <w:left w:val="nil"/>
              <w:bottom w:val="single" w:sz="4" w:space="0" w:color="auto"/>
              <w:right w:val="single" w:sz="4" w:space="0" w:color="auto"/>
            </w:tcBorders>
            <w:shd w:val="clear" w:color="000000" w:fill="621132"/>
            <w:vAlign w:val="center"/>
            <w:hideMark/>
          </w:tcPr>
          <w:p w14:paraId="0CC12532"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220,909.00</w:t>
            </w:r>
          </w:p>
        </w:tc>
        <w:tc>
          <w:tcPr>
            <w:tcW w:w="1340" w:type="dxa"/>
            <w:tcBorders>
              <w:top w:val="single" w:sz="4" w:space="0" w:color="auto"/>
              <w:left w:val="nil"/>
              <w:bottom w:val="single" w:sz="4" w:space="0" w:color="auto"/>
              <w:right w:val="single" w:sz="4" w:space="0" w:color="auto"/>
            </w:tcBorders>
            <w:shd w:val="clear" w:color="000000" w:fill="621132"/>
            <w:vAlign w:val="center"/>
            <w:hideMark/>
          </w:tcPr>
          <w:p w14:paraId="68BCB06D"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 </w:t>
            </w:r>
          </w:p>
        </w:tc>
        <w:tc>
          <w:tcPr>
            <w:tcW w:w="1340" w:type="dxa"/>
            <w:tcBorders>
              <w:top w:val="single" w:sz="4" w:space="0" w:color="auto"/>
              <w:left w:val="nil"/>
              <w:bottom w:val="single" w:sz="4" w:space="0" w:color="auto"/>
              <w:right w:val="single" w:sz="4" w:space="0" w:color="auto"/>
            </w:tcBorders>
            <w:shd w:val="clear" w:color="000000" w:fill="621132"/>
            <w:vAlign w:val="center"/>
            <w:hideMark/>
          </w:tcPr>
          <w:p w14:paraId="29C92775"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 </w:t>
            </w:r>
          </w:p>
        </w:tc>
        <w:tc>
          <w:tcPr>
            <w:tcW w:w="2180" w:type="dxa"/>
            <w:tcBorders>
              <w:top w:val="single" w:sz="4" w:space="0" w:color="auto"/>
              <w:left w:val="nil"/>
              <w:bottom w:val="single" w:sz="4" w:space="0" w:color="auto"/>
              <w:right w:val="single" w:sz="4" w:space="0" w:color="auto"/>
            </w:tcBorders>
            <w:shd w:val="clear" w:color="000000" w:fill="621132"/>
            <w:vAlign w:val="bottom"/>
            <w:hideMark/>
          </w:tcPr>
          <w:p w14:paraId="24FB6F86"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2"/>
                <w:szCs w:val="22"/>
                <w:lang w:val="en-US" w:eastAsia="es-ES"/>
              </w:rPr>
            </w:pPr>
            <w:r w:rsidRPr="00077C2A">
              <w:rPr>
                <w:rFonts w:ascii="Calibri" w:eastAsia="Times New Roman" w:hAnsi="Calibri" w:cs="Calibri"/>
                <w:b/>
                <w:bCs/>
                <w:color w:val="FFFFFF"/>
                <w:sz w:val="22"/>
                <w:szCs w:val="22"/>
                <w:lang w:val="en-US" w:eastAsia="es-ES"/>
              </w:rPr>
              <w:t> </w:t>
            </w:r>
          </w:p>
        </w:tc>
      </w:tr>
      <w:tr w:rsidR="00077C2A" w:rsidRPr="00077C2A" w14:paraId="5AABA53B" w14:textId="77777777" w:rsidTr="00077C2A">
        <w:trPr>
          <w:trHeight w:val="936"/>
        </w:trPr>
        <w:tc>
          <w:tcPr>
            <w:tcW w:w="4280" w:type="dxa"/>
            <w:tcBorders>
              <w:top w:val="nil"/>
              <w:left w:val="single" w:sz="4" w:space="0" w:color="auto"/>
              <w:bottom w:val="single" w:sz="4" w:space="0" w:color="auto"/>
              <w:right w:val="single" w:sz="4" w:space="0" w:color="auto"/>
            </w:tcBorders>
            <w:shd w:val="clear" w:color="auto" w:fill="auto"/>
          </w:tcPr>
          <w:p w14:paraId="51DFDE7C"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Calibri"/>
                <w:color w:val="000000"/>
                <w:sz w:val="22"/>
                <w:szCs w:val="22"/>
                <w:lang w:eastAsia="es-ES"/>
              </w:rPr>
              <w:t>Estudio de la ecología sensorial del picudo de la soya (rhyssomatus nigerrimus fahraeus)</w:t>
            </w:r>
          </w:p>
        </w:tc>
        <w:tc>
          <w:tcPr>
            <w:tcW w:w="2800" w:type="dxa"/>
            <w:tcBorders>
              <w:top w:val="nil"/>
              <w:left w:val="nil"/>
              <w:bottom w:val="single" w:sz="4" w:space="0" w:color="auto"/>
              <w:right w:val="single" w:sz="4" w:space="0" w:color="auto"/>
            </w:tcBorders>
            <w:shd w:val="clear" w:color="auto" w:fill="auto"/>
            <w:vAlign w:val="bottom"/>
          </w:tcPr>
          <w:p w14:paraId="14670D9F"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eastAsia="es-ES"/>
              </w:rPr>
            </w:pPr>
            <w:r w:rsidRPr="00077C2A">
              <w:rPr>
                <w:rFonts w:ascii="Calibri" w:eastAsia="Times New Roman" w:hAnsi="Calibri" w:cs="Calibri"/>
                <w:color w:val="000000"/>
                <w:sz w:val="22"/>
                <w:szCs w:val="22"/>
                <w:lang w:eastAsia="es-ES"/>
              </w:rPr>
              <w:t>Instituto Nacional de Investigaciones Forestales, Agrícolas y Pecuarias</w:t>
            </w:r>
          </w:p>
        </w:tc>
        <w:tc>
          <w:tcPr>
            <w:tcW w:w="1440" w:type="dxa"/>
            <w:tcBorders>
              <w:top w:val="nil"/>
              <w:left w:val="nil"/>
              <w:bottom w:val="single" w:sz="4" w:space="0" w:color="auto"/>
              <w:right w:val="single" w:sz="4" w:space="0" w:color="auto"/>
            </w:tcBorders>
            <w:shd w:val="clear" w:color="auto" w:fill="auto"/>
            <w:vAlign w:val="bottom"/>
          </w:tcPr>
          <w:p w14:paraId="508246AE" w14:textId="77777777" w:rsidR="00077C2A" w:rsidRPr="00077C2A" w:rsidRDefault="00077C2A" w:rsidP="00077C2A">
            <w:pPr>
              <w:autoSpaceDE w:val="0"/>
              <w:autoSpaceDN w:val="0"/>
              <w:spacing w:line="276" w:lineRule="auto"/>
              <w:jc w:val="right"/>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220,909.00</w:t>
            </w:r>
          </w:p>
        </w:tc>
        <w:tc>
          <w:tcPr>
            <w:tcW w:w="1340" w:type="dxa"/>
            <w:tcBorders>
              <w:top w:val="nil"/>
              <w:left w:val="nil"/>
              <w:bottom w:val="single" w:sz="4" w:space="0" w:color="auto"/>
              <w:right w:val="single" w:sz="4" w:space="0" w:color="auto"/>
            </w:tcBorders>
            <w:shd w:val="clear" w:color="auto" w:fill="auto"/>
            <w:vAlign w:val="bottom"/>
          </w:tcPr>
          <w:p w14:paraId="30DE6AB6"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Vigente</w:t>
            </w:r>
          </w:p>
        </w:tc>
        <w:tc>
          <w:tcPr>
            <w:tcW w:w="1340" w:type="dxa"/>
            <w:tcBorders>
              <w:top w:val="nil"/>
              <w:left w:val="nil"/>
              <w:bottom w:val="single" w:sz="4" w:space="0" w:color="auto"/>
              <w:right w:val="single" w:sz="4" w:space="0" w:color="auto"/>
            </w:tcBorders>
            <w:shd w:val="clear" w:color="auto" w:fill="auto"/>
            <w:vAlign w:val="bottom"/>
          </w:tcPr>
          <w:p w14:paraId="5FB0985D" w14:textId="77777777" w:rsidR="00077C2A" w:rsidRPr="00077C2A" w:rsidRDefault="00077C2A" w:rsidP="00077C2A">
            <w:pPr>
              <w:autoSpaceDE w:val="0"/>
              <w:autoSpaceDN w:val="0"/>
              <w:spacing w:line="276" w:lineRule="auto"/>
              <w:jc w:val="center"/>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0%</w:t>
            </w:r>
          </w:p>
        </w:tc>
        <w:tc>
          <w:tcPr>
            <w:tcW w:w="2180" w:type="dxa"/>
            <w:tcBorders>
              <w:top w:val="nil"/>
              <w:left w:val="nil"/>
              <w:bottom w:val="single" w:sz="4" w:space="0" w:color="auto"/>
              <w:right w:val="single" w:sz="4" w:space="0" w:color="auto"/>
            </w:tcBorders>
            <w:shd w:val="clear" w:color="auto" w:fill="auto"/>
            <w:vAlign w:val="bottom"/>
          </w:tcPr>
          <w:p w14:paraId="14D2163B" w14:textId="77777777" w:rsidR="00077C2A" w:rsidRPr="00077C2A" w:rsidRDefault="00077C2A" w:rsidP="00077C2A">
            <w:pPr>
              <w:autoSpaceDE w:val="0"/>
              <w:autoSpaceDN w:val="0"/>
              <w:spacing w:line="276" w:lineRule="auto"/>
              <w:rPr>
                <w:rFonts w:ascii="Calibri" w:eastAsia="Times New Roman" w:hAnsi="Calibri" w:cs="Times New Roman"/>
                <w:color w:val="000000"/>
                <w:sz w:val="22"/>
                <w:szCs w:val="22"/>
                <w:lang w:val="en-US" w:eastAsia="es-ES"/>
              </w:rPr>
            </w:pPr>
            <w:r w:rsidRPr="00077C2A">
              <w:rPr>
                <w:rFonts w:ascii="Calibri" w:eastAsia="Times New Roman" w:hAnsi="Calibri" w:cs="Calibri"/>
                <w:color w:val="000000"/>
                <w:sz w:val="22"/>
                <w:szCs w:val="22"/>
                <w:lang w:val="en-US" w:eastAsia="es-ES"/>
              </w:rPr>
              <w:t>Cruz López Leopoldo Caridad</w:t>
            </w:r>
          </w:p>
        </w:tc>
      </w:tr>
    </w:tbl>
    <w:p w14:paraId="05EEB36F" w14:textId="77777777" w:rsidR="00077C2A" w:rsidRPr="00077C2A" w:rsidRDefault="00077C2A" w:rsidP="00077C2A">
      <w:pPr>
        <w:autoSpaceDE w:val="0"/>
        <w:autoSpaceDN w:val="0"/>
        <w:spacing w:line="360" w:lineRule="auto"/>
        <w:rPr>
          <w:rFonts w:ascii="Calibri" w:eastAsia="Times New Roman" w:hAnsi="Calibri" w:cs="Times New Roman"/>
          <w:sz w:val="20"/>
          <w:szCs w:val="20"/>
          <w:lang w:val="en-US" w:eastAsia="es-ES"/>
        </w:rPr>
      </w:pPr>
    </w:p>
    <w:p w14:paraId="41365CCC" w14:textId="77777777" w:rsidR="00077C2A" w:rsidRPr="00077C2A" w:rsidRDefault="00077C2A" w:rsidP="00077C2A">
      <w:pPr>
        <w:numPr>
          <w:ilvl w:val="0"/>
          <w:numId w:val="8"/>
        </w:numPr>
        <w:autoSpaceDE w:val="0"/>
        <w:autoSpaceDN w:val="0"/>
        <w:spacing w:line="276" w:lineRule="auto"/>
        <w:contextualSpacing/>
        <w:rPr>
          <w:rFonts w:ascii="Calibri" w:eastAsia="Times New Roman" w:hAnsi="Calibri" w:cs="Times New Roman"/>
          <w:b/>
          <w:lang w:val="es-ES" w:eastAsia="es-ES"/>
        </w:rPr>
      </w:pPr>
      <w:r w:rsidRPr="00077C2A">
        <w:rPr>
          <w:rFonts w:ascii="Calibri" w:eastAsia="Times New Roman" w:hAnsi="Calibri" w:cs="Times New Roman"/>
          <w:b/>
          <w:lang w:val="es-ES" w:eastAsia="es-ES"/>
        </w:rPr>
        <w:t>Relación de proyectos de infraestructura concluidos</w:t>
      </w:r>
    </w:p>
    <w:p w14:paraId="5D92D566" w14:textId="77777777" w:rsidR="00077C2A" w:rsidRPr="00077C2A" w:rsidRDefault="00077C2A" w:rsidP="00077C2A">
      <w:pPr>
        <w:spacing w:line="276" w:lineRule="auto"/>
        <w:contextualSpacing/>
        <w:rPr>
          <w:rFonts w:ascii="Calibri" w:eastAsia="Times New Roman" w:hAnsi="Calibri" w:cs="Times New Roman"/>
          <w:lang w:val="es-ES" w:eastAsia="es-ES"/>
        </w:rPr>
      </w:pPr>
    </w:p>
    <w:p w14:paraId="65119B58" w14:textId="77777777" w:rsidR="00077C2A" w:rsidRPr="00077C2A" w:rsidRDefault="00077C2A" w:rsidP="00077C2A">
      <w:pPr>
        <w:spacing w:line="276" w:lineRule="auto"/>
        <w:contextualSpacing/>
        <w:rPr>
          <w:rFonts w:ascii="Calibri" w:eastAsia="Times New Roman" w:hAnsi="Calibri" w:cs="Times New Roman"/>
          <w:lang w:val="es-ES" w:eastAsia="es-ES"/>
        </w:rPr>
      </w:pPr>
      <w:r w:rsidRPr="00077C2A">
        <w:rPr>
          <w:rFonts w:ascii="Calibri" w:eastAsia="Times New Roman" w:hAnsi="Calibri" w:cs="Times New Roman"/>
          <w:lang w:val="es-ES" w:eastAsia="es-ES"/>
        </w:rPr>
        <w:t>Durante el primer semestre 2021 no se cuenta con proyectos de infraestructura concluidos.</w:t>
      </w:r>
    </w:p>
    <w:p w14:paraId="6F817162" w14:textId="77777777" w:rsidR="00077C2A" w:rsidRPr="00077C2A" w:rsidRDefault="00077C2A" w:rsidP="00077C2A">
      <w:pPr>
        <w:autoSpaceDE w:val="0"/>
        <w:autoSpaceDN w:val="0"/>
        <w:spacing w:line="276" w:lineRule="auto"/>
        <w:rPr>
          <w:rFonts w:ascii="Calibri" w:eastAsia="Times New Roman" w:hAnsi="Calibri" w:cs="Times New Roman"/>
          <w:b/>
          <w:sz w:val="20"/>
          <w:szCs w:val="20"/>
          <w:lang w:eastAsia="es-ES"/>
        </w:rPr>
      </w:pPr>
    </w:p>
    <w:p w14:paraId="53E7A474" w14:textId="77777777" w:rsidR="00077C2A" w:rsidRPr="00077C2A" w:rsidRDefault="00077C2A" w:rsidP="00077C2A">
      <w:pPr>
        <w:numPr>
          <w:ilvl w:val="0"/>
          <w:numId w:val="8"/>
        </w:numPr>
        <w:autoSpaceDE w:val="0"/>
        <w:autoSpaceDN w:val="0"/>
        <w:spacing w:line="276" w:lineRule="auto"/>
        <w:contextualSpacing/>
        <w:rPr>
          <w:rFonts w:ascii="Calibri" w:eastAsia="Times New Roman" w:hAnsi="Calibri" w:cs="Times New Roman"/>
          <w:b/>
          <w:lang w:val="es-ES" w:eastAsia="es-ES"/>
        </w:rPr>
      </w:pPr>
      <w:r w:rsidRPr="00077C2A">
        <w:rPr>
          <w:rFonts w:ascii="Calibri" w:eastAsia="Times New Roman" w:hAnsi="Calibri" w:cs="Times New Roman"/>
          <w:b/>
          <w:lang w:val="es-ES" w:eastAsia="es-ES"/>
        </w:rPr>
        <w:t xml:space="preserve">Relación de Proyectos Sustantivos apoyados en proceso </w:t>
      </w:r>
    </w:p>
    <w:p w14:paraId="317F31E5" w14:textId="77777777" w:rsidR="00077C2A" w:rsidRPr="00077C2A" w:rsidRDefault="00077C2A" w:rsidP="00077C2A">
      <w:pPr>
        <w:autoSpaceDE w:val="0"/>
        <w:autoSpaceDN w:val="0"/>
        <w:spacing w:line="276" w:lineRule="auto"/>
        <w:rPr>
          <w:rFonts w:ascii="Calibri" w:eastAsia="Times New Roman" w:hAnsi="Calibri" w:cs="Times New Roman"/>
          <w:b/>
          <w:sz w:val="20"/>
          <w:szCs w:val="20"/>
          <w:lang w:val="en-US" w:eastAsia="es-ES"/>
        </w:rPr>
      </w:pPr>
    </w:p>
    <w:tbl>
      <w:tblPr>
        <w:tblW w:w="13380" w:type="dxa"/>
        <w:tblInd w:w="55" w:type="dxa"/>
        <w:tblCellMar>
          <w:left w:w="70" w:type="dxa"/>
          <w:right w:w="70" w:type="dxa"/>
        </w:tblCellMar>
        <w:tblLook w:val="04A0" w:firstRow="1" w:lastRow="0" w:firstColumn="1" w:lastColumn="0" w:noHBand="0" w:noVBand="1"/>
      </w:tblPr>
      <w:tblGrid>
        <w:gridCol w:w="2966"/>
        <w:gridCol w:w="2164"/>
        <w:gridCol w:w="1421"/>
        <w:gridCol w:w="1340"/>
        <w:gridCol w:w="1120"/>
        <w:gridCol w:w="1440"/>
        <w:gridCol w:w="1278"/>
        <w:gridCol w:w="1651"/>
      </w:tblGrid>
      <w:tr w:rsidR="00077C2A" w:rsidRPr="00077C2A" w14:paraId="426C08EE" w14:textId="77777777" w:rsidTr="008E717E">
        <w:trPr>
          <w:trHeight w:val="945"/>
        </w:trPr>
        <w:tc>
          <w:tcPr>
            <w:tcW w:w="3020" w:type="dxa"/>
            <w:tcBorders>
              <w:top w:val="single" w:sz="4" w:space="0" w:color="auto"/>
              <w:left w:val="single" w:sz="4" w:space="0" w:color="auto"/>
              <w:bottom w:val="single" w:sz="4" w:space="0" w:color="auto"/>
              <w:right w:val="single" w:sz="4" w:space="0" w:color="auto"/>
            </w:tcBorders>
            <w:shd w:val="clear" w:color="000000" w:fill="B38E5D"/>
            <w:vAlign w:val="center"/>
            <w:hideMark/>
          </w:tcPr>
          <w:p w14:paraId="77A9DDA7" w14:textId="77777777" w:rsidR="00077C2A" w:rsidRPr="00077C2A" w:rsidRDefault="00077C2A" w:rsidP="00077C2A">
            <w:pPr>
              <w:spacing w:line="276" w:lineRule="auto"/>
              <w:jc w:val="center"/>
              <w:rPr>
                <w:rFonts w:ascii="Calibri" w:eastAsia="Times New Roman" w:hAnsi="Calibri" w:cs="Times New Roman"/>
                <w:b/>
                <w:bCs/>
                <w:color w:val="FFFFFF"/>
                <w:sz w:val="22"/>
                <w:szCs w:val="22"/>
                <w:lang w:eastAsia="es-MX"/>
              </w:rPr>
            </w:pPr>
            <w:r w:rsidRPr="00077C2A">
              <w:rPr>
                <w:rFonts w:ascii="Calibri" w:eastAsia="Times New Roman" w:hAnsi="Calibri" w:cs="Times New Roman"/>
                <w:b/>
                <w:bCs/>
                <w:color w:val="FFFFFF"/>
                <w:sz w:val="22"/>
                <w:szCs w:val="22"/>
                <w:lang w:eastAsia="es-MX"/>
              </w:rPr>
              <w:t>NOMBRE DEL PROYECTO</w:t>
            </w:r>
          </w:p>
        </w:tc>
        <w:tc>
          <w:tcPr>
            <w:tcW w:w="2180" w:type="dxa"/>
            <w:tcBorders>
              <w:top w:val="single" w:sz="4" w:space="0" w:color="auto"/>
              <w:left w:val="nil"/>
              <w:bottom w:val="single" w:sz="4" w:space="0" w:color="auto"/>
              <w:right w:val="single" w:sz="4" w:space="0" w:color="auto"/>
            </w:tcBorders>
            <w:shd w:val="clear" w:color="000000" w:fill="B38E5D"/>
            <w:vAlign w:val="center"/>
            <w:hideMark/>
          </w:tcPr>
          <w:p w14:paraId="4AA94A1A" w14:textId="77777777" w:rsidR="00077C2A" w:rsidRPr="00077C2A" w:rsidRDefault="00077C2A" w:rsidP="00077C2A">
            <w:pPr>
              <w:spacing w:line="276" w:lineRule="auto"/>
              <w:jc w:val="center"/>
              <w:rPr>
                <w:rFonts w:ascii="Calibri" w:eastAsia="Times New Roman" w:hAnsi="Calibri" w:cs="Times New Roman"/>
                <w:b/>
                <w:bCs/>
                <w:color w:val="FFFFFF"/>
                <w:sz w:val="22"/>
                <w:szCs w:val="22"/>
                <w:lang w:eastAsia="es-MX"/>
              </w:rPr>
            </w:pPr>
            <w:r w:rsidRPr="00077C2A">
              <w:rPr>
                <w:rFonts w:ascii="Calibri" w:eastAsia="Times New Roman" w:hAnsi="Calibri" w:cs="Times New Roman"/>
                <w:b/>
                <w:bCs/>
                <w:color w:val="FFFFFF"/>
                <w:sz w:val="22"/>
                <w:szCs w:val="22"/>
                <w:lang w:eastAsia="es-MX"/>
              </w:rPr>
              <w:t xml:space="preserve">FUENTE DE FINANCIAMIENTO </w:t>
            </w:r>
          </w:p>
        </w:tc>
        <w:tc>
          <w:tcPr>
            <w:tcW w:w="1380" w:type="dxa"/>
            <w:tcBorders>
              <w:top w:val="single" w:sz="4" w:space="0" w:color="auto"/>
              <w:left w:val="nil"/>
              <w:bottom w:val="single" w:sz="4" w:space="0" w:color="auto"/>
              <w:right w:val="single" w:sz="4" w:space="0" w:color="auto"/>
            </w:tcBorders>
            <w:shd w:val="clear" w:color="000000" w:fill="B38E5D"/>
            <w:vAlign w:val="center"/>
            <w:hideMark/>
          </w:tcPr>
          <w:p w14:paraId="5B8C99CA" w14:textId="77777777" w:rsidR="00077C2A" w:rsidRPr="00077C2A" w:rsidRDefault="00077C2A" w:rsidP="00077C2A">
            <w:pPr>
              <w:spacing w:line="276" w:lineRule="auto"/>
              <w:jc w:val="center"/>
              <w:rPr>
                <w:rFonts w:ascii="Calibri" w:eastAsia="Times New Roman" w:hAnsi="Calibri" w:cs="Times New Roman"/>
                <w:b/>
                <w:bCs/>
                <w:color w:val="FFFFFF"/>
                <w:sz w:val="22"/>
                <w:szCs w:val="22"/>
                <w:lang w:eastAsia="es-MX"/>
              </w:rPr>
            </w:pPr>
            <w:r w:rsidRPr="00077C2A">
              <w:rPr>
                <w:rFonts w:ascii="Calibri" w:eastAsia="Times New Roman" w:hAnsi="Calibri" w:cs="Times New Roman"/>
                <w:b/>
                <w:bCs/>
                <w:color w:val="FFFFFF"/>
                <w:sz w:val="22"/>
                <w:szCs w:val="22"/>
                <w:lang w:eastAsia="es-MX"/>
              </w:rPr>
              <w:t>RECURSOS RECIBIDOS</w:t>
            </w:r>
          </w:p>
        </w:tc>
        <w:tc>
          <w:tcPr>
            <w:tcW w:w="1340" w:type="dxa"/>
            <w:tcBorders>
              <w:top w:val="single" w:sz="4" w:space="0" w:color="auto"/>
              <w:left w:val="nil"/>
              <w:bottom w:val="single" w:sz="4" w:space="0" w:color="auto"/>
              <w:right w:val="single" w:sz="4" w:space="0" w:color="auto"/>
            </w:tcBorders>
            <w:shd w:val="clear" w:color="000000" w:fill="B38E5D"/>
            <w:vAlign w:val="center"/>
            <w:hideMark/>
          </w:tcPr>
          <w:p w14:paraId="3BF4CC20" w14:textId="77777777" w:rsidR="00077C2A" w:rsidRPr="00077C2A" w:rsidRDefault="00077C2A" w:rsidP="00077C2A">
            <w:pPr>
              <w:spacing w:line="276" w:lineRule="auto"/>
              <w:jc w:val="center"/>
              <w:rPr>
                <w:rFonts w:ascii="Calibri" w:eastAsia="Times New Roman" w:hAnsi="Calibri" w:cs="Times New Roman"/>
                <w:b/>
                <w:bCs/>
                <w:color w:val="FFFFFF"/>
                <w:sz w:val="22"/>
                <w:szCs w:val="22"/>
                <w:lang w:eastAsia="es-MX"/>
              </w:rPr>
            </w:pPr>
            <w:r w:rsidRPr="00077C2A">
              <w:rPr>
                <w:rFonts w:ascii="Calibri" w:eastAsia="Times New Roman" w:hAnsi="Calibri" w:cs="Times New Roman"/>
                <w:b/>
                <w:bCs/>
                <w:color w:val="FFFFFF"/>
                <w:sz w:val="22"/>
                <w:szCs w:val="22"/>
                <w:lang w:eastAsia="es-MX"/>
              </w:rPr>
              <w:t>RECURSOS EJERCIDOS</w:t>
            </w:r>
          </w:p>
        </w:tc>
        <w:tc>
          <w:tcPr>
            <w:tcW w:w="1120" w:type="dxa"/>
            <w:tcBorders>
              <w:top w:val="single" w:sz="4" w:space="0" w:color="auto"/>
              <w:left w:val="nil"/>
              <w:bottom w:val="single" w:sz="4" w:space="0" w:color="auto"/>
              <w:right w:val="single" w:sz="4" w:space="0" w:color="auto"/>
            </w:tcBorders>
            <w:shd w:val="clear" w:color="000000" w:fill="B38E5D"/>
            <w:vAlign w:val="center"/>
            <w:hideMark/>
          </w:tcPr>
          <w:p w14:paraId="3947B720" w14:textId="77777777" w:rsidR="00077C2A" w:rsidRPr="00077C2A" w:rsidRDefault="00077C2A" w:rsidP="00077C2A">
            <w:pPr>
              <w:spacing w:line="276" w:lineRule="auto"/>
              <w:jc w:val="center"/>
              <w:rPr>
                <w:rFonts w:ascii="Calibri" w:eastAsia="Times New Roman" w:hAnsi="Calibri" w:cs="Times New Roman"/>
                <w:b/>
                <w:bCs/>
                <w:color w:val="FFFFFF"/>
                <w:sz w:val="22"/>
                <w:szCs w:val="22"/>
                <w:lang w:eastAsia="es-MX"/>
              </w:rPr>
            </w:pPr>
            <w:r w:rsidRPr="00077C2A">
              <w:rPr>
                <w:rFonts w:ascii="Calibri" w:eastAsia="Times New Roman" w:hAnsi="Calibri" w:cs="Times New Roman"/>
                <w:b/>
                <w:bCs/>
                <w:color w:val="FFFFFF"/>
                <w:sz w:val="22"/>
                <w:szCs w:val="22"/>
                <w:lang w:eastAsia="es-MX"/>
              </w:rPr>
              <w:t>FECHA DE INICIO</w:t>
            </w:r>
          </w:p>
        </w:tc>
        <w:tc>
          <w:tcPr>
            <w:tcW w:w="1440" w:type="dxa"/>
            <w:tcBorders>
              <w:top w:val="single" w:sz="4" w:space="0" w:color="auto"/>
              <w:left w:val="nil"/>
              <w:bottom w:val="single" w:sz="4" w:space="0" w:color="auto"/>
              <w:right w:val="single" w:sz="4" w:space="0" w:color="auto"/>
            </w:tcBorders>
            <w:shd w:val="clear" w:color="000000" w:fill="B38E5D"/>
            <w:vAlign w:val="center"/>
            <w:hideMark/>
          </w:tcPr>
          <w:p w14:paraId="0F4915C1" w14:textId="77777777" w:rsidR="00077C2A" w:rsidRPr="00077C2A" w:rsidRDefault="00077C2A" w:rsidP="00077C2A">
            <w:pPr>
              <w:spacing w:line="276" w:lineRule="auto"/>
              <w:jc w:val="center"/>
              <w:rPr>
                <w:rFonts w:ascii="Calibri" w:eastAsia="Times New Roman" w:hAnsi="Calibri" w:cs="Times New Roman"/>
                <w:b/>
                <w:bCs/>
                <w:color w:val="FFFFFF"/>
                <w:sz w:val="22"/>
                <w:szCs w:val="22"/>
                <w:lang w:eastAsia="es-MX"/>
              </w:rPr>
            </w:pPr>
            <w:r w:rsidRPr="00077C2A">
              <w:rPr>
                <w:rFonts w:ascii="Calibri" w:eastAsia="Times New Roman" w:hAnsi="Calibri" w:cs="Times New Roman"/>
                <w:b/>
                <w:bCs/>
                <w:color w:val="FFFFFF"/>
                <w:sz w:val="22"/>
                <w:szCs w:val="22"/>
                <w:lang w:eastAsia="es-MX"/>
              </w:rPr>
              <w:t>FECHA ESTIMADA DE CONCLUSIÓN</w:t>
            </w:r>
          </w:p>
        </w:tc>
        <w:tc>
          <w:tcPr>
            <w:tcW w:w="1240" w:type="dxa"/>
            <w:tcBorders>
              <w:top w:val="single" w:sz="4" w:space="0" w:color="auto"/>
              <w:left w:val="nil"/>
              <w:bottom w:val="single" w:sz="4" w:space="0" w:color="auto"/>
              <w:right w:val="single" w:sz="4" w:space="0" w:color="auto"/>
            </w:tcBorders>
            <w:shd w:val="clear" w:color="000000" w:fill="B38E5D"/>
            <w:vAlign w:val="center"/>
            <w:hideMark/>
          </w:tcPr>
          <w:p w14:paraId="01D43966" w14:textId="77777777" w:rsidR="00077C2A" w:rsidRPr="00077C2A" w:rsidRDefault="00077C2A" w:rsidP="00077C2A">
            <w:pPr>
              <w:spacing w:line="276" w:lineRule="auto"/>
              <w:jc w:val="center"/>
              <w:rPr>
                <w:rFonts w:ascii="Calibri" w:eastAsia="Times New Roman" w:hAnsi="Calibri" w:cs="Times New Roman"/>
                <w:b/>
                <w:bCs/>
                <w:color w:val="FFFFFF"/>
                <w:sz w:val="22"/>
                <w:szCs w:val="22"/>
                <w:lang w:eastAsia="es-MX"/>
              </w:rPr>
            </w:pPr>
            <w:r w:rsidRPr="00077C2A">
              <w:rPr>
                <w:rFonts w:ascii="Calibri" w:eastAsia="Times New Roman" w:hAnsi="Calibri" w:cs="Times New Roman"/>
                <w:b/>
                <w:bCs/>
                <w:color w:val="FFFFFF"/>
                <w:sz w:val="22"/>
                <w:szCs w:val="22"/>
                <w:lang w:eastAsia="es-MX"/>
              </w:rPr>
              <w:t>% DE AVANCE FINANCIERO</w:t>
            </w:r>
          </w:p>
        </w:tc>
        <w:tc>
          <w:tcPr>
            <w:tcW w:w="1660" w:type="dxa"/>
            <w:tcBorders>
              <w:top w:val="single" w:sz="4" w:space="0" w:color="auto"/>
              <w:left w:val="nil"/>
              <w:bottom w:val="single" w:sz="4" w:space="0" w:color="auto"/>
              <w:right w:val="single" w:sz="4" w:space="0" w:color="auto"/>
            </w:tcBorders>
            <w:shd w:val="clear" w:color="000000" w:fill="B38E5D"/>
            <w:vAlign w:val="center"/>
            <w:hideMark/>
          </w:tcPr>
          <w:p w14:paraId="45AABEF1" w14:textId="77777777" w:rsidR="00077C2A" w:rsidRPr="00077C2A" w:rsidRDefault="00077C2A" w:rsidP="00077C2A">
            <w:pPr>
              <w:spacing w:line="276" w:lineRule="auto"/>
              <w:jc w:val="center"/>
              <w:rPr>
                <w:rFonts w:ascii="Calibri" w:eastAsia="Times New Roman" w:hAnsi="Calibri" w:cs="Times New Roman"/>
                <w:b/>
                <w:bCs/>
                <w:color w:val="FFFFFF"/>
                <w:sz w:val="22"/>
                <w:szCs w:val="22"/>
                <w:lang w:eastAsia="es-MX"/>
              </w:rPr>
            </w:pPr>
            <w:r w:rsidRPr="00077C2A">
              <w:rPr>
                <w:rFonts w:ascii="Calibri" w:eastAsia="Times New Roman" w:hAnsi="Calibri" w:cs="Times New Roman"/>
                <w:b/>
                <w:bCs/>
                <w:color w:val="FFFFFF"/>
                <w:sz w:val="22"/>
                <w:szCs w:val="22"/>
                <w:lang w:eastAsia="es-MX"/>
              </w:rPr>
              <w:t>RESPONSABLE</w:t>
            </w:r>
          </w:p>
        </w:tc>
      </w:tr>
      <w:tr w:rsidR="00077C2A" w:rsidRPr="00077C2A" w14:paraId="3A8553DB" w14:textId="77777777" w:rsidTr="008E717E">
        <w:trPr>
          <w:trHeight w:val="18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459F7A16"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Beneficios de la naturaleza en fronteras agro-forestales: vinculando estrategias de actores, biodiversidad funcional y servicios ecosistémicos  (FOREFRONT).</w:t>
            </w:r>
          </w:p>
        </w:tc>
        <w:tc>
          <w:tcPr>
            <w:tcW w:w="2180" w:type="dxa"/>
            <w:tcBorders>
              <w:top w:val="nil"/>
              <w:left w:val="nil"/>
              <w:bottom w:val="single" w:sz="4" w:space="0" w:color="auto"/>
              <w:right w:val="single" w:sz="4" w:space="0" w:color="auto"/>
            </w:tcBorders>
            <w:shd w:val="clear" w:color="auto" w:fill="auto"/>
            <w:vAlign w:val="center"/>
            <w:hideMark/>
          </w:tcPr>
          <w:p w14:paraId="121B7FDA"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Universidad de Wageningen</w:t>
            </w:r>
          </w:p>
        </w:tc>
        <w:tc>
          <w:tcPr>
            <w:tcW w:w="1380" w:type="dxa"/>
            <w:tcBorders>
              <w:top w:val="nil"/>
              <w:left w:val="nil"/>
              <w:bottom w:val="single" w:sz="4" w:space="0" w:color="auto"/>
              <w:right w:val="single" w:sz="4" w:space="0" w:color="auto"/>
            </w:tcBorders>
            <w:shd w:val="clear" w:color="auto" w:fill="auto"/>
            <w:noWrap/>
            <w:vAlign w:val="center"/>
            <w:hideMark/>
          </w:tcPr>
          <w:p w14:paraId="44048A37"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2,487,746.22</w:t>
            </w:r>
          </w:p>
        </w:tc>
        <w:tc>
          <w:tcPr>
            <w:tcW w:w="1340" w:type="dxa"/>
            <w:tcBorders>
              <w:top w:val="nil"/>
              <w:left w:val="nil"/>
              <w:bottom w:val="single" w:sz="4" w:space="0" w:color="auto"/>
              <w:right w:val="single" w:sz="4" w:space="0" w:color="auto"/>
            </w:tcBorders>
            <w:shd w:val="clear" w:color="auto" w:fill="auto"/>
            <w:noWrap/>
            <w:vAlign w:val="center"/>
            <w:hideMark/>
          </w:tcPr>
          <w:p w14:paraId="7D372669"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2,146,071.44</w:t>
            </w:r>
          </w:p>
        </w:tc>
        <w:tc>
          <w:tcPr>
            <w:tcW w:w="1120" w:type="dxa"/>
            <w:tcBorders>
              <w:top w:val="nil"/>
              <w:left w:val="nil"/>
              <w:bottom w:val="single" w:sz="4" w:space="0" w:color="auto"/>
              <w:right w:val="single" w:sz="4" w:space="0" w:color="auto"/>
            </w:tcBorders>
            <w:shd w:val="clear" w:color="auto" w:fill="auto"/>
            <w:noWrap/>
            <w:vAlign w:val="center"/>
            <w:hideMark/>
          </w:tcPr>
          <w:p w14:paraId="47C98075"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15-ago-16</w:t>
            </w:r>
          </w:p>
        </w:tc>
        <w:tc>
          <w:tcPr>
            <w:tcW w:w="1440" w:type="dxa"/>
            <w:tcBorders>
              <w:top w:val="nil"/>
              <w:left w:val="nil"/>
              <w:bottom w:val="single" w:sz="4" w:space="0" w:color="auto"/>
              <w:right w:val="single" w:sz="4" w:space="0" w:color="auto"/>
            </w:tcBorders>
            <w:shd w:val="clear" w:color="auto" w:fill="auto"/>
            <w:noWrap/>
            <w:vAlign w:val="center"/>
            <w:hideMark/>
          </w:tcPr>
          <w:p w14:paraId="1851DB27"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31-dic-21</w:t>
            </w:r>
          </w:p>
        </w:tc>
        <w:tc>
          <w:tcPr>
            <w:tcW w:w="1240" w:type="dxa"/>
            <w:tcBorders>
              <w:top w:val="nil"/>
              <w:left w:val="nil"/>
              <w:bottom w:val="single" w:sz="4" w:space="0" w:color="auto"/>
              <w:right w:val="single" w:sz="4" w:space="0" w:color="auto"/>
            </w:tcBorders>
            <w:shd w:val="clear" w:color="auto" w:fill="auto"/>
            <w:noWrap/>
            <w:vAlign w:val="center"/>
            <w:hideMark/>
          </w:tcPr>
          <w:p w14:paraId="1751280F"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86%</w:t>
            </w:r>
          </w:p>
        </w:tc>
        <w:tc>
          <w:tcPr>
            <w:tcW w:w="1660" w:type="dxa"/>
            <w:tcBorders>
              <w:top w:val="nil"/>
              <w:left w:val="nil"/>
              <w:bottom w:val="single" w:sz="4" w:space="0" w:color="auto"/>
              <w:right w:val="single" w:sz="4" w:space="0" w:color="auto"/>
            </w:tcBorders>
            <w:shd w:val="clear" w:color="auto" w:fill="auto"/>
            <w:vAlign w:val="center"/>
            <w:hideMark/>
          </w:tcPr>
          <w:p w14:paraId="1F7A8677"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Parra Vázquez Manuel Roberto</w:t>
            </w:r>
          </w:p>
        </w:tc>
      </w:tr>
      <w:tr w:rsidR="00077C2A" w:rsidRPr="00077C2A" w14:paraId="052A37FE" w14:textId="77777777" w:rsidTr="008E717E">
        <w:trPr>
          <w:trHeight w:val="12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27EEBD1F"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Chanul Pom: El mundo abeja como espacio de formación en comunidades rurales de Chiapas.</w:t>
            </w:r>
          </w:p>
        </w:tc>
        <w:tc>
          <w:tcPr>
            <w:tcW w:w="2180" w:type="dxa"/>
            <w:tcBorders>
              <w:top w:val="nil"/>
              <w:left w:val="nil"/>
              <w:bottom w:val="single" w:sz="4" w:space="0" w:color="auto"/>
              <w:right w:val="single" w:sz="4" w:space="0" w:color="auto"/>
            </w:tcBorders>
            <w:shd w:val="clear" w:color="auto" w:fill="auto"/>
            <w:vAlign w:val="center"/>
            <w:hideMark/>
          </w:tcPr>
          <w:p w14:paraId="0CDA0975" w14:textId="77777777" w:rsidR="00077C2A" w:rsidRPr="00077C2A" w:rsidRDefault="00077C2A" w:rsidP="00077C2A">
            <w:pPr>
              <w:spacing w:line="276" w:lineRule="auto"/>
              <w:rPr>
                <w:rFonts w:ascii="Calibri" w:eastAsia="Times New Roman" w:hAnsi="Calibri" w:cs="Times New Roman"/>
                <w:color w:val="000000"/>
                <w:sz w:val="22"/>
                <w:szCs w:val="22"/>
                <w:lang w:val="en-US" w:eastAsia="es-MX"/>
              </w:rPr>
            </w:pPr>
            <w:r w:rsidRPr="00077C2A">
              <w:rPr>
                <w:rFonts w:ascii="Calibri" w:eastAsia="Times New Roman" w:hAnsi="Calibri" w:cs="Times New Roman"/>
                <w:color w:val="000000"/>
                <w:sz w:val="22"/>
                <w:szCs w:val="22"/>
                <w:lang w:val="en-US" w:eastAsia="es-MX"/>
              </w:rPr>
              <w:t>W.K. Kellogg Foundation (WKKF).</w:t>
            </w:r>
          </w:p>
        </w:tc>
        <w:tc>
          <w:tcPr>
            <w:tcW w:w="1380" w:type="dxa"/>
            <w:tcBorders>
              <w:top w:val="nil"/>
              <w:left w:val="nil"/>
              <w:bottom w:val="single" w:sz="4" w:space="0" w:color="auto"/>
              <w:right w:val="single" w:sz="4" w:space="0" w:color="auto"/>
            </w:tcBorders>
            <w:shd w:val="clear" w:color="auto" w:fill="auto"/>
            <w:noWrap/>
            <w:vAlign w:val="center"/>
            <w:hideMark/>
          </w:tcPr>
          <w:p w14:paraId="23A99403"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7,562,720.00</w:t>
            </w:r>
          </w:p>
        </w:tc>
        <w:tc>
          <w:tcPr>
            <w:tcW w:w="1340" w:type="dxa"/>
            <w:tcBorders>
              <w:top w:val="nil"/>
              <w:left w:val="nil"/>
              <w:bottom w:val="single" w:sz="4" w:space="0" w:color="auto"/>
              <w:right w:val="single" w:sz="4" w:space="0" w:color="auto"/>
            </w:tcBorders>
            <w:shd w:val="clear" w:color="auto" w:fill="auto"/>
            <w:noWrap/>
            <w:vAlign w:val="center"/>
            <w:hideMark/>
          </w:tcPr>
          <w:p w14:paraId="3BA00E02"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6,570,720.00</w:t>
            </w:r>
          </w:p>
        </w:tc>
        <w:tc>
          <w:tcPr>
            <w:tcW w:w="1120" w:type="dxa"/>
            <w:tcBorders>
              <w:top w:val="nil"/>
              <w:left w:val="nil"/>
              <w:bottom w:val="single" w:sz="4" w:space="0" w:color="auto"/>
              <w:right w:val="single" w:sz="4" w:space="0" w:color="auto"/>
            </w:tcBorders>
            <w:shd w:val="clear" w:color="auto" w:fill="auto"/>
            <w:noWrap/>
            <w:vAlign w:val="center"/>
            <w:hideMark/>
          </w:tcPr>
          <w:p w14:paraId="0646312E"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01-ene-17</w:t>
            </w:r>
          </w:p>
        </w:tc>
        <w:tc>
          <w:tcPr>
            <w:tcW w:w="1440" w:type="dxa"/>
            <w:tcBorders>
              <w:top w:val="nil"/>
              <w:left w:val="nil"/>
              <w:bottom w:val="single" w:sz="4" w:space="0" w:color="auto"/>
              <w:right w:val="single" w:sz="4" w:space="0" w:color="auto"/>
            </w:tcBorders>
            <w:shd w:val="clear" w:color="auto" w:fill="auto"/>
            <w:noWrap/>
            <w:vAlign w:val="center"/>
            <w:hideMark/>
          </w:tcPr>
          <w:p w14:paraId="4DD96C01"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31-ago-21</w:t>
            </w:r>
          </w:p>
        </w:tc>
        <w:tc>
          <w:tcPr>
            <w:tcW w:w="1240" w:type="dxa"/>
            <w:tcBorders>
              <w:top w:val="nil"/>
              <w:left w:val="nil"/>
              <w:bottom w:val="single" w:sz="4" w:space="0" w:color="auto"/>
              <w:right w:val="single" w:sz="4" w:space="0" w:color="auto"/>
            </w:tcBorders>
            <w:shd w:val="clear" w:color="auto" w:fill="auto"/>
            <w:noWrap/>
            <w:vAlign w:val="center"/>
            <w:hideMark/>
          </w:tcPr>
          <w:p w14:paraId="29114858"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87%</w:t>
            </w:r>
          </w:p>
        </w:tc>
        <w:tc>
          <w:tcPr>
            <w:tcW w:w="1660" w:type="dxa"/>
            <w:tcBorders>
              <w:top w:val="nil"/>
              <w:left w:val="nil"/>
              <w:bottom w:val="single" w:sz="4" w:space="0" w:color="auto"/>
              <w:right w:val="single" w:sz="4" w:space="0" w:color="auto"/>
            </w:tcBorders>
            <w:shd w:val="clear" w:color="auto" w:fill="auto"/>
            <w:vAlign w:val="center"/>
            <w:hideMark/>
          </w:tcPr>
          <w:p w14:paraId="1711139D"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Vandame Remy Benoit Marie</w:t>
            </w:r>
          </w:p>
        </w:tc>
      </w:tr>
      <w:tr w:rsidR="00077C2A" w:rsidRPr="00077C2A" w14:paraId="5E3BA349" w14:textId="77777777" w:rsidTr="008E717E">
        <w:trPr>
          <w:trHeight w:val="9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3FB2C977"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lastRenderedPageBreak/>
              <w:t>Forest2020: Monitoreo Satelital de los Bosques en el Sureste de México</w:t>
            </w:r>
          </w:p>
        </w:tc>
        <w:tc>
          <w:tcPr>
            <w:tcW w:w="2180" w:type="dxa"/>
            <w:tcBorders>
              <w:top w:val="nil"/>
              <w:left w:val="nil"/>
              <w:bottom w:val="single" w:sz="4" w:space="0" w:color="auto"/>
              <w:right w:val="single" w:sz="4" w:space="0" w:color="auto"/>
            </w:tcBorders>
            <w:shd w:val="clear" w:color="auto" w:fill="auto"/>
            <w:vAlign w:val="center"/>
            <w:hideMark/>
          </w:tcPr>
          <w:p w14:paraId="48E7AAEE"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ECOMETRICA</w:t>
            </w:r>
          </w:p>
        </w:tc>
        <w:tc>
          <w:tcPr>
            <w:tcW w:w="1380" w:type="dxa"/>
            <w:tcBorders>
              <w:top w:val="nil"/>
              <w:left w:val="nil"/>
              <w:bottom w:val="single" w:sz="4" w:space="0" w:color="auto"/>
              <w:right w:val="single" w:sz="4" w:space="0" w:color="auto"/>
            </w:tcBorders>
            <w:shd w:val="clear" w:color="auto" w:fill="auto"/>
            <w:noWrap/>
            <w:vAlign w:val="center"/>
            <w:hideMark/>
          </w:tcPr>
          <w:p w14:paraId="7A9537FC"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8,024,631.66</w:t>
            </w:r>
          </w:p>
        </w:tc>
        <w:tc>
          <w:tcPr>
            <w:tcW w:w="1340" w:type="dxa"/>
            <w:tcBorders>
              <w:top w:val="nil"/>
              <w:left w:val="nil"/>
              <w:bottom w:val="single" w:sz="4" w:space="0" w:color="auto"/>
              <w:right w:val="single" w:sz="4" w:space="0" w:color="auto"/>
            </w:tcBorders>
            <w:shd w:val="clear" w:color="auto" w:fill="auto"/>
            <w:noWrap/>
            <w:vAlign w:val="center"/>
            <w:hideMark/>
          </w:tcPr>
          <w:p w14:paraId="4991C258"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7,233,631.66</w:t>
            </w:r>
          </w:p>
        </w:tc>
        <w:tc>
          <w:tcPr>
            <w:tcW w:w="1120" w:type="dxa"/>
            <w:tcBorders>
              <w:top w:val="nil"/>
              <w:left w:val="nil"/>
              <w:bottom w:val="single" w:sz="4" w:space="0" w:color="auto"/>
              <w:right w:val="single" w:sz="4" w:space="0" w:color="auto"/>
            </w:tcBorders>
            <w:shd w:val="clear" w:color="auto" w:fill="auto"/>
            <w:noWrap/>
            <w:vAlign w:val="center"/>
            <w:hideMark/>
          </w:tcPr>
          <w:p w14:paraId="77D99749"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01-jul-18</w:t>
            </w:r>
          </w:p>
        </w:tc>
        <w:tc>
          <w:tcPr>
            <w:tcW w:w="1440" w:type="dxa"/>
            <w:tcBorders>
              <w:top w:val="nil"/>
              <w:left w:val="nil"/>
              <w:bottom w:val="single" w:sz="4" w:space="0" w:color="auto"/>
              <w:right w:val="single" w:sz="4" w:space="0" w:color="auto"/>
            </w:tcBorders>
            <w:shd w:val="clear" w:color="auto" w:fill="auto"/>
            <w:noWrap/>
            <w:vAlign w:val="center"/>
            <w:hideMark/>
          </w:tcPr>
          <w:p w14:paraId="718DCC3E"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31-dic-21</w:t>
            </w:r>
          </w:p>
        </w:tc>
        <w:tc>
          <w:tcPr>
            <w:tcW w:w="1240" w:type="dxa"/>
            <w:tcBorders>
              <w:top w:val="nil"/>
              <w:left w:val="nil"/>
              <w:bottom w:val="single" w:sz="4" w:space="0" w:color="auto"/>
              <w:right w:val="single" w:sz="4" w:space="0" w:color="auto"/>
            </w:tcBorders>
            <w:shd w:val="clear" w:color="auto" w:fill="auto"/>
            <w:noWrap/>
            <w:vAlign w:val="center"/>
            <w:hideMark/>
          </w:tcPr>
          <w:p w14:paraId="67E1691F"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90%</w:t>
            </w:r>
          </w:p>
        </w:tc>
        <w:tc>
          <w:tcPr>
            <w:tcW w:w="1660" w:type="dxa"/>
            <w:tcBorders>
              <w:top w:val="nil"/>
              <w:left w:val="nil"/>
              <w:bottom w:val="single" w:sz="4" w:space="0" w:color="auto"/>
              <w:right w:val="single" w:sz="4" w:space="0" w:color="auto"/>
            </w:tcBorders>
            <w:shd w:val="clear" w:color="auto" w:fill="auto"/>
            <w:vAlign w:val="center"/>
            <w:hideMark/>
          </w:tcPr>
          <w:p w14:paraId="4D8ABB2E"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Castillo Santiago Miguel Angel</w:t>
            </w:r>
          </w:p>
        </w:tc>
      </w:tr>
      <w:tr w:rsidR="00077C2A" w:rsidRPr="00077C2A" w14:paraId="737C5D64" w14:textId="77777777" w:rsidTr="008E717E">
        <w:trPr>
          <w:trHeight w:val="12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30F3FD9D"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Transmisión de zika y otros virus entre mosquitos, primates y perros en el sur y en el norte de México.</w:t>
            </w:r>
          </w:p>
        </w:tc>
        <w:tc>
          <w:tcPr>
            <w:tcW w:w="2180" w:type="dxa"/>
            <w:tcBorders>
              <w:top w:val="nil"/>
              <w:left w:val="nil"/>
              <w:bottom w:val="single" w:sz="4" w:space="0" w:color="auto"/>
              <w:right w:val="single" w:sz="4" w:space="0" w:color="auto"/>
            </w:tcBorders>
            <w:shd w:val="clear" w:color="auto" w:fill="auto"/>
            <w:vAlign w:val="center"/>
            <w:hideMark/>
          </w:tcPr>
          <w:p w14:paraId="1B553E90" w14:textId="77777777" w:rsidR="00077C2A" w:rsidRPr="00077C2A" w:rsidRDefault="00077C2A" w:rsidP="00077C2A">
            <w:pPr>
              <w:spacing w:line="276" w:lineRule="auto"/>
              <w:rPr>
                <w:rFonts w:ascii="Calibri" w:eastAsia="Times New Roman" w:hAnsi="Calibri" w:cs="Times New Roman"/>
                <w:color w:val="000000"/>
                <w:sz w:val="22"/>
                <w:szCs w:val="22"/>
                <w:lang w:val="en-US" w:eastAsia="es-MX"/>
              </w:rPr>
            </w:pPr>
            <w:r w:rsidRPr="00077C2A">
              <w:rPr>
                <w:rFonts w:ascii="Calibri" w:eastAsia="Times New Roman" w:hAnsi="Calibri" w:cs="Times New Roman"/>
                <w:color w:val="000000"/>
                <w:sz w:val="22"/>
                <w:szCs w:val="22"/>
                <w:lang w:val="en-US" w:eastAsia="es-MX"/>
              </w:rPr>
              <w:t>CONACYT - Texas A&amp;M University</w:t>
            </w:r>
          </w:p>
        </w:tc>
        <w:tc>
          <w:tcPr>
            <w:tcW w:w="1380" w:type="dxa"/>
            <w:tcBorders>
              <w:top w:val="nil"/>
              <w:left w:val="nil"/>
              <w:bottom w:val="single" w:sz="4" w:space="0" w:color="auto"/>
              <w:right w:val="single" w:sz="4" w:space="0" w:color="auto"/>
            </w:tcBorders>
            <w:shd w:val="clear" w:color="auto" w:fill="auto"/>
            <w:noWrap/>
            <w:vAlign w:val="center"/>
            <w:hideMark/>
          </w:tcPr>
          <w:p w14:paraId="304DDB94"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323,200.00</w:t>
            </w:r>
          </w:p>
        </w:tc>
        <w:tc>
          <w:tcPr>
            <w:tcW w:w="1340" w:type="dxa"/>
            <w:tcBorders>
              <w:top w:val="nil"/>
              <w:left w:val="nil"/>
              <w:bottom w:val="single" w:sz="4" w:space="0" w:color="auto"/>
              <w:right w:val="single" w:sz="4" w:space="0" w:color="auto"/>
            </w:tcBorders>
            <w:shd w:val="clear" w:color="auto" w:fill="auto"/>
            <w:noWrap/>
            <w:vAlign w:val="center"/>
            <w:hideMark/>
          </w:tcPr>
          <w:p w14:paraId="35ED7842"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315,196.08</w:t>
            </w:r>
          </w:p>
        </w:tc>
        <w:tc>
          <w:tcPr>
            <w:tcW w:w="1120" w:type="dxa"/>
            <w:tcBorders>
              <w:top w:val="nil"/>
              <w:left w:val="nil"/>
              <w:bottom w:val="single" w:sz="4" w:space="0" w:color="auto"/>
              <w:right w:val="single" w:sz="4" w:space="0" w:color="auto"/>
            </w:tcBorders>
            <w:shd w:val="clear" w:color="auto" w:fill="auto"/>
            <w:noWrap/>
            <w:vAlign w:val="center"/>
            <w:hideMark/>
          </w:tcPr>
          <w:p w14:paraId="722B5E5B"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01-sep-18</w:t>
            </w:r>
          </w:p>
        </w:tc>
        <w:tc>
          <w:tcPr>
            <w:tcW w:w="1440" w:type="dxa"/>
            <w:tcBorders>
              <w:top w:val="nil"/>
              <w:left w:val="nil"/>
              <w:bottom w:val="single" w:sz="4" w:space="0" w:color="auto"/>
              <w:right w:val="single" w:sz="4" w:space="0" w:color="auto"/>
            </w:tcBorders>
            <w:shd w:val="clear" w:color="auto" w:fill="auto"/>
            <w:noWrap/>
            <w:vAlign w:val="center"/>
            <w:hideMark/>
          </w:tcPr>
          <w:p w14:paraId="04CFB5DC"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31-ago-21</w:t>
            </w:r>
          </w:p>
        </w:tc>
        <w:tc>
          <w:tcPr>
            <w:tcW w:w="1240" w:type="dxa"/>
            <w:tcBorders>
              <w:top w:val="nil"/>
              <w:left w:val="nil"/>
              <w:bottom w:val="single" w:sz="4" w:space="0" w:color="auto"/>
              <w:right w:val="single" w:sz="4" w:space="0" w:color="auto"/>
            </w:tcBorders>
            <w:shd w:val="clear" w:color="auto" w:fill="auto"/>
            <w:noWrap/>
            <w:vAlign w:val="center"/>
            <w:hideMark/>
          </w:tcPr>
          <w:p w14:paraId="2F806282"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98%</w:t>
            </w:r>
          </w:p>
        </w:tc>
        <w:tc>
          <w:tcPr>
            <w:tcW w:w="1660" w:type="dxa"/>
            <w:tcBorders>
              <w:top w:val="nil"/>
              <w:left w:val="nil"/>
              <w:bottom w:val="single" w:sz="4" w:space="0" w:color="auto"/>
              <w:right w:val="single" w:sz="4" w:space="0" w:color="auto"/>
            </w:tcBorders>
            <w:shd w:val="clear" w:color="auto" w:fill="auto"/>
            <w:vAlign w:val="center"/>
            <w:hideMark/>
          </w:tcPr>
          <w:p w14:paraId="6B4FE7CC"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Ochoa Díaz-López Héctor</w:t>
            </w:r>
          </w:p>
        </w:tc>
      </w:tr>
      <w:tr w:rsidR="00077C2A" w:rsidRPr="00077C2A" w14:paraId="626954EF" w14:textId="77777777" w:rsidTr="008E717E">
        <w:trPr>
          <w:trHeight w:val="12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0517AEE8"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Programa de Formación de formadores en organizaciones de apicultores de la Península de Yucatán, Chiapas y Oaxaca</w:t>
            </w:r>
          </w:p>
        </w:tc>
        <w:tc>
          <w:tcPr>
            <w:tcW w:w="2180" w:type="dxa"/>
            <w:tcBorders>
              <w:top w:val="nil"/>
              <w:left w:val="nil"/>
              <w:bottom w:val="single" w:sz="4" w:space="0" w:color="auto"/>
              <w:right w:val="single" w:sz="4" w:space="0" w:color="auto"/>
            </w:tcBorders>
            <w:shd w:val="clear" w:color="auto" w:fill="auto"/>
            <w:vAlign w:val="center"/>
            <w:hideMark/>
          </w:tcPr>
          <w:p w14:paraId="789DAB35"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W.K. Kellogg Foundation</w:t>
            </w:r>
          </w:p>
        </w:tc>
        <w:tc>
          <w:tcPr>
            <w:tcW w:w="1380" w:type="dxa"/>
            <w:tcBorders>
              <w:top w:val="nil"/>
              <w:left w:val="nil"/>
              <w:bottom w:val="single" w:sz="4" w:space="0" w:color="auto"/>
              <w:right w:val="single" w:sz="4" w:space="0" w:color="auto"/>
            </w:tcBorders>
            <w:shd w:val="clear" w:color="auto" w:fill="auto"/>
            <w:noWrap/>
            <w:vAlign w:val="center"/>
            <w:hideMark/>
          </w:tcPr>
          <w:p w14:paraId="53BE018B"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11,373,603.41</w:t>
            </w:r>
          </w:p>
        </w:tc>
        <w:tc>
          <w:tcPr>
            <w:tcW w:w="1340" w:type="dxa"/>
            <w:tcBorders>
              <w:top w:val="nil"/>
              <w:left w:val="nil"/>
              <w:bottom w:val="single" w:sz="4" w:space="0" w:color="auto"/>
              <w:right w:val="single" w:sz="4" w:space="0" w:color="auto"/>
            </w:tcBorders>
            <w:shd w:val="clear" w:color="auto" w:fill="auto"/>
            <w:noWrap/>
            <w:vAlign w:val="center"/>
            <w:hideMark/>
          </w:tcPr>
          <w:p w14:paraId="3B4E23EA"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4,274,204.29</w:t>
            </w:r>
          </w:p>
        </w:tc>
        <w:tc>
          <w:tcPr>
            <w:tcW w:w="1120" w:type="dxa"/>
            <w:tcBorders>
              <w:top w:val="nil"/>
              <w:left w:val="nil"/>
              <w:bottom w:val="single" w:sz="4" w:space="0" w:color="auto"/>
              <w:right w:val="single" w:sz="4" w:space="0" w:color="auto"/>
            </w:tcBorders>
            <w:shd w:val="clear" w:color="auto" w:fill="auto"/>
            <w:noWrap/>
            <w:vAlign w:val="center"/>
            <w:hideMark/>
          </w:tcPr>
          <w:p w14:paraId="3FC4897F"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01-may-19</w:t>
            </w:r>
          </w:p>
        </w:tc>
        <w:tc>
          <w:tcPr>
            <w:tcW w:w="1440" w:type="dxa"/>
            <w:tcBorders>
              <w:top w:val="nil"/>
              <w:left w:val="nil"/>
              <w:bottom w:val="single" w:sz="4" w:space="0" w:color="auto"/>
              <w:right w:val="single" w:sz="4" w:space="0" w:color="auto"/>
            </w:tcBorders>
            <w:shd w:val="clear" w:color="auto" w:fill="auto"/>
            <w:noWrap/>
            <w:vAlign w:val="center"/>
            <w:hideMark/>
          </w:tcPr>
          <w:p w14:paraId="71DB9D88"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31-dic-22</w:t>
            </w:r>
          </w:p>
        </w:tc>
        <w:tc>
          <w:tcPr>
            <w:tcW w:w="1240" w:type="dxa"/>
            <w:tcBorders>
              <w:top w:val="nil"/>
              <w:left w:val="nil"/>
              <w:bottom w:val="single" w:sz="4" w:space="0" w:color="auto"/>
              <w:right w:val="single" w:sz="4" w:space="0" w:color="auto"/>
            </w:tcBorders>
            <w:shd w:val="clear" w:color="auto" w:fill="auto"/>
            <w:noWrap/>
            <w:vAlign w:val="center"/>
            <w:hideMark/>
          </w:tcPr>
          <w:p w14:paraId="113766CA"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38%</w:t>
            </w:r>
          </w:p>
        </w:tc>
        <w:tc>
          <w:tcPr>
            <w:tcW w:w="1660" w:type="dxa"/>
            <w:tcBorders>
              <w:top w:val="nil"/>
              <w:left w:val="nil"/>
              <w:bottom w:val="single" w:sz="4" w:space="0" w:color="auto"/>
              <w:right w:val="single" w:sz="4" w:space="0" w:color="auto"/>
            </w:tcBorders>
            <w:shd w:val="clear" w:color="auto" w:fill="auto"/>
            <w:vAlign w:val="center"/>
            <w:hideMark/>
          </w:tcPr>
          <w:p w14:paraId="156F1AF1"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 xml:space="preserve">Marie Vandame Remy Benoit </w:t>
            </w:r>
          </w:p>
        </w:tc>
      </w:tr>
      <w:tr w:rsidR="00077C2A" w:rsidRPr="00077C2A" w14:paraId="6B111CB7" w14:textId="77777777" w:rsidTr="008E717E">
        <w:trPr>
          <w:trHeight w:val="15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7DEC364D"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La investigación evaluativa de la pertinencia cultural del enfoque de graduación en los estados de Chiapas y Yucatán, México.</w:t>
            </w:r>
          </w:p>
        </w:tc>
        <w:tc>
          <w:tcPr>
            <w:tcW w:w="2180" w:type="dxa"/>
            <w:tcBorders>
              <w:top w:val="nil"/>
              <w:left w:val="nil"/>
              <w:bottom w:val="single" w:sz="4" w:space="0" w:color="auto"/>
              <w:right w:val="single" w:sz="4" w:space="0" w:color="auto"/>
            </w:tcBorders>
            <w:shd w:val="clear" w:color="auto" w:fill="auto"/>
            <w:vAlign w:val="center"/>
            <w:hideMark/>
          </w:tcPr>
          <w:p w14:paraId="69EC343C"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Trickle Up las  Américas (TUA)</w:t>
            </w:r>
          </w:p>
        </w:tc>
        <w:tc>
          <w:tcPr>
            <w:tcW w:w="1380" w:type="dxa"/>
            <w:tcBorders>
              <w:top w:val="nil"/>
              <w:left w:val="nil"/>
              <w:bottom w:val="single" w:sz="4" w:space="0" w:color="auto"/>
              <w:right w:val="single" w:sz="4" w:space="0" w:color="auto"/>
            </w:tcBorders>
            <w:shd w:val="clear" w:color="auto" w:fill="auto"/>
            <w:noWrap/>
            <w:vAlign w:val="center"/>
            <w:hideMark/>
          </w:tcPr>
          <w:p w14:paraId="259CE333"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1,874,454.48</w:t>
            </w:r>
          </w:p>
        </w:tc>
        <w:tc>
          <w:tcPr>
            <w:tcW w:w="1340" w:type="dxa"/>
            <w:tcBorders>
              <w:top w:val="nil"/>
              <w:left w:val="nil"/>
              <w:bottom w:val="single" w:sz="4" w:space="0" w:color="auto"/>
              <w:right w:val="single" w:sz="4" w:space="0" w:color="auto"/>
            </w:tcBorders>
            <w:shd w:val="clear" w:color="auto" w:fill="auto"/>
            <w:noWrap/>
            <w:vAlign w:val="center"/>
            <w:hideMark/>
          </w:tcPr>
          <w:p w14:paraId="0EC4E99B"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1,499,666.20</w:t>
            </w:r>
          </w:p>
        </w:tc>
        <w:tc>
          <w:tcPr>
            <w:tcW w:w="1120" w:type="dxa"/>
            <w:tcBorders>
              <w:top w:val="nil"/>
              <w:left w:val="nil"/>
              <w:bottom w:val="single" w:sz="4" w:space="0" w:color="auto"/>
              <w:right w:val="single" w:sz="4" w:space="0" w:color="auto"/>
            </w:tcBorders>
            <w:shd w:val="clear" w:color="auto" w:fill="auto"/>
            <w:noWrap/>
            <w:vAlign w:val="center"/>
            <w:hideMark/>
          </w:tcPr>
          <w:p w14:paraId="33429D20"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21-may-19</w:t>
            </w:r>
          </w:p>
        </w:tc>
        <w:tc>
          <w:tcPr>
            <w:tcW w:w="1440" w:type="dxa"/>
            <w:tcBorders>
              <w:top w:val="nil"/>
              <w:left w:val="nil"/>
              <w:bottom w:val="single" w:sz="4" w:space="0" w:color="auto"/>
              <w:right w:val="single" w:sz="4" w:space="0" w:color="auto"/>
            </w:tcBorders>
            <w:shd w:val="clear" w:color="auto" w:fill="auto"/>
            <w:noWrap/>
            <w:vAlign w:val="center"/>
            <w:hideMark/>
          </w:tcPr>
          <w:p w14:paraId="1D92A8D9"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31-may-21</w:t>
            </w:r>
          </w:p>
        </w:tc>
        <w:tc>
          <w:tcPr>
            <w:tcW w:w="1240" w:type="dxa"/>
            <w:tcBorders>
              <w:top w:val="nil"/>
              <w:left w:val="nil"/>
              <w:bottom w:val="single" w:sz="4" w:space="0" w:color="auto"/>
              <w:right w:val="single" w:sz="4" w:space="0" w:color="auto"/>
            </w:tcBorders>
            <w:shd w:val="clear" w:color="auto" w:fill="auto"/>
            <w:noWrap/>
            <w:vAlign w:val="center"/>
            <w:hideMark/>
          </w:tcPr>
          <w:p w14:paraId="1E64469B"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80%</w:t>
            </w:r>
          </w:p>
        </w:tc>
        <w:tc>
          <w:tcPr>
            <w:tcW w:w="1660" w:type="dxa"/>
            <w:tcBorders>
              <w:top w:val="nil"/>
              <w:left w:val="nil"/>
              <w:bottom w:val="single" w:sz="4" w:space="0" w:color="auto"/>
              <w:right w:val="single" w:sz="4" w:space="0" w:color="auto"/>
            </w:tcBorders>
            <w:shd w:val="clear" w:color="auto" w:fill="auto"/>
            <w:vAlign w:val="center"/>
            <w:hideMark/>
          </w:tcPr>
          <w:p w14:paraId="07F55D83"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Salvatierra Izaba Ernesto Benito</w:t>
            </w:r>
          </w:p>
        </w:tc>
      </w:tr>
      <w:tr w:rsidR="00077C2A" w:rsidRPr="00077C2A" w14:paraId="3A5ABA6B" w14:textId="77777777" w:rsidTr="008E717E">
        <w:trPr>
          <w:trHeight w:val="15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0A87862E"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Formulación de una propuesta de estrategia para el desarrollo integral de los territorios cafetaleros de la región sur sureste.</w:t>
            </w:r>
          </w:p>
        </w:tc>
        <w:tc>
          <w:tcPr>
            <w:tcW w:w="2180" w:type="dxa"/>
            <w:tcBorders>
              <w:top w:val="nil"/>
              <w:left w:val="nil"/>
              <w:bottom w:val="single" w:sz="4" w:space="0" w:color="auto"/>
              <w:right w:val="single" w:sz="4" w:space="0" w:color="auto"/>
            </w:tcBorders>
            <w:shd w:val="clear" w:color="auto" w:fill="auto"/>
            <w:vAlign w:val="center"/>
            <w:hideMark/>
          </w:tcPr>
          <w:p w14:paraId="0C334331"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Fideicomiso para el desarrollo regional del sur sureste de México (FIDESUR)</w:t>
            </w:r>
          </w:p>
        </w:tc>
        <w:tc>
          <w:tcPr>
            <w:tcW w:w="1380" w:type="dxa"/>
            <w:tcBorders>
              <w:top w:val="nil"/>
              <w:left w:val="nil"/>
              <w:bottom w:val="single" w:sz="4" w:space="0" w:color="auto"/>
              <w:right w:val="single" w:sz="4" w:space="0" w:color="auto"/>
            </w:tcBorders>
            <w:shd w:val="clear" w:color="auto" w:fill="auto"/>
            <w:noWrap/>
            <w:vAlign w:val="center"/>
            <w:hideMark/>
          </w:tcPr>
          <w:p w14:paraId="25A57649"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285,000.00</w:t>
            </w:r>
          </w:p>
        </w:tc>
        <w:tc>
          <w:tcPr>
            <w:tcW w:w="1340" w:type="dxa"/>
            <w:tcBorders>
              <w:top w:val="nil"/>
              <w:left w:val="nil"/>
              <w:bottom w:val="single" w:sz="4" w:space="0" w:color="auto"/>
              <w:right w:val="single" w:sz="4" w:space="0" w:color="auto"/>
            </w:tcBorders>
            <w:shd w:val="clear" w:color="auto" w:fill="auto"/>
            <w:noWrap/>
            <w:vAlign w:val="center"/>
            <w:hideMark/>
          </w:tcPr>
          <w:p w14:paraId="57B78CEF"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148,017.69</w:t>
            </w:r>
          </w:p>
        </w:tc>
        <w:tc>
          <w:tcPr>
            <w:tcW w:w="1120" w:type="dxa"/>
            <w:tcBorders>
              <w:top w:val="nil"/>
              <w:left w:val="nil"/>
              <w:bottom w:val="single" w:sz="4" w:space="0" w:color="auto"/>
              <w:right w:val="single" w:sz="4" w:space="0" w:color="auto"/>
            </w:tcBorders>
            <w:shd w:val="clear" w:color="auto" w:fill="auto"/>
            <w:noWrap/>
            <w:vAlign w:val="center"/>
            <w:hideMark/>
          </w:tcPr>
          <w:p w14:paraId="37A6926E"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15-ago-19</w:t>
            </w:r>
          </w:p>
        </w:tc>
        <w:tc>
          <w:tcPr>
            <w:tcW w:w="1440" w:type="dxa"/>
            <w:tcBorders>
              <w:top w:val="nil"/>
              <w:left w:val="nil"/>
              <w:bottom w:val="single" w:sz="4" w:space="0" w:color="auto"/>
              <w:right w:val="single" w:sz="4" w:space="0" w:color="auto"/>
            </w:tcBorders>
            <w:shd w:val="clear" w:color="auto" w:fill="auto"/>
            <w:noWrap/>
            <w:vAlign w:val="center"/>
            <w:hideMark/>
          </w:tcPr>
          <w:p w14:paraId="0C4C4521"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30-mar-21</w:t>
            </w:r>
          </w:p>
        </w:tc>
        <w:tc>
          <w:tcPr>
            <w:tcW w:w="1240" w:type="dxa"/>
            <w:tcBorders>
              <w:top w:val="nil"/>
              <w:left w:val="nil"/>
              <w:bottom w:val="single" w:sz="4" w:space="0" w:color="auto"/>
              <w:right w:val="single" w:sz="4" w:space="0" w:color="auto"/>
            </w:tcBorders>
            <w:shd w:val="clear" w:color="auto" w:fill="auto"/>
            <w:noWrap/>
            <w:vAlign w:val="center"/>
            <w:hideMark/>
          </w:tcPr>
          <w:p w14:paraId="6504BB2F"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52%</w:t>
            </w:r>
          </w:p>
        </w:tc>
        <w:tc>
          <w:tcPr>
            <w:tcW w:w="1660" w:type="dxa"/>
            <w:tcBorders>
              <w:top w:val="nil"/>
              <w:left w:val="nil"/>
              <w:bottom w:val="single" w:sz="4" w:space="0" w:color="auto"/>
              <w:right w:val="single" w:sz="4" w:space="0" w:color="auto"/>
            </w:tcBorders>
            <w:shd w:val="clear" w:color="auto" w:fill="auto"/>
            <w:vAlign w:val="center"/>
            <w:hideMark/>
          </w:tcPr>
          <w:p w14:paraId="018DDCC2"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Herrera Hernández Obeimar Balente</w:t>
            </w:r>
          </w:p>
        </w:tc>
      </w:tr>
      <w:tr w:rsidR="00077C2A" w:rsidRPr="00077C2A" w14:paraId="26EFB3C6" w14:textId="77777777" w:rsidTr="008E717E">
        <w:trPr>
          <w:trHeight w:val="15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45AE80B3"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Estancias Posdoctorales para Mujeres Méxicanas Indígenas en Ciencia, Tecnología, Ingenierías y Matemáticas.</w:t>
            </w:r>
          </w:p>
        </w:tc>
        <w:tc>
          <w:tcPr>
            <w:tcW w:w="2180" w:type="dxa"/>
            <w:tcBorders>
              <w:top w:val="nil"/>
              <w:left w:val="nil"/>
              <w:bottom w:val="single" w:sz="4" w:space="0" w:color="auto"/>
              <w:right w:val="single" w:sz="4" w:space="0" w:color="auto"/>
            </w:tcBorders>
            <w:shd w:val="clear" w:color="auto" w:fill="auto"/>
            <w:vAlign w:val="center"/>
            <w:hideMark/>
          </w:tcPr>
          <w:p w14:paraId="528C328F"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Centro de Investigaciones y Estudios Superiores en Antropología Social</w:t>
            </w:r>
          </w:p>
        </w:tc>
        <w:tc>
          <w:tcPr>
            <w:tcW w:w="1380" w:type="dxa"/>
            <w:tcBorders>
              <w:top w:val="nil"/>
              <w:left w:val="nil"/>
              <w:bottom w:val="single" w:sz="4" w:space="0" w:color="auto"/>
              <w:right w:val="single" w:sz="4" w:space="0" w:color="auto"/>
            </w:tcBorders>
            <w:shd w:val="clear" w:color="auto" w:fill="auto"/>
            <w:noWrap/>
            <w:vAlign w:val="center"/>
            <w:hideMark/>
          </w:tcPr>
          <w:p w14:paraId="677C887D"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450,475.91</w:t>
            </w:r>
          </w:p>
        </w:tc>
        <w:tc>
          <w:tcPr>
            <w:tcW w:w="1340" w:type="dxa"/>
            <w:tcBorders>
              <w:top w:val="nil"/>
              <w:left w:val="nil"/>
              <w:bottom w:val="single" w:sz="4" w:space="0" w:color="auto"/>
              <w:right w:val="single" w:sz="4" w:space="0" w:color="auto"/>
            </w:tcBorders>
            <w:shd w:val="clear" w:color="auto" w:fill="auto"/>
            <w:noWrap/>
            <w:vAlign w:val="center"/>
            <w:hideMark/>
          </w:tcPr>
          <w:p w14:paraId="2F8D1CDF"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53995B58"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02-dic-19</w:t>
            </w:r>
          </w:p>
        </w:tc>
        <w:tc>
          <w:tcPr>
            <w:tcW w:w="1440" w:type="dxa"/>
            <w:tcBorders>
              <w:top w:val="nil"/>
              <w:left w:val="nil"/>
              <w:bottom w:val="single" w:sz="4" w:space="0" w:color="auto"/>
              <w:right w:val="single" w:sz="4" w:space="0" w:color="auto"/>
            </w:tcBorders>
            <w:shd w:val="clear" w:color="auto" w:fill="auto"/>
            <w:noWrap/>
            <w:vAlign w:val="center"/>
            <w:hideMark/>
          </w:tcPr>
          <w:p w14:paraId="3D5231FC"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30-sep-22</w:t>
            </w:r>
          </w:p>
        </w:tc>
        <w:tc>
          <w:tcPr>
            <w:tcW w:w="1240" w:type="dxa"/>
            <w:tcBorders>
              <w:top w:val="nil"/>
              <w:left w:val="nil"/>
              <w:bottom w:val="single" w:sz="4" w:space="0" w:color="auto"/>
              <w:right w:val="single" w:sz="4" w:space="0" w:color="auto"/>
            </w:tcBorders>
            <w:shd w:val="clear" w:color="auto" w:fill="auto"/>
            <w:noWrap/>
            <w:vAlign w:val="center"/>
            <w:hideMark/>
          </w:tcPr>
          <w:p w14:paraId="1554636C"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w:t>
            </w:r>
          </w:p>
        </w:tc>
        <w:tc>
          <w:tcPr>
            <w:tcW w:w="1660" w:type="dxa"/>
            <w:tcBorders>
              <w:top w:val="nil"/>
              <w:left w:val="nil"/>
              <w:bottom w:val="single" w:sz="4" w:space="0" w:color="auto"/>
              <w:right w:val="single" w:sz="4" w:space="0" w:color="auto"/>
            </w:tcBorders>
            <w:shd w:val="clear" w:color="auto" w:fill="auto"/>
            <w:vAlign w:val="center"/>
            <w:hideMark/>
          </w:tcPr>
          <w:p w14:paraId="6176D5AA"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Sánchez Ramírez Georgina</w:t>
            </w:r>
          </w:p>
        </w:tc>
      </w:tr>
      <w:tr w:rsidR="00077C2A" w:rsidRPr="00077C2A" w14:paraId="1CD265F0" w14:textId="77777777" w:rsidTr="008E717E">
        <w:trPr>
          <w:trHeight w:val="12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54D084AD"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lastRenderedPageBreak/>
              <w:t>Género y conflictos socioambientales en torno a la mega y pequeña minería en México.</w:t>
            </w:r>
          </w:p>
        </w:tc>
        <w:tc>
          <w:tcPr>
            <w:tcW w:w="2180" w:type="dxa"/>
            <w:tcBorders>
              <w:top w:val="nil"/>
              <w:left w:val="nil"/>
              <w:bottom w:val="single" w:sz="4" w:space="0" w:color="auto"/>
              <w:right w:val="single" w:sz="4" w:space="0" w:color="auto"/>
            </w:tcBorders>
            <w:shd w:val="clear" w:color="auto" w:fill="auto"/>
            <w:vAlign w:val="center"/>
            <w:hideMark/>
          </w:tcPr>
          <w:p w14:paraId="5E7EC134"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El Colegio de Postgraduados</w:t>
            </w:r>
          </w:p>
        </w:tc>
        <w:tc>
          <w:tcPr>
            <w:tcW w:w="1380" w:type="dxa"/>
            <w:tcBorders>
              <w:top w:val="nil"/>
              <w:left w:val="nil"/>
              <w:bottom w:val="single" w:sz="4" w:space="0" w:color="auto"/>
              <w:right w:val="single" w:sz="4" w:space="0" w:color="auto"/>
            </w:tcBorders>
            <w:shd w:val="clear" w:color="auto" w:fill="auto"/>
            <w:noWrap/>
            <w:vAlign w:val="center"/>
            <w:hideMark/>
          </w:tcPr>
          <w:p w14:paraId="3FC6D85C"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A670D8C"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6E7FA2AD"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16-jun-20</w:t>
            </w:r>
          </w:p>
        </w:tc>
        <w:tc>
          <w:tcPr>
            <w:tcW w:w="1440" w:type="dxa"/>
            <w:tcBorders>
              <w:top w:val="nil"/>
              <w:left w:val="nil"/>
              <w:bottom w:val="single" w:sz="4" w:space="0" w:color="auto"/>
              <w:right w:val="single" w:sz="4" w:space="0" w:color="auto"/>
            </w:tcBorders>
            <w:shd w:val="clear" w:color="auto" w:fill="auto"/>
            <w:noWrap/>
            <w:vAlign w:val="center"/>
            <w:hideMark/>
          </w:tcPr>
          <w:p w14:paraId="3190B97D"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19-nov-22</w:t>
            </w:r>
          </w:p>
        </w:tc>
        <w:tc>
          <w:tcPr>
            <w:tcW w:w="1240" w:type="dxa"/>
            <w:tcBorders>
              <w:top w:val="nil"/>
              <w:left w:val="nil"/>
              <w:bottom w:val="single" w:sz="4" w:space="0" w:color="auto"/>
              <w:right w:val="single" w:sz="4" w:space="0" w:color="auto"/>
            </w:tcBorders>
            <w:shd w:val="clear" w:color="auto" w:fill="auto"/>
            <w:noWrap/>
            <w:vAlign w:val="center"/>
            <w:hideMark/>
          </w:tcPr>
          <w:p w14:paraId="1828C6F5"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w:t>
            </w:r>
          </w:p>
        </w:tc>
        <w:tc>
          <w:tcPr>
            <w:tcW w:w="1660" w:type="dxa"/>
            <w:tcBorders>
              <w:top w:val="nil"/>
              <w:left w:val="nil"/>
              <w:bottom w:val="single" w:sz="4" w:space="0" w:color="auto"/>
              <w:right w:val="single" w:sz="4" w:space="0" w:color="auto"/>
            </w:tcBorders>
            <w:shd w:val="clear" w:color="auto" w:fill="auto"/>
            <w:vAlign w:val="center"/>
            <w:hideMark/>
          </w:tcPr>
          <w:p w14:paraId="6F65509C"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Tuñón Pablos Esperanza</w:t>
            </w:r>
          </w:p>
        </w:tc>
      </w:tr>
      <w:tr w:rsidR="00077C2A" w:rsidRPr="00077C2A" w14:paraId="3A86BA70" w14:textId="77777777" w:rsidTr="008E717E">
        <w:trPr>
          <w:trHeight w:val="18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4E9D6601"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Respuesta del tapir (Tapirus bairdii) y el pecarí de labios blancos (Tayassu pecari) al cambio climático y la fragmentación del hábitat en el bosque maya.</w:t>
            </w:r>
          </w:p>
        </w:tc>
        <w:tc>
          <w:tcPr>
            <w:tcW w:w="2180" w:type="dxa"/>
            <w:tcBorders>
              <w:top w:val="nil"/>
              <w:left w:val="nil"/>
              <w:bottom w:val="single" w:sz="4" w:space="0" w:color="auto"/>
              <w:right w:val="single" w:sz="4" w:space="0" w:color="auto"/>
            </w:tcBorders>
            <w:shd w:val="clear" w:color="auto" w:fill="auto"/>
            <w:vAlign w:val="center"/>
            <w:hideMark/>
          </w:tcPr>
          <w:p w14:paraId="075F0896"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The Rufford Foundation</w:t>
            </w:r>
          </w:p>
        </w:tc>
        <w:tc>
          <w:tcPr>
            <w:tcW w:w="1380" w:type="dxa"/>
            <w:tcBorders>
              <w:top w:val="nil"/>
              <w:left w:val="nil"/>
              <w:bottom w:val="single" w:sz="4" w:space="0" w:color="auto"/>
              <w:right w:val="single" w:sz="4" w:space="0" w:color="auto"/>
            </w:tcBorders>
            <w:shd w:val="clear" w:color="auto" w:fill="auto"/>
            <w:noWrap/>
            <w:vAlign w:val="center"/>
            <w:hideMark/>
          </w:tcPr>
          <w:p w14:paraId="63D91C43"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169,000.00</w:t>
            </w:r>
          </w:p>
        </w:tc>
        <w:tc>
          <w:tcPr>
            <w:tcW w:w="1340" w:type="dxa"/>
            <w:tcBorders>
              <w:top w:val="nil"/>
              <w:left w:val="nil"/>
              <w:bottom w:val="single" w:sz="4" w:space="0" w:color="auto"/>
              <w:right w:val="single" w:sz="4" w:space="0" w:color="auto"/>
            </w:tcBorders>
            <w:shd w:val="clear" w:color="auto" w:fill="auto"/>
            <w:noWrap/>
            <w:vAlign w:val="center"/>
            <w:hideMark/>
          </w:tcPr>
          <w:p w14:paraId="1B1E11E8"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67,242.51</w:t>
            </w:r>
          </w:p>
        </w:tc>
        <w:tc>
          <w:tcPr>
            <w:tcW w:w="1120" w:type="dxa"/>
            <w:tcBorders>
              <w:top w:val="nil"/>
              <w:left w:val="nil"/>
              <w:bottom w:val="single" w:sz="4" w:space="0" w:color="auto"/>
              <w:right w:val="single" w:sz="4" w:space="0" w:color="auto"/>
            </w:tcBorders>
            <w:shd w:val="clear" w:color="auto" w:fill="auto"/>
            <w:noWrap/>
            <w:vAlign w:val="center"/>
            <w:hideMark/>
          </w:tcPr>
          <w:p w14:paraId="6BA1A368"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01-feb-20</w:t>
            </w:r>
          </w:p>
        </w:tc>
        <w:tc>
          <w:tcPr>
            <w:tcW w:w="1440" w:type="dxa"/>
            <w:tcBorders>
              <w:top w:val="nil"/>
              <w:left w:val="nil"/>
              <w:bottom w:val="single" w:sz="4" w:space="0" w:color="auto"/>
              <w:right w:val="single" w:sz="4" w:space="0" w:color="auto"/>
            </w:tcBorders>
            <w:shd w:val="clear" w:color="auto" w:fill="auto"/>
            <w:noWrap/>
            <w:vAlign w:val="center"/>
            <w:hideMark/>
          </w:tcPr>
          <w:p w14:paraId="3306BA7A"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28-feb-22</w:t>
            </w:r>
          </w:p>
        </w:tc>
        <w:tc>
          <w:tcPr>
            <w:tcW w:w="1240" w:type="dxa"/>
            <w:tcBorders>
              <w:top w:val="nil"/>
              <w:left w:val="nil"/>
              <w:bottom w:val="single" w:sz="4" w:space="0" w:color="auto"/>
              <w:right w:val="single" w:sz="4" w:space="0" w:color="auto"/>
            </w:tcBorders>
            <w:shd w:val="clear" w:color="auto" w:fill="auto"/>
            <w:noWrap/>
            <w:vAlign w:val="center"/>
            <w:hideMark/>
          </w:tcPr>
          <w:p w14:paraId="242CB12A"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40%</w:t>
            </w:r>
          </w:p>
        </w:tc>
        <w:tc>
          <w:tcPr>
            <w:tcW w:w="1660" w:type="dxa"/>
            <w:tcBorders>
              <w:top w:val="nil"/>
              <w:left w:val="nil"/>
              <w:bottom w:val="single" w:sz="4" w:space="0" w:color="auto"/>
              <w:right w:val="single" w:sz="4" w:space="0" w:color="auto"/>
            </w:tcBorders>
            <w:shd w:val="clear" w:color="auto" w:fill="auto"/>
            <w:vAlign w:val="center"/>
            <w:hideMark/>
          </w:tcPr>
          <w:p w14:paraId="61955FBD"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Naranjo Piñera Eduardo Jorge</w:t>
            </w:r>
          </w:p>
        </w:tc>
      </w:tr>
      <w:tr w:rsidR="00077C2A" w:rsidRPr="00077C2A" w14:paraId="57F0A396" w14:textId="77777777" w:rsidTr="008E717E">
        <w:trPr>
          <w:trHeight w:val="18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5DAB404A"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Diálogo de saberes sobre la fauna silvestre en bosques de niebla: El caso de la Reserva de La Biosfera El Triunfo, México y el Parque Nacional Sangay, Ecuador.</w:t>
            </w:r>
          </w:p>
        </w:tc>
        <w:tc>
          <w:tcPr>
            <w:tcW w:w="2180" w:type="dxa"/>
            <w:tcBorders>
              <w:top w:val="nil"/>
              <w:left w:val="nil"/>
              <w:bottom w:val="single" w:sz="4" w:space="0" w:color="auto"/>
              <w:right w:val="single" w:sz="4" w:space="0" w:color="auto"/>
            </w:tcBorders>
            <w:shd w:val="clear" w:color="auto" w:fill="auto"/>
            <w:vAlign w:val="center"/>
            <w:hideMark/>
          </w:tcPr>
          <w:p w14:paraId="0DCE3C6A"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The Rufford Foundation</w:t>
            </w:r>
          </w:p>
        </w:tc>
        <w:tc>
          <w:tcPr>
            <w:tcW w:w="1380" w:type="dxa"/>
            <w:tcBorders>
              <w:top w:val="nil"/>
              <w:left w:val="nil"/>
              <w:bottom w:val="single" w:sz="4" w:space="0" w:color="auto"/>
              <w:right w:val="single" w:sz="4" w:space="0" w:color="auto"/>
            </w:tcBorders>
            <w:shd w:val="clear" w:color="auto" w:fill="auto"/>
            <w:noWrap/>
            <w:vAlign w:val="center"/>
            <w:hideMark/>
          </w:tcPr>
          <w:p w14:paraId="3BF066B4"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169,000.00</w:t>
            </w:r>
          </w:p>
        </w:tc>
        <w:tc>
          <w:tcPr>
            <w:tcW w:w="1340" w:type="dxa"/>
            <w:tcBorders>
              <w:top w:val="nil"/>
              <w:left w:val="nil"/>
              <w:bottom w:val="single" w:sz="4" w:space="0" w:color="auto"/>
              <w:right w:val="single" w:sz="4" w:space="0" w:color="auto"/>
            </w:tcBorders>
            <w:shd w:val="clear" w:color="auto" w:fill="auto"/>
            <w:noWrap/>
            <w:vAlign w:val="center"/>
            <w:hideMark/>
          </w:tcPr>
          <w:p w14:paraId="10A0EA13"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24,063.00</w:t>
            </w:r>
          </w:p>
        </w:tc>
        <w:tc>
          <w:tcPr>
            <w:tcW w:w="1120" w:type="dxa"/>
            <w:tcBorders>
              <w:top w:val="nil"/>
              <w:left w:val="nil"/>
              <w:bottom w:val="single" w:sz="4" w:space="0" w:color="auto"/>
              <w:right w:val="single" w:sz="4" w:space="0" w:color="auto"/>
            </w:tcBorders>
            <w:shd w:val="clear" w:color="auto" w:fill="auto"/>
            <w:noWrap/>
            <w:vAlign w:val="center"/>
            <w:hideMark/>
          </w:tcPr>
          <w:p w14:paraId="084096D9"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01-jun-20</w:t>
            </w:r>
          </w:p>
        </w:tc>
        <w:tc>
          <w:tcPr>
            <w:tcW w:w="1440" w:type="dxa"/>
            <w:tcBorders>
              <w:top w:val="nil"/>
              <w:left w:val="nil"/>
              <w:bottom w:val="single" w:sz="4" w:space="0" w:color="auto"/>
              <w:right w:val="single" w:sz="4" w:space="0" w:color="auto"/>
            </w:tcBorders>
            <w:shd w:val="clear" w:color="auto" w:fill="auto"/>
            <w:noWrap/>
            <w:vAlign w:val="center"/>
            <w:hideMark/>
          </w:tcPr>
          <w:p w14:paraId="30E7C24C"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30-sep-21</w:t>
            </w:r>
          </w:p>
        </w:tc>
        <w:tc>
          <w:tcPr>
            <w:tcW w:w="1240" w:type="dxa"/>
            <w:tcBorders>
              <w:top w:val="nil"/>
              <w:left w:val="nil"/>
              <w:bottom w:val="single" w:sz="4" w:space="0" w:color="auto"/>
              <w:right w:val="single" w:sz="4" w:space="0" w:color="auto"/>
            </w:tcBorders>
            <w:shd w:val="clear" w:color="auto" w:fill="auto"/>
            <w:noWrap/>
            <w:vAlign w:val="center"/>
            <w:hideMark/>
          </w:tcPr>
          <w:p w14:paraId="4615B1AE"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14%</w:t>
            </w:r>
          </w:p>
        </w:tc>
        <w:tc>
          <w:tcPr>
            <w:tcW w:w="1660" w:type="dxa"/>
            <w:tcBorders>
              <w:top w:val="nil"/>
              <w:left w:val="nil"/>
              <w:bottom w:val="single" w:sz="4" w:space="0" w:color="auto"/>
              <w:right w:val="single" w:sz="4" w:space="0" w:color="auto"/>
            </w:tcBorders>
            <w:shd w:val="clear" w:color="auto" w:fill="auto"/>
            <w:vAlign w:val="center"/>
            <w:hideMark/>
          </w:tcPr>
          <w:p w14:paraId="494E3268"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Naranjo Piñera Eduardo Jorge</w:t>
            </w:r>
          </w:p>
        </w:tc>
      </w:tr>
      <w:tr w:rsidR="00077C2A" w:rsidRPr="00077C2A" w14:paraId="5315FA8B" w14:textId="77777777" w:rsidTr="008E717E">
        <w:trPr>
          <w:trHeight w:val="12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45C0893C"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Experiencias de restauración ecológica: especies nativas para acelerar la recuperación del bosque nublado.</w:t>
            </w:r>
          </w:p>
        </w:tc>
        <w:tc>
          <w:tcPr>
            <w:tcW w:w="2180" w:type="dxa"/>
            <w:tcBorders>
              <w:top w:val="nil"/>
              <w:left w:val="nil"/>
              <w:bottom w:val="single" w:sz="4" w:space="0" w:color="auto"/>
              <w:right w:val="single" w:sz="4" w:space="0" w:color="auto"/>
            </w:tcBorders>
            <w:shd w:val="clear" w:color="auto" w:fill="auto"/>
            <w:vAlign w:val="center"/>
            <w:hideMark/>
          </w:tcPr>
          <w:p w14:paraId="065D912D"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The Rufford Foundation</w:t>
            </w:r>
          </w:p>
        </w:tc>
        <w:tc>
          <w:tcPr>
            <w:tcW w:w="1380" w:type="dxa"/>
            <w:tcBorders>
              <w:top w:val="nil"/>
              <w:left w:val="nil"/>
              <w:bottom w:val="single" w:sz="4" w:space="0" w:color="auto"/>
              <w:right w:val="single" w:sz="4" w:space="0" w:color="auto"/>
            </w:tcBorders>
            <w:shd w:val="clear" w:color="auto" w:fill="auto"/>
            <w:noWrap/>
            <w:vAlign w:val="center"/>
            <w:hideMark/>
          </w:tcPr>
          <w:p w14:paraId="4E971EAC"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177,772.00</w:t>
            </w:r>
          </w:p>
        </w:tc>
        <w:tc>
          <w:tcPr>
            <w:tcW w:w="1340" w:type="dxa"/>
            <w:tcBorders>
              <w:top w:val="nil"/>
              <w:left w:val="nil"/>
              <w:bottom w:val="single" w:sz="4" w:space="0" w:color="auto"/>
              <w:right w:val="single" w:sz="4" w:space="0" w:color="auto"/>
            </w:tcBorders>
            <w:shd w:val="clear" w:color="auto" w:fill="auto"/>
            <w:noWrap/>
            <w:vAlign w:val="center"/>
            <w:hideMark/>
          </w:tcPr>
          <w:p w14:paraId="16809696"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106,628.98</w:t>
            </w:r>
          </w:p>
        </w:tc>
        <w:tc>
          <w:tcPr>
            <w:tcW w:w="1120" w:type="dxa"/>
            <w:tcBorders>
              <w:top w:val="nil"/>
              <w:left w:val="nil"/>
              <w:bottom w:val="single" w:sz="4" w:space="0" w:color="auto"/>
              <w:right w:val="single" w:sz="4" w:space="0" w:color="auto"/>
            </w:tcBorders>
            <w:shd w:val="clear" w:color="auto" w:fill="auto"/>
            <w:noWrap/>
            <w:vAlign w:val="center"/>
            <w:hideMark/>
          </w:tcPr>
          <w:p w14:paraId="5E1DB3C2"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28-jul-20</w:t>
            </w:r>
          </w:p>
        </w:tc>
        <w:tc>
          <w:tcPr>
            <w:tcW w:w="1440" w:type="dxa"/>
            <w:tcBorders>
              <w:top w:val="nil"/>
              <w:left w:val="nil"/>
              <w:bottom w:val="single" w:sz="4" w:space="0" w:color="auto"/>
              <w:right w:val="single" w:sz="4" w:space="0" w:color="auto"/>
            </w:tcBorders>
            <w:shd w:val="clear" w:color="auto" w:fill="auto"/>
            <w:noWrap/>
            <w:vAlign w:val="center"/>
            <w:hideMark/>
          </w:tcPr>
          <w:p w14:paraId="34860D51"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28-jul-21</w:t>
            </w:r>
          </w:p>
        </w:tc>
        <w:tc>
          <w:tcPr>
            <w:tcW w:w="1240" w:type="dxa"/>
            <w:tcBorders>
              <w:top w:val="nil"/>
              <w:left w:val="nil"/>
              <w:bottom w:val="single" w:sz="4" w:space="0" w:color="auto"/>
              <w:right w:val="single" w:sz="4" w:space="0" w:color="auto"/>
            </w:tcBorders>
            <w:shd w:val="clear" w:color="auto" w:fill="auto"/>
            <w:noWrap/>
            <w:vAlign w:val="center"/>
            <w:hideMark/>
          </w:tcPr>
          <w:p w14:paraId="15B9AF39"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60%</w:t>
            </w:r>
          </w:p>
        </w:tc>
        <w:tc>
          <w:tcPr>
            <w:tcW w:w="1660" w:type="dxa"/>
            <w:tcBorders>
              <w:top w:val="nil"/>
              <w:left w:val="nil"/>
              <w:bottom w:val="single" w:sz="4" w:space="0" w:color="auto"/>
              <w:right w:val="single" w:sz="4" w:space="0" w:color="auto"/>
            </w:tcBorders>
            <w:shd w:val="clear" w:color="auto" w:fill="auto"/>
            <w:vAlign w:val="center"/>
            <w:hideMark/>
          </w:tcPr>
          <w:p w14:paraId="0F83EC89"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 xml:space="preserve"> González Espinosa Mario </w:t>
            </w:r>
          </w:p>
        </w:tc>
      </w:tr>
      <w:tr w:rsidR="00077C2A" w:rsidRPr="00077C2A" w14:paraId="110552AC" w14:textId="77777777" w:rsidTr="008E717E">
        <w:trPr>
          <w:trHeight w:val="15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0D3977DF"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Comunidad de aprendizaje y práctica: contribuyendo a los territorios agroecológicos desde el mercadeo comunitario.</w:t>
            </w:r>
          </w:p>
        </w:tc>
        <w:tc>
          <w:tcPr>
            <w:tcW w:w="2180" w:type="dxa"/>
            <w:tcBorders>
              <w:top w:val="nil"/>
              <w:left w:val="nil"/>
              <w:bottom w:val="single" w:sz="4" w:space="0" w:color="auto"/>
              <w:right w:val="single" w:sz="4" w:space="0" w:color="auto"/>
            </w:tcBorders>
            <w:shd w:val="clear" w:color="auto" w:fill="auto"/>
            <w:vAlign w:val="center"/>
            <w:hideMark/>
          </w:tcPr>
          <w:p w14:paraId="70B86386"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Community Agroecology NetWork (CAN)</w:t>
            </w:r>
          </w:p>
        </w:tc>
        <w:tc>
          <w:tcPr>
            <w:tcW w:w="1380" w:type="dxa"/>
            <w:tcBorders>
              <w:top w:val="nil"/>
              <w:left w:val="nil"/>
              <w:bottom w:val="single" w:sz="4" w:space="0" w:color="auto"/>
              <w:right w:val="single" w:sz="4" w:space="0" w:color="auto"/>
            </w:tcBorders>
            <w:shd w:val="clear" w:color="auto" w:fill="auto"/>
            <w:noWrap/>
            <w:vAlign w:val="center"/>
            <w:hideMark/>
          </w:tcPr>
          <w:p w14:paraId="6CCF10C0"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2,608,086.24</w:t>
            </w:r>
          </w:p>
        </w:tc>
        <w:tc>
          <w:tcPr>
            <w:tcW w:w="1340" w:type="dxa"/>
            <w:tcBorders>
              <w:top w:val="nil"/>
              <w:left w:val="nil"/>
              <w:bottom w:val="single" w:sz="4" w:space="0" w:color="auto"/>
              <w:right w:val="single" w:sz="4" w:space="0" w:color="auto"/>
            </w:tcBorders>
            <w:shd w:val="clear" w:color="auto" w:fill="auto"/>
            <w:noWrap/>
            <w:vAlign w:val="center"/>
            <w:hideMark/>
          </w:tcPr>
          <w:p w14:paraId="5EC2865E"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433,280.78</w:t>
            </w:r>
          </w:p>
        </w:tc>
        <w:tc>
          <w:tcPr>
            <w:tcW w:w="1120" w:type="dxa"/>
            <w:tcBorders>
              <w:top w:val="nil"/>
              <w:left w:val="nil"/>
              <w:bottom w:val="single" w:sz="4" w:space="0" w:color="auto"/>
              <w:right w:val="single" w:sz="4" w:space="0" w:color="auto"/>
            </w:tcBorders>
            <w:shd w:val="clear" w:color="auto" w:fill="auto"/>
            <w:noWrap/>
            <w:vAlign w:val="center"/>
            <w:hideMark/>
          </w:tcPr>
          <w:p w14:paraId="67A99E49"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25-ago-20</w:t>
            </w:r>
          </w:p>
        </w:tc>
        <w:tc>
          <w:tcPr>
            <w:tcW w:w="1440" w:type="dxa"/>
            <w:tcBorders>
              <w:top w:val="nil"/>
              <w:left w:val="nil"/>
              <w:bottom w:val="single" w:sz="4" w:space="0" w:color="auto"/>
              <w:right w:val="single" w:sz="4" w:space="0" w:color="auto"/>
            </w:tcBorders>
            <w:shd w:val="clear" w:color="auto" w:fill="auto"/>
            <w:noWrap/>
            <w:vAlign w:val="center"/>
            <w:hideMark/>
          </w:tcPr>
          <w:p w14:paraId="712A4410"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24-ago-23</w:t>
            </w:r>
          </w:p>
        </w:tc>
        <w:tc>
          <w:tcPr>
            <w:tcW w:w="1240" w:type="dxa"/>
            <w:tcBorders>
              <w:top w:val="nil"/>
              <w:left w:val="nil"/>
              <w:bottom w:val="single" w:sz="4" w:space="0" w:color="auto"/>
              <w:right w:val="single" w:sz="4" w:space="0" w:color="auto"/>
            </w:tcBorders>
            <w:shd w:val="clear" w:color="auto" w:fill="auto"/>
            <w:noWrap/>
            <w:vAlign w:val="center"/>
            <w:hideMark/>
          </w:tcPr>
          <w:p w14:paraId="7D820914"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17%</w:t>
            </w:r>
          </w:p>
        </w:tc>
        <w:tc>
          <w:tcPr>
            <w:tcW w:w="1660" w:type="dxa"/>
            <w:tcBorders>
              <w:top w:val="nil"/>
              <w:left w:val="nil"/>
              <w:bottom w:val="single" w:sz="4" w:space="0" w:color="auto"/>
              <w:right w:val="single" w:sz="4" w:space="0" w:color="auto"/>
            </w:tcBorders>
            <w:shd w:val="clear" w:color="auto" w:fill="auto"/>
            <w:vAlign w:val="center"/>
            <w:hideMark/>
          </w:tcPr>
          <w:p w14:paraId="00A33A6F"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 xml:space="preserve"> Ferguson Bruce Gordon </w:t>
            </w:r>
          </w:p>
        </w:tc>
      </w:tr>
      <w:tr w:rsidR="00077C2A" w:rsidRPr="00077C2A" w14:paraId="73AAF074" w14:textId="77777777" w:rsidTr="00077C2A">
        <w:trPr>
          <w:trHeight w:val="1929"/>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1441599E"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lastRenderedPageBreak/>
              <w:t>Re-valorando la tierra: la gobernanza indígena de la silvicultura en el sur de México y el rediseño de la consulta de desarrollo sostenible y evaluación de impacto</w:t>
            </w:r>
          </w:p>
        </w:tc>
        <w:tc>
          <w:tcPr>
            <w:tcW w:w="2180" w:type="dxa"/>
            <w:tcBorders>
              <w:top w:val="nil"/>
              <w:left w:val="nil"/>
              <w:bottom w:val="single" w:sz="4" w:space="0" w:color="auto"/>
              <w:right w:val="single" w:sz="4" w:space="0" w:color="auto"/>
            </w:tcBorders>
            <w:shd w:val="clear" w:color="auto" w:fill="auto"/>
            <w:vAlign w:val="center"/>
            <w:hideMark/>
          </w:tcPr>
          <w:p w14:paraId="2A17CC2B"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Universidad de GLASGOW</w:t>
            </w:r>
          </w:p>
        </w:tc>
        <w:tc>
          <w:tcPr>
            <w:tcW w:w="1380" w:type="dxa"/>
            <w:tcBorders>
              <w:top w:val="nil"/>
              <w:left w:val="nil"/>
              <w:bottom w:val="single" w:sz="4" w:space="0" w:color="auto"/>
              <w:right w:val="single" w:sz="4" w:space="0" w:color="auto"/>
            </w:tcBorders>
            <w:shd w:val="clear" w:color="auto" w:fill="auto"/>
            <w:noWrap/>
            <w:vAlign w:val="center"/>
            <w:hideMark/>
          </w:tcPr>
          <w:p w14:paraId="6E004D92"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1,487,700.62</w:t>
            </w:r>
          </w:p>
        </w:tc>
        <w:tc>
          <w:tcPr>
            <w:tcW w:w="1340" w:type="dxa"/>
            <w:tcBorders>
              <w:top w:val="nil"/>
              <w:left w:val="nil"/>
              <w:bottom w:val="single" w:sz="4" w:space="0" w:color="auto"/>
              <w:right w:val="single" w:sz="4" w:space="0" w:color="auto"/>
            </w:tcBorders>
            <w:shd w:val="clear" w:color="auto" w:fill="auto"/>
            <w:noWrap/>
            <w:vAlign w:val="center"/>
            <w:hideMark/>
          </w:tcPr>
          <w:p w14:paraId="1CACC839"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449,900.00</w:t>
            </w:r>
          </w:p>
        </w:tc>
        <w:tc>
          <w:tcPr>
            <w:tcW w:w="1120" w:type="dxa"/>
            <w:tcBorders>
              <w:top w:val="nil"/>
              <w:left w:val="nil"/>
              <w:bottom w:val="single" w:sz="4" w:space="0" w:color="auto"/>
              <w:right w:val="single" w:sz="4" w:space="0" w:color="auto"/>
            </w:tcBorders>
            <w:shd w:val="clear" w:color="auto" w:fill="auto"/>
            <w:noWrap/>
            <w:vAlign w:val="center"/>
            <w:hideMark/>
          </w:tcPr>
          <w:p w14:paraId="2B89FD6A"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01-sep-20</w:t>
            </w:r>
          </w:p>
        </w:tc>
        <w:tc>
          <w:tcPr>
            <w:tcW w:w="1440" w:type="dxa"/>
            <w:tcBorders>
              <w:top w:val="nil"/>
              <w:left w:val="nil"/>
              <w:bottom w:val="single" w:sz="4" w:space="0" w:color="auto"/>
              <w:right w:val="single" w:sz="4" w:space="0" w:color="auto"/>
            </w:tcBorders>
            <w:shd w:val="clear" w:color="auto" w:fill="auto"/>
            <w:noWrap/>
            <w:vAlign w:val="center"/>
            <w:hideMark/>
          </w:tcPr>
          <w:p w14:paraId="67CB82A7"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30-jun-21</w:t>
            </w:r>
          </w:p>
        </w:tc>
        <w:tc>
          <w:tcPr>
            <w:tcW w:w="1240" w:type="dxa"/>
            <w:tcBorders>
              <w:top w:val="nil"/>
              <w:left w:val="nil"/>
              <w:bottom w:val="single" w:sz="4" w:space="0" w:color="auto"/>
              <w:right w:val="single" w:sz="4" w:space="0" w:color="auto"/>
            </w:tcBorders>
            <w:shd w:val="clear" w:color="auto" w:fill="auto"/>
            <w:noWrap/>
            <w:vAlign w:val="center"/>
            <w:hideMark/>
          </w:tcPr>
          <w:p w14:paraId="056034E3"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30%</w:t>
            </w:r>
          </w:p>
        </w:tc>
        <w:tc>
          <w:tcPr>
            <w:tcW w:w="1660" w:type="dxa"/>
            <w:tcBorders>
              <w:top w:val="nil"/>
              <w:left w:val="nil"/>
              <w:bottom w:val="single" w:sz="4" w:space="0" w:color="auto"/>
              <w:right w:val="single" w:sz="4" w:space="0" w:color="auto"/>
            </w:tcBorders>
            <w:shd w:val="clear" w:color="auto" w:fill="auto"/>
            <w:vAlign w:val="center"/>
            <w:hideMark/>
          </w:tcPr>
          <w:p w14:paraId="56D99160"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 xml:space="preserve"> Giraldo Palacio Omar Felipe </w:t>
            </w:r>
          </w:p>
        </w:tc>
      </w:tr>
      <w:tr w:rsidR="00077C2A" w:rsidRPr="00077C2A" w14:paraId="5A106CB6" w14:textId="77777777" w:rsidTr="008E717E">
        <w:trPr>
          <w:trHeight w:val="9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7FD79782"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Identificación y colecta de ejemplares de jardín.</w:t>
            </w:r>
          </w:p>
        </w:tc>
        <w:tc>
          <w:tcPr>
            <w:tcW w:w="2180" w:type="dxa"/>
            <w:tcBorders>
              <w:top w:val="nil"/>
              <w:left w:val="nil"/>
              <w:bottom w:val="single" w:sz="4" w:space="0" w:color="auto"/>
              <w:right w:val="single" w:sz="4" w:space="0" w:color="auto"/>
            </w:tcBorders>
            <w:shd w:val="clear" w:color="auto" w:fill="auto"/>
            <w:vAlign w:val="center"/>
            <w:hideMark/>
          </w:tcPr>
          <w:p w14:paraId="0CDC62B8"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Universidad intercultural del estado de Puebla</w:t>
            </w:r>
          </w:p>
        </w:tc>
        <w:tc>
          <w:tcPr>
            <w:tcW w:w="1380" w:type="dxa"/>
            <w:tcBorders>
              <w:top w:val="nil"/>
              <w:left w:val="nil"/>
              <w:bottom w:val="single" w:sz="4" w:space="0" w:color="auto"/>
              <w:right w:val="single" w:sz="4" w:space="0" w:color="auto"/>
            </w:tcBorders>
            <w:shd w:val="clear" w:color="auto" w:fill="auto"/>
            <w:noWrap/>
            <w:vAlign w:val="center"/>
            <w:hideMark/>
          </w:tcPr>
          <w:p w14:paraId="7DC3F67F"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100,000.00</w:t>
            </w:r>
          </w:p>
        </w:tc>
        <w:tc>
          <w:tcPr>
            <w:tcW w:w="1340" w:type="dxa"/>
            <w:tcBorders>
              <w:top w:val="nil"/>
              <w:left w:val="nil"/>
              <w:bottom w:val="single" w:sz="4" w:space="0" w:color="auto"/>
              <w:right w:val="single" w:sz="4" w:space="0" w:color="auto"/>
            </w:tcBorders>
            <w:shd w:val="clear" w:color="auto" w:fill="auto"/>
            <w:noWrap/>
            <w:vAlign w:val="center"/>
            <w:hideMark/>
          </w:tcPr>
          <w:p w14:paraId="61D4552E"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26,000.00</w:t>
            </w:r>
          </w:p>
        </w:tc>
        <w:tc>
          <w:tcPr>
            <w:tcW w:w="1120" w:type="dxa"/>
            <w:tcBorders>
              <w:top w:val="nil"/>
              <w:left w:val="nil"/>
              <w:bottom w:val="single" w:sz="4" w:space="0" w:color="auto"/>
              <w:right w:val="single" w:sz="4" w:space="0" w:color="auto"/>
            </w:tcBorders>
            <w:shd w:val="clear" w:color="auto" w:fill="auto"/>
            <w:noWrap/>
            <w:vAlign w:val="center"/>
            <w:hideMark/>
          </w:tcPr>
          <w:p w14:paraId="29D4A70B"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01-ene-21</w:t>
            </w:r>
          </w:p>
        </w:tc>
        <w:tc>
          <w:tcPr>
            <w:tcW w:w="1440" w:type="dxa"/>
            <w:tcBorders>
              <w:top w:val="nil"/>
              <w:left w:val="nil"/>
              <w:bottom w:val="single" w:sz="4" w:space="0" w:color="auto"/>
              <w:right w:val="single" w:sz="4" w:space="0" w:color="auto"/>
            </w:tcBorders>
            <w:shd w:val="clear" w:color="auto" w:fill="auto"/>
            <w:noWrap/>
            <w:vAlign w:val="center"/>
            <w:hideMark/>
          </w:tcPr>
          <w:p w14:paraId="5E1928F6"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31-dic-21</w:t>
            </w:r>
          </w:p>
        </w:tc>
        <w:tc>
          <w:tcPr>
            <w:tcW w:w="1240" w:type="dxa"/>
            <w:tcBorders>
              <w:top w:val="nil"/>
              <w:left w:val="nil"/>
              <w:bottom w:val="single" w:sz="4" w:space="0" w:color="auto"/>
              <w:right w:val="single" w:sz="4" w:space="0" w:color="auto"/>
            </w:tcBorders>
            <w:shd w:val="clear" w:color="auto" w:fill="auto"/>
            <w:noWrap/>
            <w:vAlign w:val="center"/>
            <w:hideMark/>
          </w:tcPr>
          <w:p w14:paraId="064548A7"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26%</w:t>
            </w:r>
          </w:p>
        </w:tc>
        <w:tc>
          <w:tcPr>
            <w:tcW w:w="1660" w:type="dxa"/>
            <w:tcBorders>
              <w:top w:val="nil"/>
              <w:left w:val="nil"/>
              <w:bottom w:val="single" w:sz="4" w:space="0" w:color="auto"/>
              <w:right w:val="single" w:sz="4" w:space="0" w:color="auto"/>
            </w:tcBorders>
            <w:shd w:val="clear" w:color="auto" w:fill="auto"/>
            <w:vAlign w:val="center"/>
            <w:hideMark/>
          </w:tcPr>
          <w:p w14:paraId="2B00D5A2"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 xml:space="preserve"> Cortina Villar Héctor Sergio </w:t>
            </w:r>
          </w:p>
        </w:tc>
      </w:tr>
      <w:tr w:rsidR="00077C2A" w:rsidRPr="00077C2A" w14:paraId="7D221B0F" w14:textId="77777777" w:rsidTr="008E717E">
        <w:trPr>
          <w:trHeight w:val="18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4327592F"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Impacto de la pandemia covid-19 en la percepción de mamíferos, con énfasis en murciélagos, y plan de acción para su conservación en Oaxaca, México.</w:t>
            </w:r>
          </w:p>
        </w:tc>
        <w:tc>
          <w:tcPr>
            <w:tcW w:w="2180" w:type="dxa"/>
            <w:tcBorders>
              <w:top w:val="nil"/>
              <w:left w:val="nil"/>
              <w:bottom w:val="single" w:sz="4" w:space="0" w:color="auto"/>
              <w:right w:val="single" w:sz="4" w:space="0" w:color="auto"/>
            </w:tcBorders>
            <w:shd w:val="clear" w:color="auto" w:fill="auto"/>
            <w:vAlign w:val="center"/>
            <w:hideMark/>
          </w:tcPr>
          <w:p w14:paraId="57953C76"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The Rufford Foundation</w:t>
            </w:r>
          </w:p>
        </w:tc>
        <w:tc>
          <w:tcPr>
            <w:tcW w:w="1380" w:type="dxa"/>
            <w:tcBorders>
              <w:top w:val="nil"/>
              <w:left w:val="nil"/>
              <w:bottom w:val="single" w:sz="4" w:space="0" w:color="auto"/>
              <w:right w:val="single" w:sz="4" w:space="0" w:color="auto"/>
            </w:tcBorders>
            <w:shd w:val="clear" w:color="auto" w:fill="auto"/>
            <w:noWrap/>
            <w:vAlign w:val="center"/>
            <w:hideMark/>
          </w:tcPr>
          <w:p w14:paraId="133D5349"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154,175.32</w:t>
            </w:r>
          </w:p>
        </w:tc>
        <w:tc>
          <w:tcPr>
            <w:tcW w:w="1340" w:type="dxa"/>
            <w:tcBorders>
              <w:top w:val="nil"/>
              <w:left w:val="nil"/>
              <w:bottom w:val="single" w:sz="4" w:space="0" w:color="auto"/>
              <w:right w:val="single" w:sz="4" w:space="0" w:color="auto"/>
            </w:tcBorders>
            <w:shd w:val="clear" w:color="auto" w:fill="auto"/>
            <w:noWrap/>
            <w:vAlign w:val="center"/>
            <w:hideMark/>
          </w:tcPr>
          <w:p w14:paraId="32B0D7E2"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76,382.39</w:t>
            </w:r>
          </w:p>
        </w:tc>
        <w:tc>
          <w:tcPr>
            <w:tcW w:w="1120" w:type="dxa"/>
            <w:tcBorders>
              <w:top w:val="nil"/>
              <w:left w:val="nil"/>
              <w:bottom w:val="single" w:sz="4" w:space="0" w:color="auto"/>
              <w:right w:val="single" w:sz="4" w:space="0" w:color="auto"/>
            </w:tcBorders>
            <w:shd w:val="clear" w:color="auto" w:fill="auto"/>
            <w:noWrap/>
            <w:vAlign w:val="center"/>
            <w:hideMark/>
          </w:tcPr>
          <w:p w14:paraId="4556D411"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01-feb-21</w:t>
            </w:r>
          </w:p>
        </w:tc>
        <w:tc>
          <w:tcPr>
            <w:tcW w:w="1440" w:type="dxa"/>
            <w:tcBorders>
              <w:top w:val="nil"/>
              <w:left w:val="nil"/>
              <w:bottom w:val="single" w:sz="4" w:space="0" w:color="auto"/>
              <w:right w:val="single" w:sz="4" w:space="0" w:color="auto"/>
            </w:tcBorders>
            <w:shd w:val="clear" w:color="auto" w:fill="auto"/>
            <w:noWrap/>
            <w:vAlign w:val="center"/>
            <w:hideMark/>
          </w:tcPr>
          <w:p w14:paraId="2F125749"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29-ene-22</w:t>
            </w:r>
          </w:p>
        </w:tc>
        <w:tc>
          <w:tcPr>
            <w:tcW w:w="1240" w:type="dxa"/>
            <w:tcBorders>
              <w:top w:val="nil"/>
              <w:left w:val="nil"/>
              <w:bottom w:val="single" w:sz="4" w:space="0" w:color="auto"/>
              <w:right w:val="single" w:sz="4" w:space="0" w:color="auto"/>
            </w:tcBorders>
            <w:shd w:val="clear" w:color="auto" w:fill="auto"/>
            <w:noWrap/>
            <w:vAlign w:val="center"/>
            <w:hideMark/>
          </w:tcPr>
          <w:p w14:paraId="6DAB4D74"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50%</w:t>
            </w:r>
          </w:p>
        </w:tc>
        <w:tc>
          <w:tcPr>
            <w:tcW w:w="1660" w:type="dxa"/>
            <w:tcBorders>
              <w:top w:val="nil"/>
              <w:left w:val="nil"/>
              <w:bottom w:val="single" w:sz="4" w:space="0" w:color="auto"/>
              <w:right w:val="single" w:sz="4" w:space="0" w:color="auto"/>
            </w:tcBorders>
            <w:shd w:val="clear" w:color="auto" w:fill="auto"/>
            <w:vAlign w:val="center"/>
            <w:hideMark/>
          </w:tcPr>
          <w:p w14:paraId="5FC75559"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 xml:space="preserve"> Lorenzo Monterrubio Ana María del Consuelo </w:t>
            </w:r>
          </w:p>
        </w:tc>
      </w:tr>
      <w:tr w:rsidR="00077C2A" w:rsidRPr="00077C2A" w14:paraId="6D9209A6" w14:textId="77777777" w:rsidTr="008E717E">
        <w:trPr>
          <w:trHeight w:val="18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20750596"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Fortalecimiento de plataformas de observación de la tierra en el sureste de México para apoyar metas de mitigación del cambio climático.</w:t>
            </w:r>
          </w:p>
        </w:tc>
        <w:tc>
          <w:tcPr>
            <w:tcW w:w="2180" w:type="dxa"/>
            <w:tcBorders>
              <w:top w:val="nil"/>
              <w:left w:val="nil"/>
              <w:bottom w:val="single" w:sz="4" w:space="0" w:color="auto"/>
              <w:right w:val="single" w:sz="4" w:space="0" w:color="auto"/>
            </w:tcBorders>
            <w:shd w:val="clear" w:color="auto" w:fill="auto"/>
            <w:vAlign w:val="center"/>
            <w:hideMark/>
          </w:tcPr>
          <w:p w14:paraId="44641E23"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ECOMETRICA</w:t>
            </w:r>
          </w:p>
        </w:tc>
        <w:tc>
          <w:tcPr>
            <w:tcW w:w="1380" w:type="dxa"/>
            <w:tcBorders>
              <w:top w:val="nil"/>
              <w:left w:val="nil"/>
              <w:bottom w:val="single" w:sz="4" w:space="0" w:color="auto"/>
              <w:right w:val="single" w:sz="4" w:space="0" w:color="auto"/>
            </w:tcBorders>
            <w:shd w:val="clear" w:color="auto" w:fill="auto"/>
            <w:noWrap/>
            <w:vAlign w:val="center"/>
            <w:hideMark/>
          </w:tcPr>
          <w:p w14:paraId="4FE50BF7"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2,200,000.00</w:t>
            </w:r>
          </w:p>
        </w:tc>
        <w:tc>
          <w:tcPr>
            <w:tcW w:w="1340" w:type="dxa"/>
            <w:tcBorders>
              <w:top w:val="nil"/>
              <w:left w:val="nil"/>
              <w:bottom w:val="single" w:sz="4" w:space="0" w:color="auto"/>
              <w:right w:val="single" w:sz="4" w:space="0" w:color="auto"/>
            </w:tcBorders>
            <w:shd w:val="clear" w:color="auto" w:fill="auto"/>
            <w:noWrap/>
            <w:vAlign w:val="center"/>
            <w:hideMark/>
          </w:tcPr>
          <w:p w14:paraId="2108E81C"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132,699.95</w:t>
            </w:r>
          </w:p>
        </w:tc>
        <w:tc>
          <w:tcPr>
            <w:tcW w:w="1120" w:type="dxa"/>
            <w:tcBorders>
              <w:top w:val="nil"/>
              <w:left w:val="nil"/>
              <w:bottom w:val="single" w:sz="4" w:space="0" w:color="auto"/>
              <w:right w:val="single" w:sz="4" w:space="0" w:color="auto"/>
            </w:tcBorders>
            <w:shd w:val="clear" w:color="auto" w:fill="auto"/>
            <w:noWrap/>
            <w:vAlign w:val="center"/>
            <w:hideMark/>
          </w:tcPr>
          <w:p w14:paraId="6DBD4ACB"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01-ene-21</w:t>
            </w:r>
          </w:p>
        </w:tc>
        <w:tc>
          <w:tcPr>
            <w:tcW w:w="1440" w:type="dxa"/>
            <w:tcBorders>
              <w:top w:val="nil"/>
              <w:left w:val="nil"/>
              <w:bottom w:val="single" w:sz="4" w:space="0" w:color="auto"/>
              <w:right w:val="single" w:sz="4" w:space="0" w:color="auto"/>
            </w:tcBorders>
            <w:shd w:val="clear" w:color="auto" w:fill="auto"/>
            <w:noWrap/>
            <w:vAlign w:val="center"/>
            <w:hideMark/>
          </w:tcPr>
          <w:p w14:paraId="11EB38AC"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31-dic-21</w:t>
            </w:r>
          </w:p>
        </w:tc>
        <w:tc>
          <w:tcPr>
            <w:tcW w:w="1240" w:type="dxa"/>
            <w:tcBorders>
              <w:top w:val="nil"/>
              <w:left w:val="nil"/>
              <w:bottom w:val="single" w:sz="4" w:space="0" w:color="auto"/>
              <w:right w:val="single" w:sz="4" w:space="0" w:color="auto"/>
            </w:tcBorders>
            <w:shd w:val="clear" w:color="auto" w:fill="auto"/>
            <w:noWrap/>
            <w:vAlign w:val="center"/>
            <w:hideMark/>
          </w:tcPr>
          <w:p w14:paraId="07E9D9C2"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6%</w:t>
            </w:r>
          </w:p>
        </w:tc>
        <w:tc>
          <w:tcPr>
            <w:tcW w:w="1660" w:type="dxa"/>
            <w:tcBorders>
              <w:top w:val="nil"/>
              <w:left w:val="nil"/>
              <w:bottom w:val="single" w:sz="4" w:space="0" w:color="auto"/>
              <w:right w:val="single" w:sz="4" w:space="0" w:color="auto"/>
            </w:tcBorders>
            <w:shd w:val="clear" w:color="auto" w:fill="auto"/>
            <w:vAlign w:val="center"/>
            <w:hideMark/>
          </w:tcPr>
          <w:p w14:paraId="31538E97"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 xml:space="preserve"> Castillo Santiago Miguel Ángel </w:t>
            </w:r>
          </w:p>
        </w:tc>
      </w:tr>
      <w:tr w:rsidR="00077C2A" w:rsidRPr="00077C2A" w14:paraId="236BEE46" w14:textId="77777777" w:rsidTr="008E717E">
        <w:trPr>
          <w:trHeight w:val="12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16891A7F"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Evolución, historia y conservación de dos especies de tortuga marina en la costa de Oaxaca.</w:t>
            </w:r>
          </w:p>
        </w:tc>
        <w:tc>
          <w:tcPr>
            <w:tcW w:w="2180" w:type="dxa"/>
            <w:tcBorders>
              <w:top w:val="nil"/>
              <w:left w:val="nil"/>
              <w:bottom w:val="single" w:sz="4" w:space="0" w:color="auto"/>
              <w:right w:val="single" w:sz="4" w:space="0" w:color="auto"/>
            </w:tcBorders>
            <w:shd w:val="clear" w:color="auto" w:fill="auto"/>
            <w:vAlign w:val="center"/>
            <w:hideMark/>
          </w:tcPr>
          <w:p w14:paraId="24CA30E9"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The Rufford Foundation</w:t>
            </w:r>
          </w:p>
        </w:tc>
        <w:tc>
          <w:tcPr>
            <w:tcW w:w="1380" w:type="dxa"/>
            <w:tcBorders>
              <w:top w:val="nil"/>
              <w:left w:val="nil"/>
              <w:bottom w:val="single" w:sz="4" w:space="0" w:color="auto"/>
              <w:right w:val="single" w:sz="4" w:space="0" w:color="auto"/>
            </w:tcBorders>
            <w:shd w:val="clear" w:color="auto" w:fill="auto"/>
            <w:noWrap/>
            <w:vAlign w:val="center"/>
            <w:hideMark/>
          </w:tcPr>
          <w:p w14:paraId="7BC32C03"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152,460.00</w:t>
            </w:r>
          </w:p>
        </w:tc>
        <w:tc>
          <w:tcPr>
            <w:tcW w:w="1340" w:type="dxa"/>
            <w:tcBorders>
              <w:top w:val="nil"/>
              <w:left w:val="nil"/>
              <w:bottom w:val="single" w:sz="4" w:space="0" w:color="auto"/>
              <w:right w:val="single" w:sz="4" w:space="0" w:color="auto"/>
            </w:tcBorders>
            <w:shd w:val="clear" w:color="auto" w:fill="auto"/>
            <w:noWrap/>
            <w:vAlign w:val="center"/>
            <w:hideMark/>
          </w:tcPr>
          <w:p w14:paraId="097C7956"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74790AB"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01-oct-20</w:t>
            </w:r>
          </w:p>
        </w:tc>
        <w:tc>
          <w:tcPr>
            <w:tcW w:w="1440" w:type="dxa"/>
            <w:tcBorders>
              <w:top w:val="nil"/>
              <w:left w:val="nil"/>
              <w:bottom w:val="single" w:sz="4" w:space="0" w:color="auto"/>
              <w:right w:val="single" w:sz="4" w:space="0" w:color="auto"/>
            </w:tcBorders>
            <w:shd w:val="clear" w:color="auto" w:fill="auto"/>
            <w:noWrap/>
            <w:vAlign w:val="center"/>
            <w:hideMark/>
          </w:tcPr>
          <w:p w14:paraId="5F859AFA"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01-dic-21</w:t>
            </w:r>
          </w:p>
        </w:tc>
        <w:tc>
          <w:tcPr>
            <w:tcW w:w="1240" w:type="dxa"/>
            <w:tcBorders>
              <w:top w:val="nil"/>
              <w:left w:val="nil"/>
              <w:bottom w:val="single" w:sz="4" w:space="0" w:color="auto"/>
              <w:right w:val="single" w:sz="4" w:space="0" w:color="auto"/>
            </w:tcBorders>
            <w:shd w:val="clear" w:color="auto" w:fill="auto"/>
            <w:noWrap/>
            <w:vAlign w:val="center"/>
            <w:hideMark/>
          </w:tcPr>
          <w:p w14:paraId="23976521"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w:t>
            </w:r>
          </w:p>
        </w:tc>
        <w:tc>
          <w:tcPr>
            <w:tcW w:w="1660" w:type="dxa"/>
            <w:tcBorders>
              <w:top w:val="nil"/>
              <w:left w:val="nil"/>
              <w:bottom w:val="single" w:sz="4" w:space="0" w:color="auto"/>
              <w:right w:val="single" w:sz="4" w:space="0" w:color="auto"/>
            </w:tcBorders>
            <w:shd w:val="clear" w:color="auto" w:fill="auto"/>
            <w:vAlign w:val="center"/>
            <w:hideMark/>
          </w:tcPr>
          <w:p w14:paraId="020F6395"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 xml:space="preserve"> Sáenz-Arroyo de los Cobos María Andrea </w:t>
            </w:r>
          </w:p>
        </w:tc>
      </w:tr>
      <w:tr w:rsidR="00077C2A" w:rsidRPr="00077C2A" w14:paraId="3A1EB154" w14:textId="77777777" w:rsidTr="008E717E">
        <w:trPr>
          <w:trHeight w:val="18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7EA0AE2C"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lastRenderedPageBreak/>
              <w:t>Rol de las áreas naturales en el mantenimiento de una alta diversidad de especies de roedores y baja prevalencia de virus zoonóticos en Chiapas, México.</w:t>
            </w:r>
          </w:p>
        </w:tc>
        <w:tc>
          <w:tcPr>
            <w:tcW w:w="2180" w:type="dxa"/>
            <w:tcBorders>
              <w:top w:val="nil"/>
              <w:left w:val="nil"/>
              <w:bottom w:val="single" w:sz="4" w:space="0" w:color="auto"/>
              <w:right w:val="single" w:sz="4" w:space="0" w:color="auto"/>
            </w:tcBorders>
            <w:shd w:val="clear" w:color="auto" w:fill="auto"/>
            <w:vAlign w:val="center"/>
            <w:hideMark/>
          </w:tcPr>
          <w:p w14:paraId="7546CE69"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The Rufford Foundation</w:t>
            </w:r>
          </w:p>
        </w:tc>
        <w:tc>
          <w:tcPr>
            <w:tcW w:w="1380" w:type="dxa"/>
            <w:tcBorders>
              <w:top w:val="nil"/>
              <w:left w:val="nil"/>
              <w:bottom w:val="single" w:sz="4" w:space="0" w:color="auto"/>
              <w:right w:val="single" w:sz="4" w:space="0" w:color="auto"/>
            </w:tcBorders>
            <w:shd w:val="clear" w:color="auto" w:fill="auto"/>
            <w:noWrap/>
            <w:vAlign w:val="center"/>
            <w:hideMark/>
          </w:tcPr>
          <w:p w14:paraId="386978DF"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169,047.00</w:t>
            </w:r>
          </w:p>
        </w:tc>
        <w:tc>
          <w:tcPr>
            <w:tcW w:w="1340" w:type="dxa"/>
            <w:tcBorders>
              <w:top w:val="nil"/>
              <w:left w:val="nil"/>
              <w:bottom w:val="single" w:sz="4" w:space="0" w:color="auto"/>
              <w:right w:val="single" w:sz="4" w:space="0" w:color="auto"/>
            </w:tcBorders>
            <w:shd w:val="clear" w:color="auto" w:fill="auto"/>
            <w:noWrap/>
            <w:vAlign w:val="center"/>
            <w:hideMark/>
          </w:tcPr>
          <w:p w14:paraId="414EDE0D"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9A966CD"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05-jul-21</w:t>
            </w:r>
          </w:p>
        </w:tc>
        <w:tc>
          <w:tcPr>
            <w:tcW w:w="1440" w:type="dxa"/>
            <w:tcBorders>
              <w:top w:val="nil"/>
              <w:left w:val="nil"/>
              <w:bottom w:val="single" w:sz="4" w:space="0" w:color="auto"/>
              <w:right w:val="single" w:sz="4" w:space="0" w:color="auto"/>
            </w:tcBorders>
            <w:shd w:val="clear" w:color="auto" w:fill="auto"/>
            <w:noWrap/>
            <w:vAlign w:val="center"/>
            <w:hideMark/>
          </w:tcPr>
          <w:p w14:paraId="42D9844A"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05-jul-22</w:t>
            </w:r>
          </w:p>
        </w:tc>
        <w:tc>
          <w:tcPr>
            <w:tcW w:w="1240" w:type="dxa"/>
            <w:tcBorders>
              <w:top w:val="nil"/>
              <w:left w:val="nil"/>
              <w:bottom w:val="single" w:sz="4" w:space="0" w:color="auto"/>
              <w:right w:val="single" w:sz="4" w:space="0" w:color="auto"/>
            </w:tcBorders>
            <w:shd w:val="clear" w:color="auto" w:fill="auto"/>
            <w:noWrap/>
            <w:vAlign w:val="center"/>
            <w:hideMark/>
          </w:tcPr>
          <w:p w14:paraId="2DB4DF1B"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w:t>
            </w:r>
          </w:p>
        </w:tc>
        <w:tc>
          <w:tcPr>
            <w:tcW w:w="1660" w:type="dxa"/>
            <w:tcBorders>
              <w:top w:val="nil"/>
              <w:left w:val="nil"/>
              <w:bottom w:val="single" w:sz="4" w:space="0" w:color="auto"/>
              <w:right w:val="single" w:sz="4" w:space="0" w:color="auto"/>
            </w:tcBorders>
            <w:shd w:val="clear" w:color="auto" w:fill="auto"/>
            <w:vAlign w:val="center"/>
            <w:hideMark/>
          </w:tcPr>
          <w:p w14:paraId="0EDFC895"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 xml:space="preserve"> Lorenzo Monterrubio Ana María del Consuelo </w:t>
            </w:r>
          </w:p>
        </w:tc>
      </w:tr>
      <w:tr w:rsidR="00077C2A" w:rsidRPr="00077C2A" w14:paraId="43067A72" w14:textId="77777777" w:rsidTr="008E717E">
        <w:trPr>
          <w:trHeight w:val="1200"/>
        </w:trPr>
        <w:tc>
          <w:tcPr>
            <w:tcW w:w="3020" w:type="dxa"/>
            <w:tcBorders>
              <w:top w:val="nil"/>
              <w:left w:val="single" w:sz="4" w:space="0" w:color="auto"/>
              <w:bottom w:val="single" w:sz="4" w:space="0" w:color="auto"/>
              <w:right w:val="single" w:sz="4" w:space="0" w:color="auto"/>
            </w:tcBorders>
            <w:shd w:val="clear" w:color="auto" w:fill="auto"/>
            <w:hideMark/>
          </w:tcPr>
          <w:p w14:paraId="4685BC02"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Programa de colaboración en salud internacional entre ECOSUR y Georgetown University</w:t>
            </w:r>
          </w:p>
        </w:tc>
        <w:tc>
          <w:tcPr>
            <w:tcW w:w="2180" w:type="dxa"/>
            <w:tcBorders>
              <w:top w:val="nil"/>
              <w:left w:val="nil"/>
              <w:bottom w:val="single" w:sz="4" w:space="0" w:color="auto"/>
              <w:right w:val="single" w:sz="4" w:space="0" w:color="auto"/>
            </w:tcBorders>
            <w:shd w:val="clear" w:color="auto" w:fill="auto"/>
            <w:vAlign w:val="center"/>
            <w:hideMark/>
          </w:tcPr>
          <w:p w14:paraId="138A6010"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Georgetown University</w:t>
            </w:r>
          </w:p>
        </w:tc>
        <w:tc>
          <w:tcPr>
            <w:tcW w:w="1380" w:type="dxa"/>
            <w:tcBorders>
              <w:top w:val="nil"/>
              <w:left w:val="nil"/>
              <w:bottom w:val="single" w:sz="4" w:space="0" w:color="auto"/>
              <w:right w:val="single" w:sz="4" w:space="0" w:color="auto"/>
            </w:tcBorders>
            <w:shd w:val="clear" w:color="auto" w:fill="auto"/>
            <w:noWrap/>
            <w:vAlign w:val="center"/>
            <w:hideMark/>
          </w:tcPr>
          <w:p w14:paraId="3E93F64B"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2,342,085.06</w:t>
            </w:r>
          </w:p>
        </w:tc>
        <w:tc>
          <w:tcPr>
            <w:tcW w:w="1340" w:type="dxa"/>
            <w:tcBorders>
              <w:top w:val="nil"/>
              <w:left w:val="nil"/>
              <w:bottom w:val="single" w:sz="4" w:space="0" w:color="auto"/>
              <w:right w:val="single" w:sz="4" w:space="0" w:color="auto"/>
            </w:tcBorders>
            <w:shd w:val="clear" w:color="auto" w:fill="auto"/>
            <w:noWrap/>
            <w:vAlign w:val="center"/>
            <w:hideMark/>
          </w:tcPr>
          <w:p w14:paraId="4D5C62BA"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2,288,508.24</w:t>
            </w:r>
          </w:p>
        </w:tc>
        <w:tc>
          <w:tcPr>
            <w:tcW w:w="1120" w:type="dxa"/>
            <w:tcBorders>
              <w:top w:val="nil"/>
              <w:left w:val="nil"/>
              <w:bottom w:val="single" w:sz="4" w:space="0" w:color="auto"/>
              <w:right w:val="single" w:sz="4" w:space="0" w:color="auto"/>
            </w:tcBorders>
            <w:shd w:val="clear" w:color="auto" w:fill="auto"/>
            <w:noWrap/>
            <w:vAlign w:val="center"/>
            <w:hideMark/>
          </w:tcPr>
          <w:p w14:paraId="6C445E59"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01-ago-13</w:t>
            </w:r>
          </w:p>
        </w:tc>
        <w:tc>
          <w:tcPr>
            <w:tcW w:w="1440" w:type="dxa"/>
            <w:tcBorders>
              <w:top w:val="nil"/>
              <w:left w:val="nil"/>
              <w:bottom w:val="single" w:sz="4" w:space="0" w:color="auto"/>
              <w:right w:val="single" w:sz="4" w:space="0" w:color="auto"/>
            </w:tcBorders>
            <w:shd w:val="clear" w:color="auto" w:fill="auto"/>
            <w:noWrap/>
            <w:vAlign w:val="center"/>
            <w:hideMark/>
          </w:tcPr>
          <w:p w14:paraId="15E461F0"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16-dic-22</w:t>
            </w:r>
          </w:p>
        </w:tc>
        <w:tc>
          <w:tcPr>
            <w:tcW w:w="1240" w:type="dxa"/>
            <w:tcBorders>
              <w:top w:val="nil"/>
              <w:left w:val="nil"/>
              <w:bottom w:val="single" w:sz="4" w:space="0" w:color="auto"/>
              <w:right w:val="single" w:sz="4" w:space="0" w:color="auto"/>
            </w:tcBorders>
            <w:shd w:val="clear" w:color="auto" w:fill="auto"/>
            <w:noWrap/>
            <w:vAlign w:val="center"/>
            <w:hideMark/>
          </w:tcPr>
          <w:p w14:paraId="758DF359"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98%</w:t>
            </w:r>
          </w:p>
        </w:tc>
        <w:tc>
          <w:tcPr>
            <w:tcW w:w="1660" w:type="dxa"/>
            <w:tcBorders>
              <w:top w:val="nil"/>
              <w:left w:val="nil"/>
              <w:bottom w:val="single" w:sz="4" w:space="0" w:color="auto"/>
              <w:right w:val="single" w:sz="4" w:space="0" w:color="auto"/>
            </w:tcBorders>
            <w:shd w:val="clear" w:color="auto" w:fill="auto"/>
            <w:vAlign w:val="center"/>
            <w:hideMark/>
          </w:tcPr>
          <w:p w14:paraId="61BDA241"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Ochoa Díaz-López Héctor</w:t>
            </w:r>
          </w:p>
        </w:tc>
      </w:tr>
      <w:tr w:rsidR="00077C2A" w:rsidRPr="00077C2A" w14:paraId="55A4735D" w14:textId="77777777" w:rsidTr="008E717E">
        <w:trPr>
          <w:trHeight w:val="15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6A94314B"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Bajo peso al nacer y obesidad en una cohorte de adolecentes de las regiones tzotzil-tzeltal y selva de Chiapas</w:t>
            </w:r>
          </w:p>
        </w:tc>
        <w:tc>
          <w:tcPr>
            <w:tcW w:w="2180" w:type="dxa"/>
            <w:tcBorders>
              <w:top w:val="nil"/>
              <w:left w:val="nil"/>
              <w:bottom w:val="single" w:sz="4" w:space="0" w:color="auto"/>
              <w:right w:val="single" w:sz="4" w:space="0" w:color="auto"/>
            </w:tcBorders>
            <w:shd w:val="clear" w:color="auto" w:fill="auto"/>
            <w:vAlign w:val="center"/>
            <w:hideMark/>
          </w:tcPr>
          <w:p w14:paraId="5233E7D5"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Fondo Institucional del CONACYT (FOINS)</w:t>
            </w:r>
          </w:p>
        </w:tc>
        <w:tc>
          <w:tcPr>
            <w:tcW w:w="1380" w:type="dxa"/>
            <w:tcBorders>
              <w:top w:val="nil"/>
              <w:left w:val="nil"/>
              <w:bottom w:val="single" w:sz="4" w:space="0" w:color="auto"/>
              <w:right w:val="single" w:sz="4" w:space="0" w:color="auto"/>
            </w:tcBorders>
            <w:shd w:val="clear" w:color="auto" w:fill="auto"/>
            <w:noWrap/>
            <w:vAlign w:val="center"/>
            <w:hideMark/>
          </w:tcPr>
          <w:p w14:paraId="2C51AB33"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1,999,400.00</w:t>
            </w:r>
          </w:p>
        </w:tc>
        <w:tc>
          <w:tcPr>
            <w:tcW w:w="1340" w:type="dxa"/>
            <w:tcBorders>
              <w:top w:val="nil"/>
              <w:left w:val="nil"/>
              <w:bottom w:val="single" w:sz="4" w:space="0" w:color="auto"/>
              <w:right w:val="single" w:sz="4" w:space="0" w:color="auto"/>
            </w:tcBorders>
            <w:shd w:val="clear" w:color="auto" w:fill="auto"/>
            <w:noWrap/>
            <w:vAlign w:val="center"/>
            <w:hideMark/>
          </w:tcPr>
          <w:p w14:paraId="54218EAE"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1,941,657.54</w:t>
            </w:r>
          </w:p>
        </w:tc>
        <w:tc>
          <w:tcPr>
            <w:tcW w:w="1120" w:type="dxa"/>
            <w:tcBorders>
              <w:top w:val="nil"/>
              <w:left w:val="nil"/>
              <w:bottom w:val="single" w:sz="4" w:space="0" w:color="auto"/>
              <w:right w:val="single" w:sz="4" w:space="0" w:color="auto"/>
            </w:tcBorders>
            <w:shd w:val="clear" w:color="auto" w:fill="auto"/>
            <w:noWrap/>
            <w:vAlign w:val="center"/>
            <w:hideMark/>
          </w:tcPr>
          <w:p w14:paraId="266B8A2C"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06-ene-17</w:t>
            </w:r>
          </w:p>
        </w:tc>
        <w:tc>
          <w:tcPr>
            <w:tcW w:w="1440" w:type="dxa"/>
            <w:tcBorders>
              <w:top w:val="nil"/>
              <w:left w:val="nil"/>
              <w:bottom w:val="single" w:sz="4" w:space="0" w:color="auto"/>
              <w:right w:val="single" w:sz="4" w:space="0" w:color="auto"/>
            </w:tcBorders>
            <w:shd w:val="clear" w:color="auto" w:fill="auto"/>
            <w:noWrap/>
            <w:vAlign w:val="center"/>
            <w:hideMark/>
          </w:tcPr>
          <w:p w14:paraId="06A06F1D"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30-jun-21</w:t>
            </w:r>
          </w:p>
        </w:tc>
        <w:tc>
          <w:tcPr>
            <w:tcW w:w="1240" w:type="dxa"/>
            <w:tcBorders>
              <w:top w:val="nil"/>
              <w:left w:val="nil"/>
              <w:bottom w:val="single" w:sz="4" w:space="0" w:color="auto"/>
              <w:right w:val="single" w:sz="4" w:space="0" w:color="auto"/>
            </w:tcBorders>
            <w:shd w:val="clear" w:color="auto" w:fill="auto"/>
            <w:noWrap/>
            <w:vAlign w:val="center"/>
            <w:hideMark/>
          </w:tcPr>
          <w:p w14:paraId="53D356B1"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97%</w:t>
            </w:r>
          </w:p>
        </w:tc>
        <w:tc>
          <w:tcPr>
            <w:tcW w:w="1660" w:type="dxa"/>
            <w:tcBorders>
              <w:top w:val="nil"/>
              <w:left w:val="nil"/>
              <w:bottom w:val="single" w:sz="4" w:space="0" w:color="auto"/>
              <w:right w:val="single" w:sz="4" w:space="0" w:color="auto"/>
            </w:tcBorders>
            <w:shd w:val="clear" w:color="auto" w:fill="auto"/>
            <w:vAlign w:val="center"/>
            <w:hideMark/>
          </w:tcPr>
          <w:p w14:paraId="6DB1B61D"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Ochoa Díaz-López Héctor</w:t>
            </w:r>
          </w:p>
        </w:tc>
      </w:tr>
      <w:tr w:rsidR="00077C2A" w:rsidRPr="00077C2A" w14:paraId="671D1AB0" w14:textId="77777777" w:rsidTr="008E717E">
        <w:trPr>
          <w:trHeight w:val="21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20EAA84E"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Evaluación de plantaciones forestales experimentales y estudio de mercado de dos variedades de Ochroma Pyramidale en el trópico húmedo de Chiapas y Campeche.</w:t>
            </w:r>
          </w:p>
        </w:tc>
        <w:tc>
          <w:tcPr>
            <w:tcW w:w="2180" w:type="dxa"/>
            <w:tcBorders>
              <w:top w:val="nil"/>
              <w:left w:val="nil"/>
              <w:bottom w:val="single" w:sz="4" w:space="0" w:color="auto"/>
              <w:right w:val="single" w:sz="4" w:space="0" w:color="auto"/>
            </w:tcBorders>
            <w:shd w:val="clear" w:color="auto" w:fill="auto"/>
            <w:vAlign w:val="center"/>
            <w:hideMark/>
          </w:tcPr>
          <w:p w14:paraId="654772EE"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Consejo Nacional de Ciencia y Tecnología</w:t>
            </w:r>
          </w:p>
        </w:tc>
        <w:tc>
          <w:tcPr>
            <w:tcW w:w="1380" w:type="dxa"/>
            <w:tcBorders>
              <w:top w:val="nil"/>
              <w:left w:val="nil"/>
              <w:bottom w:val="single" w:sz="4" w:space="0" w:color="auto"/>
              <w:right w:val="single" w:sz="4" w:space="0" w:color="auto"/>
            </w:tcBorders>
            <w:shd w:val="clear" w:color="auto" w:fill="auto"/>
            <w:noWrap/>
            <w:vAlign w:val="center"/>
            <w:hideMark/>
          </w:tcPr>
          <w:p w14:paraId="0110EFF4"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650,000.00</w:t>
            </w:r>
          </w:p>
        </w:tc>
        <w:tc>
          <w:tcPr>
            <w:tcW w:w="1340" w:type="dxa"/>
            <w:tcBorders>
              <w:top w:val="nil"/>
              <w:left w:val="nil"/>
              <w:bottom w:val="single" w:sz="4" w:space="0" w:color="auto"/>
              <w:right w:val="single" w:sz="4" w:space="0" w:color="auto"/>
            </w:tcBorders>
            <w:shd w:val="clear" w:color="auto" w:fill="auto"/>
            <w:noWrap/>
            <w:vAlign w:val="center"/>
            <w:hideMark/>
          </w:tcPr>
          <w:p w14:paraId="01D20ECE"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114,654.02</w:t>
            </w:r>
          </w:p>
        </w:tc>
        <w:tc>
          <w:tcPr>
            <w:tcW w:w="1120" w:type="dxa"/>
            <w:tcBorders>
              <w:top w:val="nil"/>
              <w:left w:val="nil"/>
              <w:bottom w:val="single" w:sz="4" w:space="0" w:color="auto"/>
              <w:right w:val="single" w:sz="4" w:space="0" w:color="auto"/>
            </w:tcBorders>
            <w:shd w:val="clear" w:color="auto" w:fill="auto"/>
            <w:noWrap/>
            <w:vAlign w:val="center"/>
            <w:hideMark/>
          </w:tcPr>
          <w:p w14:paraId="728E99ED"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06-nov-20</w:t>
            </w:r>
          </w:p>
        </w:tc>
        <w:tc>
          <w:tcPr>
            <w:tcW w:w="1440" w:type="dxa"/>
            <w:tcBorders>
              <w:top w:val="nil"/>
              <w:left w:val="nil"/>
              <w:bottom w:val="single" w:sz="4" w:space="0" w:color="auto"/>
              <w:right w:val="single" w:sz="4" w:space="0" w:color="auto"/>
            </w:tcBorders>
            <w:shd w:val="clear" w:color="auto" w:fill="auto"/>
            <w:noWrap/>
            <w:vAlign w:val="center"/>
            <w:hideMark/>
          </w:tcPr>
          <w:p w14:paraId="63B3FB10"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06-nov-22</w:t>
            </w:r>
          </w:p>
        </w:tc>
        <w:tc>
          <w:tcPr>
            <w:tcW w:w="1240" w:type="dxa"/>
            <w:tcBorders>
              <w:top w:val="nil"/>
              <w:left w:val="nil"/>
              <w:bottom w:val="single" w:sz="4" w:space="0" w:color="auto"/>
              <w:right w:val="single" w:sz="4" w:space="0" w:color="auto"/>
            </w:tcBorders>
            <w:shd w:val="clear" w:color="auto" w:fill="auto"/>
            <w:noWrap/>
            <w:vAlign w:val="center"/>
            <w:hideMark/>
          </w:tcPr>
          <w:p w14:paraId="0AB37DF1"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18%</w:t>
            </w:r>
          </w:p>
        </w:tc>
        <w:tc>
          <w:tcPr>
            <w:tcW w:w="1660" w:type="dxa"/>
            <w:tcBorders>
              <w:top w:val="nil"/>
              <w:left w:val="nil"/>
              <w:bottom w:val="single" w:sz="4" w:space="0" w:color="auto"/>
              <w:right w:val="single" w:sz="4" w:space="0" w:color="auto"/>
            </w:tcBorders>
            <w:shd w:val="clear" w:color="auto" w:fill="auto"/>
            <w:vAlign w:val="center"/>
            <w:hideMark/>
          </w:tcPr>
          <w:p w14:paraId="22F333F6"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Levy Tacher Samuel Israel</w:t>
            </w:r>
          </w:p>
        </w:tc>
      </w:tr>
      <w:tr w:rsidR="00077C2A" w:rsidRPr="00077C2A" w14:paraId="0EA9FD41" w14:textId="77777777" w:rsidTr="008E717E">
        <w:trPr>
          <w:trHeight w:val="24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6295C639"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lastRenderedPageBreak/>
              <w:t>Fortalecimiento de infraestructura y acreditación de métodos analíticos para evaluación de riesgos por exposición a contaminantes en escenarios rurales vulnerables del sureste de México.</w:t>
            </w:r>
          </w:p>
        </w:tc>
        <w:tc>
          <w:tcPr>
            <w:tcW w:w="2180" w:type="dxa"/>
            <w:tcBorders>
              <w:top w:val="nil"/>
              <w:left w:val="nil"/>
              <w:bottom w:val="single" w:sz="4" w:space="0" w:color="auto"/>
              <w:right w:val="single" w:sz="4" w:space="0" w:color="auto"/>
            </w:tcBorders>
            <w:shd w:val="clear" w:color="auto" w:fill="auto"/>
            <w:vAlign w:val="center"/>
            <w:hideMark/>
          </w:tcPr>
          <w:p w14:paraId="26E27551"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Consejo Nacional de Ciencia y Tecnología</w:t>
            </w:r>
          </w:p>
        </w:tc>
        <w:tc>
          <w:tcPr>
            <w:tcW w:w="1380" w:type="dxa"/>
            <w:tcBorders>
              <w:top w:val="nil"/>
              <w:left w:val="nil"/>
              <w:bottom w:val="single" w:sz="4" w:space="0" w:color="auto"/>
              <w:right w:val="single" w:sz="4" w:space="0" w:color="auto"/>
            </w:tcBorders>
            <w:shd w:val="clear" w:color="auto" w:fill="auto"/>
            <w:noWrap/>
            <w:vAlign w:val="center"/>
            <w:hideMark/>
          </w:tcPr>
          <w:p w14:paraId="58BB5A86"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5,500,000.00</w:t>
            </w:r>
          </w:p>
        </w:tc>
        <w:tc>
          <w:tcPr>
            <w:tcW w:w="1340" w:type="dxa"/>
            <w:tcBorders>
              <w:top w:val="nil"/>
              <w:left w:val="nil"/>
              <w:bottom w:val="single" w:sz="4" w:space="0" w:color="auto"/>
              <w:right w:val="single" w:sz="4" w:space="0" w:color="auto"/>
            </w:tcBorders>
            <w:shd w:val="clear" w:color="auto" w:fill="auto"/>
            <w:noWrap/>
            <w:vAlign w:val="center"/>
            <w:hideMark/>
          </w:tcPr>
          <w:p w14:paraId="268CA611"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7CCB966A"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30-mar-21</w:t>
            </w:r>
          </w:p>
        </w:tc>
        <w:tc>
          <w:tcPr>
            <w:tcW w:w="1440" w:type="dxa"/>
            <w:tcBorders>
              <w:top w:val="nil"/>
              <w:left w:val="nil"/>
              <w:bottom w:val="single" w:sz="4" w:space="0" w:color="auto"/>
              <w:right w:val="single" w:sz="4" w:space="0" w:color="auto"/>
            </w:tcBorders>
            <w:shd w:val="clear" w:color="auto" w:fill="auto"/>
            <w:noWrap/>
            <w:vAlign w:val="center"/>
            <w:hideMark/>
          </w:tcPr>
          <w:p w14:paraId="29566236"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30-sep-21</w:t>
            </w:r>
          </w:p>
        </w:tc>
        <w:tc>
          <w:tcPr>
            <w:tcW w:w="1240" w:type="dxa"/>
            <w:tcBorders>
              <w:top w:val="nil"/>
              <w:left w:val="nil"/>
              <w:bottom w:val="single" w:sz="4" w:space="0" w:color="auto"/>
              <w:right w:val="single" w:sz="4" w:space="0" w:color="auto"/>
            </w:tcBorders>
            <w:shd w:val="clear" w:color="auto" w:fill="auto"/>
            <w:noWrap/>
            <w:vAlign w:val="center"/>
            <w:hideMark/>
          </w:tcPr>
          <w:p w14:paraId="72027546"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w:t>
            </w:r>
          </w:p>
        </w:tc>
        <w:tc>
          <w:tcPr>
            <w:tcW w:w="1660" w:type="dxa"/>
            <w:tcBorders>
              <w:top w:val="nil"/>
              <w:left w:val="nil"/>
              <w:bottom w:val="single" w:sz="4" w:space="0" w:color="auto"/>
              <w:right w:val="single" w:sz="4" w:space="0" w:color="auto"/>
            </w:tcBorders>
            <w:shd w:val="clear" w:color="auto" w:fill="auto"/>
            <w:vAlign w:val="center"/>
            <w:hideMark/>
          </w:tcPr>
          <w:p w14:paraId="6359FF74"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Torres Dosal Arturo</w:t>
            </w:r>
          </w:p>
        </w:tc>
      </w:tr>
      <w:tr w:rsidR="00077C2A" w:rsidRPr="00077C2A" w14:paraId="7E5CED4C" w14:textId="77777777" w:rsidTr="008E717E">
        <w:trPr>
          <w:trHeight w:val="24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2A65609C"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Cambios en el clima y en el uso del suelo como determinantes de la alteración espacial y la estructura de las comunidades de insectos en sistemas montañosos del sur de México.</w:t>
            </w:r>
          </w:p>
        </w:tc>
        <w:tc>
          <w:tcPr>
            <w:tcW w:w="2180" w:type="dxa"/>
            <w:tcBorders>
              <w:top w:val="nil"/>
              <w:left w:val="nil"/>
              <w:bottom w:val="single" w:sz="4" w:space="0" w:color="auto"/>
              <w:right w:val="single" w:sz="4" w:space="0" w:color="auto"/>
            </w:tcBorders>
            <w:shd w:val="clear" w:color="auto" w:fill="auto"/>
            <w:vAlign w:val="center"/>
            <w:hideMark/>
          </w:tcPr>
          <w:p w14:paraId="0E380AC8"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Fondo Sectorial SEP - CONACYT / Investigación Básica</w:t>
            </w:r>
          </w:p>
        </w:tc>
        <w:tc>
          <w:tcPr>
            <w:tcW w:w="1380" w:type="dxa"/>
            <w:tcBorders>
              <w:top w:val="nil"/>
              <w:left w:val="nil"/>
              <w:bottom w:val="single" w:sz="4" w:space="0" w:color="auto"/>
              <w:right w:val="single" w:sz="4" w:space="0" w:color="auto"/>
            </w:tcBorders>
            <w:shd w:val="clear" w:color="auto" w:fill="auto"/>
            <w:noWrap/>
            <w:vAlign w:val="center"/>
            <w:hideMark/>
          </w:tcPr>
          <w:p w14:paraId="1702406C"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1,500,000.00</w:t>
            </w:r>
          </w:p>
        </w:tc>
        <w:tc>
          <w:tcPr>
            <w:tcW w:w="1340" w:type="dxa"/>
            <w:tcBorders>
              <w:top w:val="nil"/>
              <w:left w:val="nil"/>
              <w:bottom w:val="single" w:sz="4" w:space="0" w:color="auto"/>
              <w:right w:val="single" w:sz="4" w:space="0" w:color="auto"/>
            </w:tcBorders>
            <w:shd w:val="clear" w:color="auto" w:fill="auto"/>
            <w:vAlign w:val="center"/>
            <w:hideMark/>
          </w:tcPr>
          <w:p w14:paraId="4C6E37B1" w14:textId="23761D4A"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 xml:space="preserve">1,470,880.16 </w:t>
            </w:r>
          </w:p>
        </w:tc>
        <w:tc>
          <w:tcPr>
            <w:tcW w:w="1120" w:type="dxa"/>
            <w:tcBorders>
              <w:top w:val="nil"/>
              <w:left w:val="nil"/>
              <w:bottom w:val="single" w:sz="4" w:space="0" w:color="auto"/>
              <w:right w:val="single" w:sz="4" w:space="0" w:color="auto"/>
            </w:tcBorders>
            <w:shd w:val="clear" w:color="auto" w:fill="auto"/>
            <w:noWrap/>
            <w:vAlign w:val="center"/>
            <w:hideMark/>
          </w:tcPr>
          <w:p w14:paraId="3B5B4D94"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21-oct-16</w:t>
            </w:r>
          </w:p>
        </w:tc>
        <w:tc>
          <w:tcPr>
            <w:tcW w:w="1440" w:type="dxa"/>
            <w:tcBorders>
              <w:top w:val="nil"/>
              <w:left w:val="nil"/>
              <w:bottom w:val="single" w:sz="4" w:space="0" w:color="auto"/>
              <w:right w:val="single" w:sz="4" w:space="0" w:color="auto"/>
            </w:tcBorders>
            <w:shd w:val="clear" w:color="auto" w:fill="auto"/>
            <w:noWrap/>
            <w:vAlign w:val="center"/>
            <w:hideMark/>
          </w:tcPr>
          <w:p w14:paraId="38BBFD29"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23-jun-21</w:t>
            </w:r>
          </w:p>
        </w:tc>
        <w:tc>
          <w:tcPr>
            <w:tcW w:w="1240" w:type="dxa"/>
            <w:tcBorders>
              <w:top w:val="nil"/>
              <w:left w:val="nil"/>
              <w:bottom w:val="single" w:sz="4" w:space="0" w:color="auto"/>
              <w:right w:val="single" w:sz="4" w:space="0" w:color="auto"/>
            </w:tcBorders>
            <w:shd w:val="clear" w:color="auto" w:fill="auto"/>
            <w:noWrap/>
            <w:vAlign w:val="center"/>
            <w:hideMark/>
          </w:tcPr>
          <w:p w14:paraId="1EEBD1EF"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98%</w:t>
            </w:r>
          </w:p>
        </w:tc>
        <w:tc>
          <w:tcPr>
            <w:tcW w:w="1660" w:type="dxa"/>
            <w:tcBorders>
              <w:top w:val="nil"/>
              <w:left w:val="nil"/>
              <w:bottom w:val="single" w:sz="4" w:space="0" w:color="auto"/>
              <w:right w:val="single" w:sz="4" w:space="0" w:color="auto"/>
            </w:tcBorders>
            <w:shd w:val="clear" w:color="auto" w:fill="auto"/>
            <w:vAlign w:val="center"/>
            <w:hideMark/>
          </w:tcPr>
          <w:p w14:paraId="57E16E9A"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León Cortés Jorge Leonel</w:t>
            </w:r>
          </w:p>
        </w:tc>
      </w:tr>
      <w:tr w:rsidR="00077C2A" w:rsidRPr="00077C2A" w14:paraId="7F360331" w14:textId="77777777" w:rsidTr="008E717E">
        <w:trPr>
          <w:trHeight w:val="12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4E087744"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Análisis y evaluación de los posibles vectores y reservorios del virus del ébola en México.</w:t>
            </w:r>
          </w:p>
        </w:tc>
        <w:tc>
          <w:tcPr>
            <w:tcW w:w="2180" w:type="dxa"/>
            <w:tcBorders>
              <w:top w:val="nil"/>
              <w:left w:val="nil"/>
              <w:bottom w:val="single" w:sz="4" w:space="0" w:color="auto"/>
              <w:right w:val="single" w:sz="4" w:space="0" w:color="auto"/>
            </w:tcBorders>
            <w:shd w:val="clear" w:color="auto" w:fill="auto"/>
            <w:vAlign w:val="center"/>
            <w:hideMark/>
          </w:tcPr>
          <w:p w14:paraId="35D452E1"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Fondo Sectorial SEP - CONACYT / Investigación Básica</w:t>
            </w:r>
          </w:p>
        </w:tc>
        <w:tc>
          <w:tcPr>
            <w:tcW w:w="1380" w:type="dxa"/>
            <w:tcBorders>
              <w:top w:val="nil"/>
              <w:left w:val="nil"/>
              <w:bottom w:val="single" w:sz="4" w:space="0" w:color="auto"/>
              <w:right w:val="single" w:sz="4" w:space="0" w:color="auto"/>
            </w:tcBorders>
            <w:shd w:val="clear" w:color="auto" w:fill="auto"/>
            <w:noWrap/>
            <w:vAlign w:val="center"/>
            <w:hideMark/>
          </w:tcPr>
          <w:p w14:paraId="2D7C6026"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2,967,800.00</w:t>
            </w:r>
          </w:p>
        </w:tc>
        <w:tc>
          <w:tcPr>
            <w:tcW w:w="1340" w:type="dxa"/>
            <w:tcBorders>
              <w:top w:val="nil"/>
              <w:left w:val="nil"/>
              <w:bottom w:val="single" w:sz="4" w:space="0" w:color="auto"/>
              <w:right w:val="single" w:sz="4" w:space="0" w:color="auto"/>
            </w:tcBorders>
            <w:shd w:val="clear" w:color="auto" w:fill="auto"/>
            <w:noWrap/>
            <w:vAlign w:val="center"/>
            <w:hideMark/>
          </w:tcPr>
          <w:p w14:paraId="1781668D"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2,792,246.47</w:t>
            </w:r>
          </w:p>
        </w:tc>
        <w:tc>
          <w:tcPr>
            <w:tcW w:w="1120" w:type="dxa"/>
            <w:tcBorders>
              <w:top w:val="nil"/>
              <w:left w:val="nil"/>
              <w:bottom w:val="single" w:sz="4" w:space="0" w:color="auto"/>
              <w:right w:val="single" w:sz="4" w:space="0" w:color="auto"/>
            </w:tcBorders>
            <w:shd w:val="clear" w:color="auto" w:fill="auto"/>
            <w:noWrap/>
            <w:vAlign w:val="center"/>
            <w:hideMark/>
          </w:tcPr>
          <w:p w14:paraId="5A47F368"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21-oct-16</w:t>
            </w:r>
          </w:p>
        </w:tc>
        <w:tc>
          <w:tcPr>
            <w:tcW w:w="1440" w:type="dxa"/>
            <w:tcBorders>
              <w:top w:val="nil"/>
              <w:left w:val="nil"/>
              <w:bottom w:val="single" w:sz="4" w:space="0" w:color="auto"/>
              <w:right w:val="single" w:sz="4" w:space="0" w:color="auto"/>
            </w:tcBorders>
            <w:shd w:val="clear" w:color="auto" w:fill="auto"/>
            <w:noWrap/>
            <w:vAlign w:val="center"/>
            <w:hideMark/>
          </w:tcPr>
          <w:p w14:paraId="1551C1DD"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23-dic-21</w:t>
            </w:r>
          </w:p>
        </w:tc>
        <w:tc>
          <w:tcPr>
            <w:tcW w:w="1240" w:type="dxa"/>
            <w:tcBorders>
              <w:top w:val="nil"/>
              <w:left w:val="nil"/>
              <w:bottom w:val="single" w:sz="4" w:space="0" w:color="auto"/>
              <w:right w:val="single" w:sz="4" w:space="0" w:color="auto"/>
            </w:tcBorders>
            <w:shd w:val="clear" w:color="auto" w:fill="auto"/>
            <w:noWrap/>
            <w:vAlign w:val="center"/>
            <w:hideMark/>
          </w:tcPr>
          <w:p w14:paraId="7C86F008"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94%</w:t>
            </w:r>
          </w:p>
        </w:tc>
        <w:tc>
          <w:tcPr>
            <w:tcW w:w="1660" w:type="dxa"/>
            <w:tcBorders>
              <w:top w:val="nil"/>
              <w:left w:val="nil"/>
              <w:bottom w:val="single" w:sz="4" w:space="0" w:color="auto"/>
              <w:right w:val="single" w:sz="4" w:space="0" w:color="auto"/>
            </w:tcBorders>
            <w:shd w:val="clear" w:color="auto" w:fill="auto"/>
            <w:vAlign w:val="center"/>
            <w:hideMark/>
          </w:tcPr>
          <w:p w14:paraId="5FB35E50"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Lorenzo Monterrubio Ana María del Consuelo</w:t>
            </w:r>
          </w:p>
        </w:tc>
      </w:tr>
      <w:tr w:rsidR="00077C2A" w:rsidRPr="00077C2A" w14:paraId="45749178" w14:textId="77777777" w:rsidTr="008E717E">
        <w:trPr>
          <w:trHeight w:val="27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562570BA"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lastRenderedPageBreak/>
              <w:t>Manejo sustentable de polinizadores: estatus actual, factores de riesgo y estrategias para el aprovechamiento de las abejas melíferas y silvestres en sistemas de agricultura protegida y en cultivos a campo abierto en México.</w:t>
            </w:r>
          </w:p>
        </w:tc>
        <w:tc>
          <w:tcPr>
            <w:tcW w:w="2180" w:type="dxa"/>
            <w:tcBorders>
              <w:top w:val="nil"/>
              <w:left w:val="nil"/>
              <w:bottom w:val="single" w:sz="4" w:space="0" w:color="auto"/>
              <w:right w:val="single" w:sz="4" w:space="0" w:color="auto"/>
            </w:tcBorders>
            <w:shd w:val="clear" w:color="auto" w:fill="auto"/>
            <w:vAlign w:val="center"/>
            <w:hideMark/>
          </w:tcPr>
          <w:p w14:paraId="75626835"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Fondo Sectorial SAGARPA</w:t>
            </w:r>
          </w:p>
        </w:tc>
        <w:tc>
          <w:tcPr>
            <w:tcW w:w="1380" w:type="dxa"/>
            <w:tcBorders>
              <w:top w:val="nil"/>
              <w:left w:val="nil"/>
              <w:bottom w:val="single" w:sz="4" w:space="0" w:color="auto"/>
              <w:right w:val="single" w:sz="4" w:space="0" w:color="auto"/>
            </w:tcBorders>
            <w:shd w:val="clear" w:color="auto" w:fill="auto"/>
            <w:noWrap/>
            <w:vAlign w:val="center"/>
            <w:hideMark/>
          </w:tcPr>
          <w:p w14:paraId="5B44B4E2"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5,641,845.49</w:t>
            </w:r>
          </w:p>
        </w:tc>
        <w:tc>
          <w:tcPr>
            <w:tcW w:w="1340" w:type="dxa"/>
            <w:tcBorders>
              <w:top w:val="nil"/>
              <w:left w:val="nil"/>
              <w:bottom w:val="single" w:sz="4" w:space="0" w:color="auto"/>
              <w:right w:val="single" w:sz="4" w:space="0" w:color="auto"/>
            </w:tcBorders>
            <w:shd w:val="clear" w:color="auto" w:fill="auto"/>
            <w:vAlign w:val="center"/>
            <w:hideMark/>
          </w:tcPr>
          <w:p w14:paraId="75DC3736" w14:textId="2BD1E036"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 xml:space="preserve">5,611,076.64 </w:t>
            </w:r>
          </w:p>
        </w:tc>
        <w:tc>
          <w:tcPr>
            <w:tcW w:w="1120" w:type="dxa"/>
            <w:tcBorders>
              <w:top w:val="nil"/>
              <w:left w:val="nil"/>
              <w:bottom w:val="single" w:sz="4" w:space="0" w:color="auto"/>
              <w:right w:val="single" w:sz="4" w:space="0" w:color="auto"/>
            </w:tcBorders>
            <w:shd w:val="clear" w:color="auto" w:fill="auto"/>
            <w:noWrap/>
            <w:vAlign w:val="center"/>
            <w:hideMark/>
          </w:tcPr>
          <w:p w14:paraId="1C3F0F27"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05-abr-18</w:t>
            </w:r>
          </w:p>
        </w:tc>
        <w:tc>
          <w:tcPr>
            <w:tcW w:w="1440" w:type="dxa"/>
            <w:tcBorders>
              <w:top w:val="nil"/>
              <w:left w:val="nil"/>
              <w:bottom w:val="single" w:sz="4" w:space="0" w:color="auto"/>
              <w:right w:val="single" w:sz="4" w:space="0" w:color="auto"/>
            </w:tcBorders>
            <w:shd w:val="clear" w:color="auto" w:fill="auto"/>
            <w:noWrap/>
            <w:vAlign w:val="center"/>
            <w:hideMark/>
          </w:tcPr>
          <w:p w14:paraId="3A34FA73"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28-feb-22</w:t>
            </w:r>
          </w:p>
        </w:tc>
        <w:tc>
          <w:tcPr>
            <w:tcW w:w="1240" w:type="dxa"/>
            <w:tcBorders>
              <w:top w:val="nil"/>
              <w:left w:val="nil"/>
              <w:bottom w:val="single" w:sz="4" w:space="0" w:color="auto"/>
              <w:right w:val="single" w:sz="4" w:space="0" w:color="auto"/>
            </w:tcBorders>
            <w:shd w:val="clear" w:color="auto" w:fill="auto"/>
            <w:noWrap/>
            <w:vAlign w:val="center"/>
            <w:hideMark/>
          </w:tcPr>
          <w:p w14:paraId="1D78D8DC"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99%</w:t>
            </w:r>
          </w:p>
        </w:tc>
        <w:tc>
          <w:tcPr>
            <w:tcW w:w="1660" w:type="dxa"/>
            <w:tcBorders>
              <w:top w:val="nil"/>
              <w:left w:val="nil"/>
              <w:bottom w:val="single" w:sz="4" w:space="0" w:color="auto"/>
              <w:right w:val="single" w:sz="4" w:space="0" w:color="auto"/>
            </w:tcBorders>
            <w:shd w:val="clear" w:color="auto" w:fill="auto"/>
            <w:vAlign w:val="center"/>
            <w:hideMark/>
          </w:tcPr>
          <w:p w14:paraId="4024238C"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Vandame Remy Benoit Marie</w:t>
            </w:r>
          </w:p>
        </w:tc>
      </w:tr>
      <w:tr w:rsidR="00077C2A" w:rsidRPr="00077C2A" w14:paraId="12932778" w14:textId="77777777" w:rsidTr="008E717E">
        <w:trPr>
          <w:trHeight w:val="18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23FD79BE"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Ciclo doméstico, peridoméstico, silvestre y ecología de la enfermedad de Chagas en regiones focalizadas de Oaxaca y Chiapas, México.</w:t>
            </w:r>
          </w:p>
        </w:tc>
        <w:tc>
          <w:tcPr>
            <w:tcW w:w="2180" w:type="dxa"/>
            <w:tcBorders>
              <w:top w:val="nil"/>
              <w:left w:val="nil"/>
              <w:bottom w:val="single" w:sz="4" w:space="0" w:color="auto"/>
              <w:right w:val="single" w:sz="4" w:space="0" w:color="auto"/>
            </w:tcBorders>
            <w:shd w:val="clear" w:color="auto" w:fill="auto"/>
            <w:vAlign w:val="center"/>
            <w:hideMark/>
          </w:tcPr>
          <w:p w14:paraId="4E343CFF"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Fondo Sectorial SEP - CONACYT / Investigación Básica</w:t>
            </w:r>
          </w:p>
        </w:tc>
        <w:tc>
          <w:tcPr>
            <w:tcW w:w="1380" w:type="dxa"/>
            <w:tcBorders>
              <w:top w:val="nil"/>
              <w:left w:val="nil"/>
              <w:bottom w:val="single" w:sz="4" w:space="0" w:color="auto"/>
              <w:right w:val="single" w:sz="4" w:space="0" w:color="auto"/>
            </w:tcBorders>
            <w:shd w:val="clear" w:color="auto" w:fill="auto"/>
            <w:noWrap/>
            <w:vAlign w:val="center"/>
            <w:hideMark/>
          </w:tcPr>
          <w:p w14:paraId="4514EDB6"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1,378,224.00</w:t>
            </w:r>
          </w:p>
        </w:tc>
        <w:tc>
          <w:tcPr>
            <w:tcW w:w="1340" w:type="dxa"/>
            <w:tcBorders>
              <w:top w:val="nil"/>
              <w:left w:val="nil"/>
              <w:bottom w:val="single" w:sz="4" w:space="0" w:color="auto"/>
              <w:right w:val="single" w:sz="4" w:space="0" w:color="auto"/>
            </w:tcBorders>
            <w:shd w:val="clear" w:color="auto" w:fill="auto"/>
            <w:vAlign w:val="center"/>
            <w:hideMark/>
          </w:tcPr>
          <w:p w14:paraId="4EF0283F" w14:textId="06C2D18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 xml:space="preserve">   260,023.37 </w:t>
            </w:r>
          </w:p>
        </w:tc>
        <w:tc>
          <w:tcPr>
            <w:tcW w:w="1120" w:type="dxa"/>
            <w:tcBorders>
              <w:top w:val="nil"/>
              <w:left w:val="nil"/>
              <w:bottom w:val="single" w:sz="4" w:space="0" w:color="auto"/>
              <w:right w:val="single" w:sz="4" w:space="0" w:color="auto"/>
            </w:tcBorders>
            <w:shd w:val="clear" w:color="auto" w:fill="auto"/>
            <w:noWrap/>
            <w:vAlign w:val="center"/>
            <w:hideMark/>
          </w:tcPr>
          <w:p w14:paraId="6E44DD83"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08-ene-20</w:t>
            </w:r>
          </w:p>
        </w:tc>
        <w:tc>
          <w:tcPr>
            <w:tcW w:w="1440" w:type="dxa"/>
            <w:tcBorders>
              <w:top w:val="nil"/>
              <w:left w:val="nil"/>
              <w:bottom w:val="single" w:sz="4" w:space="0" w:color="auto"/>
              <w:right w:val="single" w:sz="4" w:space="0" w:color="auto"/>
            </w:tcBorders>
            <w:shd w:val="clear" w:color="auto" w:fill="auto"/>
            <w:noWrap/>
            <w:vAlign w:val="center"/>
            <w:hideMark/>
          </w:tcPr>
          <w:p w14:paraId="62F2E89E"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05-sep-22</w:t>
            </w:r>
          </w:p>
        </w:tc>
        <w:tc>
          <w:tcPr>
            <w:tcW w:w="1240" w:type="dxa"/>
            <w:tcBorders>
              <w:top w:val="nil"/>
              <w:left w:val="nil"/>
              <w:bottom w:val="single" w:sz="4" w:space="0" w:color="auto"/>
              <w:right w:val="single" w:sz="4" w:space="0" w:color="auto"/>
            </w:tcBorders>
            <w:shd w:val="clear" w:color="auto" w:fill="auto"/>
            <w:noWrap/>
            <w:vAlign w:val="center"/>
            <w:hideMark/>
          </w:tcPr>
          <w:p w14:paraId="1BD2E352"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19%</w:t>
            </w:r>
          </w:p>
        </w:tc>
        <w:tc>
          <w:tcPr>
            <w:tcW w:w="1660" w:type="dxa"/>
            <w:tcBorders>
              <w:top w:val="nil"/>
              <w:left w:val="nil"/>
              <w:bottom w:val="single" w:sz="4" w:space="0" w:color="auto"/>
              <w:right w:val="single" w:sz="4" w:space="0" w:color="auto"/>
            </w:tcBorders>
            <w:shd w:val="clear" w:color="auto" w:fill="auto"/>
            <w:vAlign w:val="center"/>
            <w:hideMark/>
          </w:tcPr>
          <w:p w14:paraId="0467862D"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Ochoa Díaz-López Héctor</w:t>
            </w:r>
          </w:p>
        </w:tc>
      </w:tr>
      <w:tr w:rsidR="00077C2A" w:rsidRPr="00077C2A" w14:paraId="1BBE9F33" w14:textId="77777777" w:rsidTr="008E717E">
        <w:trPr>
          <w:trHeight w:val="24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325DE622"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Impacto del uso de los plaguicidas y los cultivos genéticamente modificados utilizados en la agricultura altamente tecnificada sobre la diversidad de insectos polinizadores en seis regiones de México.</w:t>
            </w:r>
          </w:p>
        </w:tc>
        <w:tc>
          <w:tcPr>
            <w:tcW w:w="2180" w:type="dxa"/>
            <w:tcBorders>
              <w:top w:val="nil"/>
              <w:left w:val="nil"/>
              <w:bottom w:val="single" w:sz="4" w:space="0" w:color="auto"/>
              <w:right w:val="single" w:sz="4" w:space="0" w:color="auto"/>
            </w:tcBorders>
            <w:shd w:val="clear" w:color="auto" w:fill="auto"/>
            <w:vAlign w:val="center"/>
            <w:hideMark/>
          </w:tcPr>
          <w:p w14:paraId="57528163"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Fondo Sectorial SEMARNAT</w:t>
            </w:r>
          </w:p>
        </w:tc>
        <w:tc>
          <w:tcPr>
            <w:tcW w:w="1380" w:type="dxa"/>
            <w:tcBorders>
              <w:top w:val="nil"/>
              <w:left w:val="nil"/>
              <w:bottom w:val="single" w:sz="4" w:space="0" w:color="auto"/>
              <w:right w:val="single" w:sz="4" w:space="0" w:color="auto"/>
            </w:tcBorders>
            <w:shd w:val="clear" w:color="auto" w:fill="auto"/>
            <w:noWrap/>
            <w:vAlign w:val="center"/>
            <w:hideMark/>
          </w:tcPr>
          <w:p w14:paraId="133AA768"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788,850.00</w:t>
            </w:r>
          </w:p>
        </w:tc>
        <w:tc>
          <w:tcPr>
            <w:tcW w:w="1340" w:type="dxa"/>
            <w:tcBorders>
              <w:top w:val="nil"/>
              <w:left w:val="nil"/>
              <w:bottom w:val="single" w:sz="4" w:space="0" w:color="auto"/>
              <w:right w:val="single" w:sz="4" w:space="0" w:color="auto"/>
            </w:tcBorders>
            <w:shd w:val="clear" w:color="auto" w:fill="auto"/>
            <w:vAlign w:val="center"/>
            <w:hideMark/>
          </w:tcPr>
          <w:p w14:paraId="4C34FE99" w14:textId="0DEDEDC4"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 xml:space="preserve">   389,295.46 </w:t>
            </w:r>
          </w:p>
        </w:tc>
        <w:tc>
          <w:tcPr>
            <w:tcW w:w="1120" w:type="dxa"/>
            <w:tcBorders>
              <w:top w:val="nil"/>
              <w:left w:val="nil"/>
              <w:bottom w:val="single" w:sz="4" w:space="0" w:color="auto"/>
              <w:right w:val="single" w:sz="4" w:space="0" w:color="auto"/>
            </w:tcBorders>
            <w:shd w:val="clear" w:color="auto" w:fill="auto"/>
            <w:noWrap/>
            <w:vAlign w:val="center"/>
            <w:hideMark/>
          </w:tcPr>
          <w:p w14:paraId="281807CE"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08-ene-20</w:t>
            </w:r>
          </w:p>
        </w:tc>
        <w:tc>
          <w:tcPr>
            <w:tcW w:w="1440" w:type="dxa"/>
            <w:tcBorders>
              <w:top w:val="nil"/>
              <w:left w:val="nil"/>
              <w:bottom w:val="single" w:sz="4" w:space="0" w:color="auto"/>
              <w:right w:val="single" w:sz="4" w:space="0" w:color="auto"/>
            </w:tcBorders>
            <w:shd w:val="clear" w:color="auto" w:fill="auto"/>
            <w:noWrap/>
            <w:vAlign w:val="center"/>
            <w:hideMark/>
          </w:tcPr>
          <w:p w14:paraId="3CF0239B"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30-jul-21</w:t>
            </w:r>
          </w:p>
        </w:tc>
        <w:tc>
          <w:tcPr>
            <w:tcW w:w="1240" w:type="dxa"/>
            <w:tcBorders>
              <w:top w:val="nil"/>
              <w:left w:val="nil"/>
              <w:bottom w:val="single" w:sz="4" w:space="0" w:color="auto"/>
              <w:right w:val="single" w:sz="4" w:space="0" w:color="auto"/>
            </w:tcBorders>
            <w:shd w:val="clear" w:color="auto" w:fill="auto"/>
            <w:noWrap/>
            <w:vAlign w:val="center"/>
            <w:hideMark/>
          </w:tcPr>
          <w:p w14:paraId="6392CCDE"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49%</w:t>
            </w:r>
          </w:p>
        </w:tc>
        <w:tc>
          <w:tcPr>
            <w:tcW w:w="1660" w:type="dxa"/>
            <w:tcBorders>
              <w:top w:val="nil"/>
              <w:left w:val="nil"/>
              <w:bottom w:val="single" w:sz="4" w:space="0" w:color="auto"/>
              <w:right w:val="single" w:sz="4" w:space="0" w:color="auto"/>
            </w:tcBorders>
            <w:shd w:val="clear" w:color="auto" w:fill="auto"/>
            <w:vAlign w:val="center"/>
            <w:hideMark/>
          </w:tcPr>
          <w:p w14:paraId="11CA5F81"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Vandame Remy Benoit Marie</w:t>
            </w:r>
          </w:p>
        </w:tc>
      </w:tr>
      <w:tr w:rsidR="00077C2A" w:rsidRPr="00077C2A" w14:paraId="4E913073" w14:textId="77777777" w:rsidTr="008E717E">
        <w:trPr>
          <w:trHeight w:val="15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7AEE1801"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lastRenderedPageBreak/>
              <w:t>Distribución y dinámica poblacional de escarabajos exóticos invasores ante escenarios de cambio climático en el sur de México.</w:t>
            </w:r>
          </w:p>
        </w:tc>
        <w:tc>
          <w:tcPr>
            <w:tcW w:w="2180" w:type="dxa"/>
            <w:tcBorders>
              <w:top w:val="nil"/>
              <w:left w:val="nil"/>
              <w:bottom w:val="single" w:sz="4" w:space="0" w:color="auto"/>
              <w:right w:val="single" w:sz="4" w:space="0" w:color="auto"/>
            </w:tcBorders>
            <w:shd w:val="clear" w:color="auto" w:fill="auto"/>
            <w:vAlign w:val="center"/>
            <w:hideMark/>
          </w:tcPr>
          <w:p w14:paraId="1B1BCC36"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Fondo Sectorial SEMARNAT</w:t>
            </w:r>
          </w:p>
        </w:tc>
        <w:tc>
          <w:tcPr>
            <w:tcW w:w="1380" w:type="dxa"/>
            <w:tcBorders>
              <w:top w:val="nil"/>
              <w:left w:val="nil"/>
              <w:bottom w:val="single" w:sz="4" w:space="0" w:color="auto"/>
              <w:right w:val="single" w:sz="4" w:space="0" w:color="auto"/>
            </w:tcBorders>
            <w:shd w:val="clear" w:color="auto" w:fill="auto"/>
            <w:noWrap/>
            <w:vAlign w:val="center"/>
            <w:hideMark/>
          </w:tcPr>
          <w:p w14:paraId="1475F22F"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285,147.28</w:t>
            </w:r>
          </w:p>
        </w:tc>
        <w:tc>
          <w:tcPr>
            <w:tcW w:w="1340" w:type="dxa"/>
            <w:tcBorders>
              <w:top w:val="nil"/>
              <w:left w:val="nil"/>
              <w:bottom w:val="single" w:sz="4" w:space="0" w:color="auto"/>
              <w:right w:val="single" w:sz="4" w:space="0" w:color="auto"/>
            </w:tcBorders>
            <w:shd w:val="clear" w:color="auto" w:fill="auto"/>
            <w:vAlign w:val="center"/>
            <w:hideMark/>
          </w:tcPr>
          <w:p w14:paraId="0BD8C241" w14:textId="69472AA9"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 xml:space="preserve">   181,542.18 </w:t>
            </w:r>
          </w:p>
        </w:tc>
        <w:tc>
          <w:tcPr>
            <w:tcW w:w="1120" w:type="dxa"/>
            <w:tcBorders>
              <w:top w:val="nil"/>
              <w:left w:val="nil"/>
              <w:bottom w:val="single" w:sz="4" w:space="0" w:color="auto"/>
              <w:right w:val="single" w:sz="4" w:space="0" w:color="auto"/>
            </w:tcBorders>
            <w:shd w:val="clear" w:color="auto" w:fill="auto"/>
            <w:noWrap/>
            <w:vAlign w:val="center"/>
            <w:hideMark/>
          </w:tcPr>
          <w:p w14:paraId="15A0EE8A"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08-ene-20</w:t>
            </w:r>
          </w:p>
        </w:tc>
        <w:tc>
          <w:tcPr>
            <w:tcW w:w="1440" w:type="dxa"/>
            <w:tcBorders>
              <w:top w:val="nil"/>
              <w:left w:val="nil"/>
              <w:bottom w:val="single" w:sz="4" w:space="0" w:color="auto"/>
              <w:right w:val="single" w:sz="4" w:space="0" w:color="auto"/>
            </w:tcBorders>
            <w:shd w:val="clear" w:color="auto" w:fill="auto"/>
            <w:noWrap/>
            <w:vAlign w:val="center"/>
            <w:hideMark/>
          </w:tcPr>
          <w:p w14:paraId="59EBDD14"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30-jul-21</w:t>
            </w:r>
          </w:p>
        </w:tc>
        <w:tc>
          <w:tcPr>
            <w:tcW w:w="1240" w:type="dxa"/>
            <w:tcBorders>
              <w:top w:val="nil"/>
              <w:left w:val="nil"/>
              <w:bottom w:val="single" w:sz="4" w:space="0" w:color="auto"/>
              <w:right w:val="single" w:sz="4" w:space="0" w:color="auto"/>
            </w:tcBorders>
            <w:shd w:val="clear" w:color="auto" w:fill="auto"/>
            <w:noWrap/>
            <w:vAlign w:val="center"/>
            <w:hideMark/>
          </w:tcPr>
          <w:p w14:paraId="488D23E7"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64%</w:t>
            </w:r>
          </w:p>
        </w:tc>
        <w:tc>
          <w:tcPr>
            <w:tcW w:w="1660" w:type="dxa"/>
            <w:tcBorders>
              <w:top w:val="nil"/>
              <w:left w:val="nil"/>
              <w:bottom w:val="single" w:sz="4" w:space="0" w:color="auto"/>
              <w:right w:val="single" w:sz="4" w:space="0" w:color="auto"/>
            </w:tcBorders>
            <w:shd w:val="clear" w:color="auto" w:fill="auto"/>
            <w:vAlign w:val="center"/>
            <w:hideMark/>
          </w:tcPr>
          <w:p w14:paraId="69A73460"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León Cortés Jorge Leonel</w:t>
            </w:r>
          </w:p>
        </w:tc>
      </w:tr>
      <w:tr w:rsidR="00077C2A" w:rsidRPr="00077C2A" w14:paraId="2FAC572E" w14:textId="77777777" w:rsidTr="008E717E">
        <w:trPr>
          <w:trHeight w:val="12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32FC82FF"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Manejo de colonia en cría masiva para la aplicación de la TIE en moscas de la fruta del género de anastrepha</w:t>
            </w:r>
          </w:p>
        </w:tc>
        <w:tc>
          <w:tcPr>
            <w:tcW w:w="2180" w:type="dxa"/>
            <w:tcBorders>
              <w:top w:val="nil"/>
              <w:left w:val="nil"/>
              <w:bottom w:val="single" w:sz="4" w:space="0" w:color="auto"/>
              <w:right w:val="single" w:sz="4" w:space="0" w:color="auto"/>
            </w:tcBorders>
            <w:shd w:val="clear" w:color="auto" w:fill="auto"/>
            <w:vAlign w:val="center"/>
            <w:hideMark/>
          </w:tcPr>
          <w:p w14:paraId="1C3A3499"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Organismo Internacional de Energía Atómica</w:t>
            </w:r>
          </w:p>
        </w:tc>
        <w:tc>
          <w:tcPr>
            <w:tcW w:w="1380" w:type="dxa"/>
            <w:tcBorders>
              <w:top w:val="nil"/>
              <w:left w:val="nil"/>
              <w:bottom w:val="single" w:sz="4" w:space="0" w:color="auto"/>
              <w:right w:val="single" w:sz="4" w:space="0" w:color="auto"/>
            </w:tcBorders>
            <w:shd w:val="clear" w:color="auto" w:fill="auto"/>
            <w:noWrap/>
            <w:vAlign w:val="center"/>
            <w:hideMark/>
          </w:tcPr>
          <w:p w14:paraId="0000A1C2"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824,175.81</w:t>
            </w:r>
          </w:p>
        </w:tc>
        <w:tc>
          <w:tcPr>
            <w:tcW w:w="1340" w:type="dxa"/>
            <w:tcBorders>
              <w:top w:val="nil"/>
              <w:left w:val="nil"/>
              <w:bottom w:val="single" w:sz="4" w:space="0" w:color="auto"/>
              <w:right w:val="single" w:sz="4" w:space="0" w:color="auto"/>
            </w:tcBorders>
            <w:shd w:val="clear" w:color="auto" w:fill="auto"/>
            <w:noWrap/>
            <w:vAlign w:val="center"/>
            <w:hideMark/>
          </w:tcPr>
          <w:p w14:paraId="334A5097"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207,900.14</w:t>
            </w:r>
          </w:p>
        </w:tc>
        <w:tc>
          <w:tcPr>
            <w:tcW w:w="1120" w:type="dxa"/>
            <w:tcBorders>
              <w:top w:val="nil"/>
              <w:left w:val="nil"/>
              <w:bottom w:val="single" w:sz="4" w:space="0" w:color="auto"/>
              <w:right w:val="single" w:sz="4" w:space="0" w:color="auto"/>
            </w:tcBorders>
            <w:shd w:val="clear" w:color="auto" w:fill="auto"/>
            <w:noWrap/>
            <w:vAlign w:val="center"/>
            <w:hideMark/>
          </w:tcPr>
          <w:p w14:paraId="450284C7"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12-abr-18</w:t>
            </w:r>
          </w:p>
        </w:tc>
        <w:tc>
          <w:tcPr>
            <w:tcW w:w="1440" w:type="dxa"/>
            <w:tcBorders>
              <w:top w:val="nil"/>
              <w:left w:val="nil"/>
              <w:bottom w:val="single" w:sz="4" w:space="0" w:color="auto"/>
              <w:right w:val="single" w:sz="4" w:space="0" w:color="auto"/>
            </w:tcBorders>
            <w:shd w:val="clear" w:color="auto" w:fill="auto"/>
            <w:noWrap/>
            <w:vAlign w:val="center"/>
            <w:hideMark/>
          </w:tcPr>
          <w:p w14:paraId="0CAC9858"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11-abr-23</w:t>
            </w:r>
          </w:p>
        </w:tc>
        <w:tc>
          <w:tcPr>
            <w:tcW w:w="1240" w:type="dxa"/>
            <w:tcBorders>
              <w:top w:val="nil"/>
              <w:left w:val="nil"/>
              <w:bottom w:val="single" w:sz="4" w:space="0" w:color="auto"/>
              <w:right w:val="single" w:sz="4" w:space="0" w:color="auto"/>
            </w:tcBorders>
            <w:shd w:val="clear" w:color="auto" w:fill="auto"/>
            <w:noWrap/>
            <w:vAlign w:val="center"/>
            <w:hideMark/>
          </w:tcPr>
          <w:p w14:paraId="545D1779"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25%</w:t>
            </w:r>
          </w:p>
        </w:tc>
        <w:tc>
          <w:tcPr>
            <w:tcW w:w="1660" w:type="dxa"/>
            <w:tcBorders>
              <w:top w:val="nil"/>
              <w:left w:val="nil"/>
              <w:bottom w:val="single" w:sz="4" w:space="0" w:color="auto"/>
              <w:right w:val="single" w:sz="4" w:space="0" w:color="auto"/>
            </w:tcBorders>
            <w:shd w:val="clear" w:color="auto" w:fill="auto"/>
            <w:vAlign w:val="center"/>
            <w:hideMark/>
          </w:tcPr>
          <w:p w14:paraId="125A5CF1"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Liedo Fernández José Pablo</w:t>
            </w:r>
          </w:p>
        </w:tc>
      </w:tr>
      <w:tr w:rsidR="00077C2A" w:rsidRPr="00077C2A" w14:paraId="48BF38A9" w14:textId="77777777" w:rsidTr="008E717E">
        <w:trPr>
          <w:trHeight w:val="21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01993A16" w14:textId="77777777" w:rsidR="00077C2A" w:rsidRPr="00077C2A" w:rsidRDefault="00077C2A" w:rsidP="00077C2A">
            <w:pPr>
              <w:spacing w:line="276" w:lineRule="auto"/>
              <w:rPr>
                <w:rFonts w:ascii="Calibri" w:eastAsia="Times New Roman" w:hAnsi="Calibri" w:cs="Times New Roman"/>
                <w:sz w:val="22"/>
                <w:szCs w:val="22"/>
                <w:lang w:val="en-US" w:eastAsia="es-MX"/>
              </w:rPr>
            </w:pPr>
            <w:r w:rsidRPr="00077C2A">
              <w:rPr>
                <w:rFonts w:ascii="Calibri" w:eastAsia="Times New Roman" w:hAnsi="Calibri" w:cs="Times New Roman"/>
                <w:sz w:val="22"/>
                <w:szCs w:val="22"/>
                <w:lang w:val="en-US" w:eastAsia="es-MX"/>
              </w:rPr>
              <w:t>Interaction between orchid  mycorrizae and lasiodiplodia sp., fungal pathogen of the endangered, epiphytic orchid guarianthe skinneri (bateman) dressier &amp; we higgins, in southwest México</w:t>
            </w:r>
          </w:p>
        </w:tc>
        <w:tc>
          <w:tcPr>
            <w:tcW w:w="2180" w:type="dxa"/>
            <w:tcBorders>
              <w:top w:val="nil"/>
              <w:left w:val="nil"/>
              <w:bottom w:val="single" w:sz="4" w:space="0" w:color="auto"/>
              <w:right w:val="single" w:sz="4" w:space="0" w:color="auto"/>
            </w:tcBorders>
            <w:shd w:val="clear" w:color="auto" w:fill="auto"/>
            <w:vAlign w:val="center"/>
            <w:hideMark/>
          </w:tcPr>
          <w:p w14:paraId="6E55FE35"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The  American Orchid Society</w:t>
            </w:r>
          </w:p>
        </w:tc>
        <w:tc>
          <w:tcPr>
            <w:tcW w:w="1380" w:type="dxa"/>
            <w:tcBorders>
              <w:top w:val="nil"/>
              <w:left w:val="nil"/>
              <w:bottom w:val="single" w:sz="4" w:space="0" w:color="auto"/>
              <w:right w:val="single" w:sz="4" w:space="0" w:color="auto"/>
            </w:tcBorders>
            <w:shd w:val="clear" w:color="auto" w:fill="auto"/>
            <w:noWrap/>
            <w:vAlign w:val="center"/>
            <w:hideMark/>
          </w:tcPr>
          <w:p w14:paraId="74063B80" w14:textId="77777777" w:rsidR="00077C2A" w:rsidRPr="00077C2A" w:rsidRDefault="00077C2A" w:rsidP="00077C2A">
            <w:pPr>
              <w:spacing w:line="276" w:lineRule="auto"/>
              <w:jc w:val="right"/>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149,431.88</w:t>
            </w:r>
          </w:p>
        </w:tc>
        <w:tc>
          <w:tcPr>
            <w:tcW w:w="1340" w:type="dxa"/>
            <w:tcBorders>
              <w:top w:val="nil"/>
              <w:left w:val="nil"/>
              <w:bottom w:val="single" w:sz="4" w:space="0" w:color="auto"/>
              <w:right w:val="single" w:sz="4" w:space="0" w:color="auto"/>
            </w:tcBorders>
            <w:shd w:val="clear" w:color="auto" w:fill="auto"/>
            <w:noWrap/>
            <w:vAlign w:val="center"/>
            <w:hideMark/>
          </w:tcPr>
          <w:p w14:paraId="2E2599CF"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98,944.04</w:t>
            </w:r>
          </w:p>
        </w:tc>
        <w:tc>
          <w:tcPr>
            <w:tcW w:w="1120" w:type="dxa"/>
            <w:tcBorders>
              <w:top w:val="nil"/>
              <w:left w:val="nil"/>
              <w:bottom w:val="single" w:sz="4" w:space="0" w:color="auto"/>
              <w:right w:val="single" w:sz="4" w:space="0" w:color="auto"/>
            </w:tcBorders>
            <w:shd w:val="clear" w:color="auto" w:fill="auto"/>
            <w:noWrap/>
            <w:vAlign w:val="center"/>
            <w:hideMark/>
          </w:tcPr>
          <w:p w14:paraId="738A5ADC"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06-sep-18</w:t>
            </w:r>
          </w:p>
        </w:tc>
        <w:tc>
          <w:tcPr>
            <w:tcW w:w="1440" w:type="dxa"/>
            <w:tcBorders>
              <w:top w:val="nil"/>
              <w:left w:val="nil"/>
              <w:bottom w:val="single" w:sz="4" w:space="0" w:color="auto"/>
              <w:right w:val="single" w:sz="4" w:space="0" w:color="auto"/>
            </w:tcBorders>
            <w:shd w:val="clear" w:color="auto" w:fill="auto"/>
            <w:noWrap/>
            <w:vAlign w:val="center"/>
            <w:hideMark/>
          </w:tcPr>
          <w:p w14:paraId="1DCCA0C3"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30-mar-21</w:t>
            </w:r>
          </w:p>
        </w:tc>
        <w:tc>
          <w:tcPr>
            <w:tcW w:w="1240" w:type="dxa"/>
            <w:tcBorders>
              <w:top w:val="nil"/>
              <w:left w:val="nil"/>
              <w:bottom w:val="single" w:sz="4" w:space="0" w:color="auto"/>
              <w:right w:val="single" w:sz="4" w:space="0" w:color="auto"/>
            </w:tcBorders>
            <w:shd w:val="clear" w:color="auto" w:fill="auto"/>
            <w:noWrap/>
            <w:vAlign w:val="center"/>
            <w:hideMark/>
          </w:tcPr>
          <w:p w14:paraId="4E400F9D"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66%</w:t>
            </w:r>
          </w:p>
        </w:tc>
        <w:tc>
          <w:tcPr>
            <w:tcW w:w="1660" w:type="dxa"/>
            <w:tcBorders>
              <w:top w:val="nil"/>
              <w:left w:val="nil"/>
              <w:bottom w:val="single" w:sz="4" w:space="0" w:color="auto"/>
              <w:right w:val="single" w:sz="4" w:space="0" w:color="auto"/>
            </w:tcBorders>
            <w:shd w:val="clear" w:color="auto" w:fill="auto"/>
            <w:vAlign w:val="center"/>
            <w:hideMark/>
          </w:tcPr>
          <w:p w14:paraId="0AA3CB69"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Damon Anne Ashby</w:t>
            </w:r>
          </w:p>
        </w:tc>
      </w:tr>
      <w:tr w:rsidR="00077C2A" w:rsidRPr="00077C2A" w14:paraId="47F2E223" w14:textId="77777777" w:rsidTr="008E717E">
        <w:trPr>
          <w:trHeight w:val="9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6AED8A1A" w14:textId="77777777" w:rsidR="00077C2A" w:rsidRPr="00077C2A" w:rsidRDefault="00077C2A" w:rsidP="00077C2A">
            <w:pPr>
              <w:spacing w:line="276" w:lineRule="auto"/>
              <w:rPr>
                <w:rFonts w:ascii="Calibri" w:eastAsia="Times New Roman" w:hAnsi="Calibri" w:cs="Times New Roman"/>
                <w:sz w:val="22"/>
                <w:szCs w:val="22"/>
                <w:lang w:val="en-US" w:eastAsia="es-MX"/>
              </w:rPr>
            </w:pPr>
            <w:r w:rsidRPr="00077C2A">
              <w:rPr>
                <w:rFonts w:ascii="Calibri" w:eastAsia="Times New Roman" w:hAnsi="Calibri" w:cs="Times New Roman"/>
                <w:sz w:val="22"/>
                <w:szCs w:val="22"/>
                <w:lang w:val="en-US" w:eastAsia="es-MX"/>
              </w:rPr>
              <w:t>Effect of insect domestication on the performance of sterile fruit flies</w:t>
            </w:r>
          </w:p>
        </w:tc>
        <w:tc>
          <w:tcPr>
            <w:tcW w:w="2180" w:type="dxa"/>
            <w:tcBorders>
              <w:top w:val="nil"/>
              <w:left w:val="nil"/>
              <w:bottom w:val="single" w:sz="4" w:space="0" w:color="auto"/>
              <w:right w:val="single" w:sz="4" w:space="0" w:color="auto"/>
            </w:tcBorders>
            <w:shd w:val="clear" w:color="auto" w:fill="auto"/>
            <w:vAlign w:val="center"/>
            <w:hideMark/>
          </w:tcPr>
          <w:p w14:paraId="35D7F810"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Organismo Internacional de Energía Atómica</w:t>
            </w:r>
          </w:p>
        </w:tc>
        <w:tc>
          <w:tcPr>
            <w:tcW w:w="1380" w:type="dxa"/>
            <w:tcBorders>
              <w:top w:val="nil"/>
              <w:left w:val="nil"/>
              <w:bottom w:val="single" w:sz="4" w:space="0" w:color="auto"/>
              <w:right w:val="single" w:sz="4" w:space="0" w:color="auto"/>
            </w:tcBorders>
            <w:shd w:val="clear" w:color="auto" w:fill="auto"/>
            <w:noWrap/>
            <w:vAlign w:val="center"/>
            <w:hideMark/>
          </w:tcPr>
          <w:p w14:paraId="395457F4" w14:textId="77777777" w:rsidR="00077C2A" w:rsidRPr="00077C2A" w:rsidRDefault="00077C2A" w:rsidP="00077C2A">
            <w:pPr>
              <w:spacing w:line="276" w:lineRule="auto"/>
              <w:jc w:val="right"/>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297,963.51</w:t>
            </w:r>
          </w:p>
        </w:tc>
        <w:tc>
          <w:tcPr>
            <w:tcW w:w="1340" w:type="dxa"/>
            <w:tcBorders>
              <w:top w:val="nil"/>
              <w:left w:val="nil"/>
              <w:bottom w:val="single" w:sz="4" w:space="0" w:color="auto"/>
              <w:right w:val="single" w:sz="4" w:space="0" w:color="auto"/>
            </w:tcBorders>
            <w:shd w:val="clear" w:color="auto" w:fill="auto"/>
            <w:noWrap/>
            <w:vAlign w:val="center"/>
            <w:hideMark/>
          </w:tcPr>
          <w:p w14:paraId="73BEF2D2"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7,116.16</w:t>
            </w:r>
          </w:p>
        </w:tc>
        <w:tc>
          <w:tcPr>
            <w:tcW w:w="1120" w:type="dxa"/>
            <w:tcBorders>
              <w:top w:val="nil"/>
              <w:left w:val="nil"/>
              <w:bottom w:val="single" w:sz="4" w:space="0" w:color="auto"/>
              <w:right w:val="single" w:sz="4" w:space="0" w:color="auto"/>
            </w:tcBorders>
            <w:shd w:val="clear" w:color="auto" w:fill="auto"/>
            <w:noWrap/>
            <w:vAlign w:val="center"/>
            <w:hideMark/>
          </w:tcPr>
          <w:p w14:paraId="7F76518E"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27-ene-21</w:t>
            </w:r>
          </w:p>
        </w:tc>
        <w:tc>
          <w:tcPr>
            <w:tcW w:w="1440" w:type="dxa"/>
            <w:tcBorders>
              <w:top w:val="nil"/>
              <w:left w:val="nil"/>
              <w:bottom w:val="single" w:sz="4" w:space="0" w:color="auto"/>
              <w:right w:val="single" w:sz="4" w:space="0" w:color="auto"/>
            </w:tcBorders>
            <w:shd w:val="clear" w:color="auto" w:fill="auto"/>
            <w:noWrap/>
            <w:vAlign w:val="center"/>
            <w:hideMark/>
          </w:tcPr>
          <w:p w14:paraId="7923AABF"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26-ene-22</w:t>
            </w:r>
          </w:p>
        </w:tc>
        <w:tc>
          <w:tcPr>
            <w:tcW w:w="1240" w:type="dxa"/>
            <w:tcBorders>
              <w:top w:val="nil"/>
              <w:left w:val="nil"/>
              <w:bottom w:val="single" w:sz="4" w:space="0" w:color="auto"/>
              <w:right w:val="single" w:sz="4" w:space="0" w:color="auto"/>
            </w:tcBorders>
            <w:shd w:val="clear" w:color="auto" w:fill="auto"/>
            <w:noWrap/>
            <w:vAlign w:val="center"/>
            <w:hideMark/>
          </w:tcPr>
          <w:p w14:paraId="685A4C75"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w:t>
            </w:r>
          </w:p>
        </w:tc>
        <w:tc>
          <w:tcPr>
            <w:tcW w:w="1660" w:type="dxa"/>
            <w:tcBorders>
              <w:top w:val="nil"/>
              <w:left w:val="nil"/>
              <w:bottom w:val="single" w:sz="4" w:space="0" w:color="auto"/>
              <w:right w:val="single" w:sz="4" w:space="0" w:color="auto"/>
            </w:tcBorders>
            <w:shd w:val="clear" w:color="auto" w:fill="auto"/>
            <w:vAlign w:val="center"/>
            <w:hideMark/>
          </w:tcPr>
          <w:p w14:paraId="6B341412"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Toledo Arreola Jorge</w:t>
            </w:r>
          </w:p>
        </w:tc>
      </w:tr>
      <w:tr w:rsidR="00077C2A" w:rsidRPr="00077C2A" w14:paraId="03D1D896" w14:textId="77777777" w:rsidTr="008E717E">
        <w:trPr>
          <w:trHeight w:val="12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4BDA2C42" w14:textId="77777777" w:rsidR="00077C2A" w:rsidRPr="00077C2A" w:rsidRDefault="00077C2A" w:rsidP="00077C2A">
            <w:pPr>
              <w:spacing w:line="276" w:lineRule="auto"/>
              <w:rPr>
                <w:rFonts w:ascii="Calibri" w:eastAsia="Times New Roman" w:hAnsi="Calibri" w:cs="Times New Roman"/>
                <w:sz w:val="22"/>
                <w:szCs w:val="22"/>
                <w:lang w:val="en-US" w:eastAsia="es-MX"/>
              </w:rPr>
            </w:pPr>
            <w:r w:rsidRPr="00077C2A">
              <w:rPr>
                <w:rFonts w:ascii="Calibri" w:eastAsia="Times New Roman" w:hAnsi="Calibri" w:cs="Times New Roman"/>
                <w:sz w:val="22"/>
                <w:szCs w:val="22"/>
                <w:lang w:val="en-US" w:eastAsia="es-MX"/>
              </w:rPr>
              <w:t>Development and evaluation of quality control methods for the application of the sit in Aedes Aegypti</w:t>
            </w:r>
          </w:p>
        </w:tc>
        <w:tc>
          <w:tcPr>
            <w:tcW w:w="2180" w:type="dxa"/>
            <w:tcBorders>
              <w:top w:val="nil"/>
              <w:left w:val="nil"/>
              <w:bottom w:val="single" w:sz="4" w:space="0" w:color="auto"/>
              <w:right w:val="single" w:sz="4" w:space="0" w:color="auto"/>
            </w:tcBorders>
            <w:shd w:val="clear" w:color="auto" w:fill="auto"/>
            <w:vAlign w:val="center"/>
            <w:hideMark/>
          </w:tcPr>
          <w:p w14:paraId="0BE0CE20"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Organismo Internacional de Energía Atómica</w:t>
            </w:r>
          </w:p>
        </w:tc>
        <w:tc>
          <w:tcPr>
            <w:tcW w:w="1380" w:type="dxa"/>
            <w:tcBorders>
              <w:top w:val="nil"/>
              <w:left w:val="nil"/>
              <w:bottom w:val="single" w:sz="4" w:space="0" w:color="auto"/>
              <w:right w:val="single" w:sz="4" w:space="0" w:color="auto"/>
            </w:tcBorders>
            <w:shd w:val="clear" w:color="auto" w:fill="auto"/>
            <w:noWrap/>
            <w:vAlign w:val="center"/>
            <w:hideMark/>
          </w:tcPr>
          <w:p w14:paraId="4A50558D" w14:textId="77777777" w:rsidR="00077C2A" w:rsidRPr="00077C2A" w:rsidRDefault="00077C2A" w:rsidP="00077C2A">
            <w:pPr>
              <w:spacing w:line="276" w:lineRule="auto"/>
              <w:jc w:val="right"/>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726,488.75</w:t>
            </w:r>
          </w:p>
        </w:tc>
        <w:tc>
          <w:tcPr>
            <w:tcW w:w="1340" w:type="dxa"/>
            <w:tcBorders>
              <w:top w:val="nil"/>
              <w:left w:val="nil"/>
              <w:bottom w:val="single" w:sz="4" w:space="0" w:color="auto"/>
              <w:right w:val="single" w:sz="4" w:space="0" w:color="auto"/>
            </w:tcBorders>
            <w:shd w:val="clear" w:color="auto" w:fill="auto"/>
            <w:noWrap/>
            <w:vAlign w:val="center"/>
            <w:hideMark/>
          </w:tcPr>
          <w:p w14:paraId="06EED758"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9,000.00</w:t>
            </w:r>
          </w:p>
        </w:tc>
        <w:tc>
          <w:tcPr>
            <w:tcW w:w="1120" w:type="dxa"/>
            <w:tcBorders>
              <w:top w:val="nil"/>
              <w:left w:val="nil"/>
              <w:bottom w:val="single" w:sz="4" w:space="0" w:color="auto"/>
              <w:right w:val="single" w:sz="4" w:space="0" w:color="auto"/>
            </w:tcBorders>
            <w:shd w:val="clear" w:color="auto" w:fill="auto"/>
            <w:noWrap/>
            <w:vAlign w:val="center"/>
            <w:hideMark/>
          </w:tcPr>
          <w:p w14:paraId="13C80BA3"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13-abr-20</w:t>
            </w:r>
          </w:p>
        </w:tc>
        <w:tc>
          <w:tcPr>
            <w:tcW w:w="1440" w:type="dxa"/>
            <w:tcBorders>
              <w:top w:val="nil"/>
              <w:left w:val="nil"/>
              <w:bottom w:val="single" w:sz="4" w:space="0" w:color="auto"/>
              <w:right w:val="single" w:sz="4" w:space="0" w:color="auto"/>
            </w:tcBorders>
            <w:shd w:val="clear" w:color="auto" w:fill="auto"/>
            <w:noWrap/>
            <w:vAlign w:val="center"/>
            <w:hideMark/>
          </w:tcPr>
          <w:p w14:paraId="7C731652"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30-jun-25</w:t>
            </w:r>
          </w:p>
        </w:tc>
        <w:tc>
          <w:tcPr>
            <w:tcW w:w="1240" w:type="dxa"/>
            <w:tcBorders>
              <w:top w:val="nil"/>
              <w:left w:val="nil"/>
              <w:bottom w:val="single" w:sz="4" w:space="0" w:color="auto"/>
              <w:right w:val="single" w:sz="4" w:space="0" w:color="auto"/>
            </w:tcBorders>
            <w:shd w:val="clear" w:color="auto" w:fill="auto"/>
            <w:noWrap/>
            <w:vAlign w:val="center"/>
            <w:hideMark/>
          </w:tcPr>
          <w:p w14:paraId="662C4B23"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w:t>
            </w:r>
          </w:p>
        </w:tc>
        <w:tc>
          <w:tcPr>
            <w:tcW w:w="1660" w:type="dxa"/>
            <w:tcBorders>
              <w:top w:val="nil"/>
              <w:left w:val="nil"/>
              <w:bottom w:val="single" w:sz="4" w:space="0" w:color="auto"/>
              <w:right w:val="single" w:sz="4" w:space="0" w:color="auto"/>
            </w:tcBorders>
            <w:shd w:val="clear" w:color="auto" w:fill="auto"/>
            <w:vAlign w:val="center"/>
            <w:hideMark/>
          </w:tcPr>
          <w:p w14:paraId="4C4B6797"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Dor Roques Ariane Liliane Jeanne</w:t>
            </w:r>
          </w:p>
        </w:tc>
      </w:tr>
      <w:tr w:rsidR="00077C2A" w:rsidRPr="00077C2A" w14:paraId="6EE26564" w14:textId="77777777" w:rsidTr="008E717E">
        <w:trPr>
          <w:trHeight w:val="12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246EA5F8"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lastRenderedPageBreak/>
              <w:t>Estrategias de control de la mosca doméstica (Musca doméstica L.) mediante semioquímicos.</w:t>
            </w:r>
          </w:p>
        </w:tc>
        <w:tc>
          <w:tcPr>
            <w:tcW w:w="2180" w:type="dxa"/>
            <w:tcBorders>
              <w:top w:val="nil"/>
              <w:left w:val="nil"/>
              <w:bottom w:val="single" w:sz="4" w:space="0" w:color="auto"/>
              <w:right w:val="single" w:sz="4" w:space="0" w:color="auto"/>
            </w:tcBorders>
            <w:shd w:val="clear" w:color="auto" w:fill="auto"/>
            <w:vAlign w:val="center"/>
            <w:hideMark/>
          </w:tcPr>
          <w:p w14:paraId="43E1ECC4"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Grupo Herquesa, S. A. de C. V.</w:t>
            </w:r>
          </w:p>
        </w:tc>
        <w:tc>
          <w:tcPr>
            <w:tcW w:w="1380" w:type="dxa"/>
            <w:tcBorders>
              <w:top w:val="nil"/>
              <w:left w:val="nil"/>
              <w:bottom w:val="single" w:sz="4" w:space="0" w:color="auto"/>
              <w:right w:val="single" w:sz="4" w:space="0" w:color="auto"/>
            </w:tcBorders>
            <w:shd w:val="clear" w:color="auto" w:fill="auto"/>
            <w:noWrap/>
            <w:vAlign w:val="center"/>
            <w:hideMark/>
          </w:tcPr>
          <w:p w14:paraId="4D44F498" w14:textId="77777777" w:rsidR="00077C2A" w:rsidRPr="00077C2A" w:rsidRDefault="00077C2A" w:rsidP="00077C2A">
            <w:pPr>
              <w:spacing w:line="276" w:lineRule="auto"/>
              <w:jc w:val="right"/>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464,000.00</w:t>
            </w:r>
          </w:p>
        </w:tc>
        <w:tc>
          <w:tcPr>
            <w:tcW w:w="1340" w:type="dxa"/>
            <w:tcBorders>
              <w:top w:val="nil"/>
              <w:left w:val="nil"/>
              <w:bottom w:val="single" w:sz="4" w:space="0" w:color="auto"/>
              <w:right w:val="single" w:sz="4" w:space="0" w:color="auto"/>
            </w:tcBorders>
            <w:shd w:val="clear" w:color="auto" w:fill="auto"/>
            <w:noWrap/>
            <w:vAlign w:val="center"/>
            <w:hideMark/>
          </w:tcPr>
          <w:p w14:paraId="69683971"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37,500.00</w:t>
            </w:r>
          </w:p>
        </w:tc>
        <w:tc>
          <w:tcPr>
            <w:tcW w:w="1120" w:type="dxa"/>
            <w:tcBorders>
              <w:top w:val="nil"/>
              <w:left w:val="nil"/>
              <w:bottom w:val="single" w:sz="4" w:space="0" w:color="auto"/>
              <w:right w:val="single" w:sz="4" w:space="0" w:color="auto"/>
            </w:tcBorders>
            <w:shd w:val="clear" w:color="auto" w:fill="auto"/>
            <w:noWrap/>
            <w:vAlign w:val="center"/>
            <w:hideMark/>
          </w:tcPr>
          <w:p w14:paraId="5E70962A"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14-feb-20</w:t>
            </w:r>
          </w:p>
        </w:tc>
        <w:tc>
          <w:tcPr>
            <w:tcW w:w="1440" w:type="dxa"/>
            <w:tcBorders>
              <w:top w:val="nil"/>
              <w:left w:val="nil"/>
              <w:bottom w:val="single" w:sz="4" w:space="0" w:color="auto"/>
              <w:right w:val="single" w:sz="4" w:space="0" w:color="auto"/>
            </w:tcBorders>
            <w:shd w:val="clear" w:color="auto" w:fill="auto"/>
            <w:noWrap/>
            <w:vAlign w:val="center"/>
            <w:hideMark/>
          </w:tcPr>
          <w:p w14:paraId="203DBB9A"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13-feb-22</w:t>
            </w:r>
          </w:p>
        </w:tc>
        <w:tc>
          <w:tcPr>
            <w:tcW w:w="1240" w:type="dxa"/>
            <w:tcBorders>
              <w:top w:val="nil"/>
              <w:left w:val="nil"/>
              <w:bottom w:val="single" w:sz="4" w:space="0" w:color="auto"/>
              <w:right w:val="single" w:sz="4" w:space="0" w:color="auto"/>
            </w:tcBorders>
            <w:shd w:val="clear" w:color="auto" w:fill="auto"/>
            <w:noWrap/>
            <w:vAlign w:val="center"/>
            <w:hideMark/>
          </w:tcPr>
          <w:p w14:paraId="7B52BD76"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8%</w:t>
            </w:r>
          </w:p>
        </w:tc>
        <w:tc>
          <w:tcPr>
            <w:tcW w:w="1660" w:type="dxa"/>
            <w:tcBorders>
              <w:top w:val="nil"/>
              <w:left w:val="nil"/>
              <w:bottom w:val="single" w:sz="4" w:space="0" w:color="auto"/>
              <w:right w:val="single" w:sz="4" w:space="0" w:color="auto"/>
            </w:tcBorders>
            <w:shd w:val="clear" w:color="auto" w:fill="auto"/>
            <w:vAlign w:val="center"/>
            <w:hideMark/>
          </w:tcPr>
          <w:p w14:paraId="303B52C0"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Malo Rivera Edi Álvaro</w:t>
            </w:r>
          </w:p>
        </w:tc>
      </w:tr>
      <w:tr w:rsidR="00077C2A" w:rsidRPr="00077C2A" w14:paraId="5439EAEF" w14:textId="77777777" w:rsidTr="008E717E">
        <w:trPr>
          <w:trHeight w:val="18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7E589EC4"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Mejoramiento de la Técnica del Insecto Estéril para el manejo de las moscas de la fruta: Efecto de la selección por tamaño en el desempeño de los machos estériles.</w:t>
            </w:r>
          </w:p>
        </w:tc>
        <w:tc>
          <w:tcPr>
            <w:tcW w:w="2180" w:type="dxa"/>
            <w:tcBorders>
              <w:top w:val="nil"/>
              <w:left w:val="nil"/>
              <w:bottom w:val="single" w:sz="4" w:space="0" w:color="auto"/>
              <w:right w:val="single" w:sz="4" w:space="0" w:color="auto"/>
            </w:tcBorders>
            <w:shd w:val="clear" w:color="auto" w:fill="auto"/>
            <w:vAlign w:val="center"/>
            <w:hideMark/>
          </w:tcPr>
          <w:p w14:paraId="28CFC5B5"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Fondo Sectorial SEP - CONACYT / Investigación Básica</w:t>
            </w:r>
          </w:p>
        </w:tc>
        <w:tc>
          <w:tcPr>
            <w:tcW w:w="1380" w:type="dxa"/>
            <w:tcBorders>
              <w:top w:val="nil"/>
              <w:left w:val="nil"/>
              <w:bottom w:val="single" w:sz="4" w:space="0" w:color="auto"/>
              <w:right w:val="single" w:sz="4" w:space="0" w:color="auto"/>
            </w:tcBorders>
            <w:shd w:val="clear" w:color="auto" w:fill="auto"/>
            <w:noWrap/>
            <w:vAlign w:val="center"/>
            <w:hideMark/>
          </w:tcPr>
          <w:p w14:paraId="45E07803"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1,808,000.00</w:t>
            </w:r>
          </w:p>
        </w:tc>
        <w:tc>
          <w:tcPr>
            <w:tcW w:w="1340" w:type="dxa"/>
            <w:tcBorders>
              <w:top w:val="nil"/>
              <w:left w:val="nil"/>
              <w:bottom w:val="single" w:sz="4" w:space="0" w:color="auto"/>
              <w:right w:val="single" w:sz="4" w:space="0" w:color="auto"/>
            </w:tcBorders>
            <w:shd w:val="clear" w:color="auto" w:fill="auto"/>
            <w:vAlign w:val="center"/>
            <w:hideMark/>
          </w:tcPr>
          <w:p w14:paraId="4F68DAF6" w14:textId="312161CF"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 xml:space="preserve">1,521,249.67 </w:t>
            </w:r>
          </w:p>
        </w:tc>
        <w:tc>
          <w:tcPr>
            <w:tcW w:w="1120" w:type="dxa"/>
            <w:tcBorders>
              <w:top w:val="nil"/>
              <w:left w:val="nil"/>
              <w:bottom w:val="single" w:sz="4" w:space="0" w:color="auto"/>
              <w:right w:val="single" w:sz="4" w:space="0" w:color="auto"/>
            </w:tcBorders>
            <w:shd w:val="clear" w:color="auto" w:fill="auto"/>
            <w:noWrap/>
            <w:vAlign w:val="center"/>
            <w:hideMark/>
          </w:tcPr>
          <w:p w14:paraId="04A50156"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14-ago-18</w:t>
            </w:r>
          </w:p>
        </w:tc>
        <w:tc>
          <w:tcPr>
            <w:tcW w:w="1440" w:type="dxa"/>
            <w:tcBorders>
              <w:top w:val="nil"/>
              <w:left w:val="nil"/>
              <w:bottom w:val="single" w:sz="4" w:space="0" w:color="auto"/>
              <w:right w:val="single" w:sz="4" w:space="0" w:color="auto"/>
            </w:tcBorders>
            <w:shd w:val="clear" w:color="auto" w:fill="auto"/>
            <w:noWrap/>
            <w:vAlign w:val="center"/>
            <w:hideMark/>
          </w:tcPr>
          <w:p w14:paraId="4930FE48"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13-ago-21</w:t>
            </w:r>
          </w:p>
        </w:tc>
        <w:tc>
          <w:tcPr>
            <w:tcW w:w="1240" w:type="dxa"/>
            <w:tcBorders>
              <w:top w:val="nil"/>
              <w:left w:val="nil"/>
              <w:bottom w:val="single" w:sz="4" w:space="0" w:color="auto"/>
              <w:right w:val="single" w:sz="4" w:space="0" w:color="auto"/>
            </w:tcBorders>
            <w:shd w:val="clear" w:color="auto" w:fill="auto"/>
            <w:noWrap/>
            <w:vAlign w:val="center"/>
            <w:hideMark/>
          </w:tcPr>
          <w:p w14:paraId="7797F947"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84%</w:t>
            </w:r>
          </w:p>
        </w:tc>
        <w:tc>
          <w:tcPr>
            <w:tcW w:w="1660" w:type="dxa"/>
            <w:tcBorders>
              <w:top w:val="nil"/>
              <w:left w:val="nil"/>
              <w:bottom w:val="single" w:sz="4" w:space="0" w:color="auto"/>
              <w:right w:val="single" w:sz="4" w:space="0" w:color="auto"/>
            </w:tcBorders>
            <w:shd w:val="clear" w:color="auto" w:fill="auto"/>
            <w:vAlign w:val="center"/>
            <w:hideMark/>
          </w:tcPr>
          <w:p w14:paraId="1C4312EE"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Liedo Fernández José Pablo</w:t>
            </w:r>
          </w:p>
        </w:tc>
      </w:tr>
      <w:tr w:rsidR="00077C2A" w:rsidRPr="00077C2A" w14:paraId="25C307E2" w14:textId="77777777" w:rsidTr="008E717E">
        <w:trPr>
          <w:trHeight w:val="18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4CF6AEB0"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Jardín etnobiológico de las selvas del Soconusco: Propuesta del Jardín Botánico Regional del Soconusco (ECO-TAP-JB) y Herbario (ECO-TA-H)</w:t>
            </w:r>
          </w:p>
        </w:tc>
        <w:tc>
          <w:tcPr>
            <w:tcW w:w="2180" w:type="dxa"/>
            <w:tcBorders>
              <w:top w:val="nil"/>
              <w:left w:val="nil"/>
              <w:bottom w:val="single" w:sz="4" w:space="0" w:color="auto"/>
              <w:right w:val="single" w:sz="4" w:space="0" w:color="auto"/>
            </w:tcBorders>
            <w:shd w:val="clear" w:color="auto" w:fill="auto"/>
            <w:vAlign w:val="center"/>
            <w:hideMark/>
          </w:tcPr>
          <w:p w14:paraId="2E9863F0"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Fondo Institucional de Fomento Regional para el Desarrollo Científico, Tecnológico y de Innovación</w:t>
            </w:r>
          </w:p>
        </w:tc>
        <w:tc>
          <w:tcPr>
            <w:tcW w:w="1380" w:type="dxa"/>
            <w:tcBorders>
              <w:top w:val="nil"/>
              <w:left w:val="nil"/>
              <w:bottom w:val="single" w:sz="4" w:space="0" w:color="auto"/>
              <w:right w:val="single" w:sz="4" w:space="0" w:color="auto"/>
            </w:tcBorders>
            <w:shd w:val="clear" w:color="auto" w:fill="auto"/>
            <w:noWrap/>
            <w:vAlign w:val="center"/>
            <w:hideMark/>
          </w:tcPr>
          <w:p w14:paraId="273ECB66"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1,980,247.00</w:t>
            </w:r>
          </w:p>
        </w:tc>
        <w:tc>
          <w:tcPr>
            <w:tcW w:w="1340" w:type="dxa"/>
            <w:tcBorders>
              <w:top w:val="nil"/>
              <w:left w:val="nil"/>
              <w:bottom w:val="single" w:sz="4" w:space="0" w:color="auto"/>
              <w:right w:val="single" w:sz="4" w:space="0" w:color="auto"/>
            </w:tcBorders>
            <w:shd w:val="clear" w:color="auto" w:fill="auto"/>
            <w:vAlign w:val="center"/>
            <w:hideMark/>
          </w:tcPr>
          <w:p w14:paraId="2F0DE066" w14:textId="0FC2ED29"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 xml:space="preserve">   554,556.87 </w:t>
            </w:r>
          </w:p>
        </w:tc>
        <w:tc>
          <w:tcPr>
            <w:tcW w:w="1120" w:type="dxa"/>
            <w:tcBorders>
              <w:top w:val="nil"/>
              <w:left w:val="nil"/>
              <w:bottom w:val="single" w:sz="4" w:space="0" w:color="auto"/>
              <w:right w:val="single" w:sz="4" w:space="0" w:color="auto"/>
            </w:tcBorders>
            <w:shd w:val="clear" w:color="auto" w:fill="auto"/>
            <w:noWrap/>
            <w:vAlign w:val="center"/>
            <w:hideMark/>
          </w:tcPr>
          <w:p w14:paraId="42666273"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09-jul-20</w:t>
            </w:r>
          </w:p>
        </w:tc>
        <w:tc>
          <w:tcPr>
            <w:tcW w:w="1440" w:type="dxa"/>
            <w:tcBorders>
              <w:top w:val="nil"/>
              <w:left w:val="nil"/>
              <w:bottom w:val="single" w:sz="4" w:space="0" w:color="auto"/>
              <w:right w:val="single" w:sz="4" w:space="0" w:color="auto"/>
            </w:tcBorders>
            <w:shd w:val="clear" w:color="auto" w:fill="auto"/>
            <w:noWrap/>
            <w:vAlign w:val="center"/>
            <w:hideMark/>
          </w:tcPr>
          <w:p w14:paraId="6CDBB4DC"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23-jul-21</w:t>
            </w:r>
          </w:p>
        </w:tc>
        <w:tc>
          <w:tcPr>
            <w:tcW w:w="1240" w:type="dxa"/>
            <w:tcBorders>
              <w:top w:val="nil"/>
              <w:left w:val="nil"/>
              <w:bottom w:val="single" w:sz="4" w:space="0" w:color="auto"/>
              <w:right w:val="single" w:sz="4" w:space="0" w:color="auto"/>
            </w:tcBorders>
            <w:shd w:val="clear" w:color="auto" w:fill="auto"/>
            <w:noWrap/>
            <w:vAlign w:val="center"/>
            <w:hideMark/>
          </w:tcPr>
          <w:p w14:paraId="43B64904"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28%</w:t>
            </w:r>
          </w:p>
        </w:tc>
        <w:tc>
          <w:tcPr>
            <w:tcW w:w="1660" w:type="dxa"/>
            <w:tcBorders>
              <w:top w:val="nil"/>
              <w:left w:val="nil"/>
              <w:bottom w:val="single" w:sz="4" w:space="0" w:color="auto"/>
              <w:right w:val="single" w:sz="4" w:space="0" w:color="auto"/>
            </w:tcBorders>
            <w:shd w:val="clear" w:color="auto" w:fill="auto"/>
            <w:vAlign w:val="center"/>
            <w:hideMark/>
          </w:tcPr>
          <w:p w14:paraId="431C0A46"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Damon Anne Ashby</w:t>
            </w:r>
          </w:p>
        </w:tc>
      </w:tr>
      <w:tr w:rsidR="00077C2A" w:rsidRPr="00077C2A" w14:paraId="3976C439" w14:textId="77777777" w:rsidTr="008E717E">
        <w:trPr>
          <w:trHeight w:val="24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46122485"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Desarrollo de bases de datos y recursos bioinformáticos novedosos para el análisis metagenómico masivo de metazoa: más allá de una forma fácil de estudiar la diversidad alfa en los bosques tropicales de México.</w:t>
            </w:r>
          </w:p>
        </w:tc>
        <w:tc>
          <w:tcPr>
            <w:tcW w:w="2180" w:type="dxa"/>
            <w:tcBorders>
              <w:top w:val="nil"/>
              <w:left w:val="nil"/>
              <w:bottom w:val="single" w:sz="4" w:space="0" w:color="auto"/>
              <w:right w:val="single" w:sz="4" w:space="0" w:color="auto"/>
            </w:tcBorders>
            <w:shd w:val="clear" w:color="auto" w:fill="auto"/>
            <w:vAlign w:val="center"/>
            <w:hideMark/>
          </w:tcPr>
          <w:p w14:paraId="410FDDBB"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Fondo Institucional de Fomento Regional para el Desarrollo Científico, Tecnológico y de Innovación</w:t>
            </w:r>
          </w:p>
        </w:tc>
        <w:tc>
          <w:tcPr>
            <w:tcW w:w="1380" w:type="dxa"/>
            <w:tcBorders>
              <w:top w:val="nil"/>
              <w:left w:val="nil"/>
              <w:bottom w:val="single" w:sz="4" w:space="0" w:color="auto"/>
              <w:right w:val="single" w:sz="4" w:space="0" w:color="auto"/>
            </w:tcBorders>
            <w:shd w:val="clear" w:color="auto" w:fill="auto"/>
            <w:noWrap/>
            <w:vAlign w:val="center"/>
            <w:hideMark/>
          </w:tcPr>
          <w:p w14:paraId="18BA197D"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3,053,061.00</w:t>
            </w:r>
          </w:p>
        </w:tc>
        <w:tc>
          <w:tcPr>
            <w:tcW w:w="1340" w:type="dxa"/>
            <w:tcBorders>
              <w:top w:val="nil"/>
              <w:left w:val="nil"/>
              <w:bottom w:val="single" w:sz="4" w:space="0" w:color="auto"/>
              <w:right w:val="single" w:sz="4" w:space="0" w:color="auto"/>
            </w:tcBorders>
            <w:shd w:val="clear" w:color="auto" w:fill="auto"/>
            <w:vAlign w:val="center"/>
            <w:hideMark/>
          </w:tcPr>
          <w:p w14:paraId="36709FFC" w14:textId="5781ACC5"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 xml:space="preserve">   105,456.63 </w:t>
            </w:r>
          </w:p>
        </w:tc>
        <w:tc>
          <w:tcPr>
            <w:tcW w:w="1120" w:type="dxa"/>
            <w:tcBorders>
              <w:top w:val="nil"/>
              <w:left w:val="nil"/>
              <w:bottom w:val="single" w:sz="4" w:space="0" w:color="auto"/>
              <w:right w:val="single" w:sz="4" w:space="0" w:color="auto"/>
            </w:tcBorders>
            <w:shd w:val="clear" w:color="auto" w:fill="auto"/>
            <w:noWrap/>
            <w:vAlign w:val="center"/>
            <w:hideMark/>
          </w:tcPr>
          <w:p w14:paraId="19B65CA4"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20-oct-20</w:t>
            </w:r>
          </w:p>
        </w:tc>
        <w:tc>
          <w:tcPr>
            <w:tcW w:w="1440" w:type="dxa"/>
            <w:tcBorders>
              <w:top w:val="nil"/>
              <w:left w:val="nil"/>
              <w:bottom w:val="single" w:sz="4" w:space="0" w:color="auto"/>
              <w:right w:val="single" w:sz="4" w:space="0" w:color="auto"/>
            </w:tcBorders>
            <w:shd w:val="clear" w:color="auto" w:fill="auto"/>
            <w:noWrap/>
            <w:vAlign w:val="center"/>
            <w:hideMark/>
          </w:tcPr>
          <w:p w14:paraId="040CCE1B"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20-oct-23</w:t>
            </w:r>
          </w:p>
        </w:tc>
        <w:tc>
          <w:tcPr>
            <w:tcW w:w="1240" w:type="dxa"/>
            <w:tcBorders>
              <w:top w:val="nil"/>
              <w:left w:val="nil"/>
              <w:bottom w:val="single" w:sz="4" w:space="0" w:color="auto"/>
              <w:right w:val="single" w:sz="4" w:space="0" w:color="auto"/>
            </w:tcBorders>
            <w:shd w:val="clear" w:color="auto" w:fill="auto"/>
            <w:noWrap/>
            <w:vAlign w:val="center"/>
            <w:hideMark/>
          </w:tcPr>
          <w:p w14:paraId="7A4BA311"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w:t>
            </w:r>
          </w:p>
        </w:tc>
        <w:tc>
          <w:tcPr>
            <w:tcW w:w="1660" w:type="dxa"/>
            <w:tcBorders>
              <w:top w:val="nil"/>
              <w:left w:val="nil"/>
              <w:bottom w:val="single" w:sz="4" w:space="0" w:color="auto"/>
              <w:right w:val="single" w:sz="4" w:space="0" w:color="auto"/>
            </w:tcBorders>
            <w:shd w:val="clear" w:color="auto" w:fill="auto"/>
            <w:vAlign w:val="center"/>
            <w:hideMark/>
          </w:tcPr>
          <w:p w14:paraId="42BBCB65"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Zarza Franco Guadalupe Eugenia</w:t>
            </w:r>
          </w:p>
        </w:tc>
      </w:tr>
      <w:tr w:rsidR="00077C2A" w:rsidRPr="00077C2A" w14:paraId="78E14D3A" w14:textId="77777777" w:rsidTr="008E717E">
        <w:trPr>
          <w:trHeight w:val="21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1C529314"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lastRenderedPageBreak/>
              <w:t>Influencia de la infección por trypanosoma cruzi en la comunicación intra-específica de chinches chagasicas: un primer paso hacia la prevención de la enfermedad de Chagas.</w:t>
            </w:r>
          </w:p>
        </w:tc>
        <w:tc>
          <w:tcPr>
            <w:tcW w:w="2180" w:type="dxa"/>
            <w:tcBorders>
              <w:top w:val="nil"/>
              <w:left w:val="nil"/>
              <w:bottom w:val="single" w:sz="4" w:space="0" w:color="auto"/>
              <w:right w:val="single" w:sz="4" w:space="0" w:color="auto"/>
            </w:tcBorders>
            <w:shd w:val="clear" w:color="auto" w:fill="auto"/>
            <w:vAlign w:val="center"/>
            <w:hideMark/>
          </w:tcPr>
          <w:p w14:paraId="26E12DF9"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Consejo Nacional de Ciencia y Tecnología</w:t>
            </w:r>
          </w:p>
        </w:tc>
        <w:tc>
          <w:tcPr>
            <w:tcW w:w="1380" w:type="dxa"/>
            <w:tcBorders>
              <w:top w:val="nil"/>
              <w:left w:val="nil"/>
              <w:bottom w:val="single" w:sz="4" w:space="0" w:color="auto"/>
              <w:right w:val="single" w:sz="4" w:space="0" w:color="auto"/>
            </w:tcBorders>
            <w:shd w:val="clear" w:color="auto" w:fill="auto"/>
            <w:noWrap/>
            <w:vAlign w:val="center"/>
            <w:hideMark/>
          </w:tcPr>
          <w:p w14:paraId="27AD7CC7"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105,000.00</w:t>
            </w:r>
          </w:p>
        </w:tc>
        <w:tc>
          <w:tcPr>
            <w:tcW w:w="1340" w:type="dxa"/>
            <w:tcBorders>
              <w:top w:val="nil"/>
              <w:left w:val="nil"/>
              <w:bottom w:val="single" w:sz="4" w:space="0" w:color="auto"/>
              <w:right w:val="single" w:sz="4" w:space="0" w:color="auto"/>
            </w:tcBorders>
            <w:shd w:val="clear" w:color="auto" w:fill="auto"/>
            <w:vAlign w:val="center"/>
            <w:hideMark/>
          </w:tcPr>
          <w:p w14:paraId="4598B788" w14:textId="24CDF256"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 xml:space="preserve">                      -   </w:t>
            </w:r>
          </w:p>
        </w:tc>
        <w:tc>
          <w:tcPr>
            <w:tcW w:w="1120" w:type="dxa"/>
            <w:tcBorders>
              <w:top w:val="nil"/>
              <w:left w:val="nil"/>
              <w:bottom w:val="single" w:sz="4" w:space="0" w:color="auto"/>
              <w:right w:val="single" w:sz="4" w:space="0" w:color="auto"/>
            </w:tcBorders>
            <w:shd w:val="clear" w:color="auto" w:fill="auto"/>
            <w:noWrap/>
            <w:vAlign w:val="center"/>
            <w:hideMark/>
          </w:tcPr>
          <w:p w14:paraId="0EC5C310"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23-nov-20</w:t>
            </w:r>
          </w:p>
        </w:tc>
        <w:tc>
          <w:tcPr>
            <w:tcW w:w="1440" w:type="dxa"/>
            <w:tcBorders>
              <w:top w:val="nil"/>
              <w:left w:val="nil"/>
              <w:bottom w:val="single" w:sz="4" w:space="0" w:color="auto"/>
              <w:right w:val="single" w:sz="4" w:space="0" w:color="auto"/>
            </w:tcBorders>
            <w:shd w:val="clear" w:color="auto" w:fill="auto"/>
            <w:noWrap/>
            <w:vAlign w:val="center"/>
            <w:hideMark/>
          </w:tcPr>
          <w:p w14:paraId="53D8EA71"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22-nov-23</w:t>
            </w:r>
          </w:p>
        </w:tc>
        <w:tc>
          <w:tcPr>
            <w:tcW w:w="1240" w:type="dxa"/>
            <w:tcBorders>
              <w:top w:val="nil"/>
              <w:left w:val="nil"/>
              <w:bottom w:val="single" w:sz="4" w:space="0" w:color="auto"/>
              <w:right w:val="single" w:sz="4" w:space="0" w:color="auto"/>
            </w:tcBorders>
            <w:shd w:val="clear" w:color="auto" w:fill="auto"/>
            <w:noWrap/>
            <w:vAlign w:val="center"/>
            <w:hideMark/>
          </w:tcPr>
          <w:p w14:paraId="43A6E2A4"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w:t>
            </w:r>
          </w:p>
        </w:tc>
        <w:tc>
          <w:tcPr>
            <w:tcW w:w="1660" w:type="dxa"/>
            <w:tcBorders>
              <w:top w:val="nil"/>
              <w:left w:val="nil"/>
              <w:bottom w:val="single" w:sz="4" w:space="0" w:color="auto"/>
              <w:right w:val="single" w:sz="4" w:space="0" w:color="auto"/>
            </w:tcBorders>
            <w:shd w:val="clear" w:color="auto" w:fill="auto"/>
            <w:vAlign w:val="center"/>
            <w:hideMark/>
          </w:tcPr>
          <w:p w14:paraId="74519580"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Cruz López Leopoldo Caridad</w:t>
            </w:r>
          </w:p>
        </w:tc>
      </w:tr>
      <w:tr w:rsidR="00077C2A" w:rsidRPr="00077C2A" w14:paraId="1AB9FC8E" w14:textId="77777777" w:rsidTr="008E717E">
        <w:trPr>
          <w:trHeight w:val="12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765CA27A"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Estudio de la ecología sensorial del picudo de la soya (rhyssomatus nigerrimus fahraeus)</w:t>
            </w:r>
          </w:p>
        </w:tc>
        <w:tc>
          <w:tcPr>
            <w:tcW w:w="2180" w:type="dxa"/>
            <w:tcBorders>
              <w:top w:val="nil"/>
              <w:left w:val="nil"/>
              <w:bottom w:val="single" w:sz="4" w:space="0" w:color="auto"/>
              <w:right w:val="single" w:sz="4" w:space="0" w:color="auto"/>
            </w:tcBorders>
            <w:shd w:val="clear" w:color="auto" w:fill="auto"/>
            <w:vAlign w:val="center"/>
            <w:hideMark/>
          </w:tcPr>
          <w:p w14:paraId="5AD21EA0"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Instituto Nacional de Investigaciones Forestales, Agrícolas y Pecuarias</w:t>
            </w:r>
          </w:p>
        </w:tc>
        <w:tc>
          <w:tcPr>
            <w:tcW w:w="1380" w:type="dxa"/>
            <w:tcBorders>
              <w:top w:val="nil"/>
              <w:left w:val="nil"/>
              <w:bottom w:val="single" w:sz="4" w:space="0" w:color="auto"/>
              <w:right w:val="single" w:sz="4" w:space="0" w:color="auto"/>
            </w:tcBorders>
            <w:shd w:val="clear" w:color="auto" w:fill="auto"/>
            <w:noWrap/>
            <w:vAlign w:val="center"/>
            <w:hideMark/>
          </w:tcPr>
          <w:p w14:paraId="49EDC727"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220,909.00</w:t>
            </w:r>
          </w:p>
        </w:tc>
        <w:tc>
          <w:tcPr>
            <w:tcW w:w="1340" w:type="dxa"/>
            <w:tcBorders>
              <w:top w:val="nil"/>
              <w:left w:val="nil"/>
              <w:bottom w:val="single" w:sz="4" w:space="0" w:color="auto"/>
              <w:right w:val="single" w:sz="4" w:space="0" w:color="auto"/>
            </w:tcBorders>
            <w:shd w:val="clear" w:color="auto" w:fill="auto"/>
            <w:vAlign w:val="center"/>
            <w:hideMark/>
          </w:tcPr>
          <w:p w14:paraId="41FDF3A4" w14:textId="41342C13"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 xml:space="preserve">   175,881.59 </w:t>
            </w:r>
          </w:p>
        </w:tc>
        <w:tc>
          <w:tcPr>
            <w:tcW w:w="1120" w:type="dxa"/>
            <w:tcBorders>
              <w:top w:val="nil"/>
              <w:left w:val="nil"/>
              <w:bottom w:val="single" w:sz="4" w:space="0" w:color="auto"/>
              <w:right w:val="single" w:sz="4" w:space="0" w:color="auto"/>
            </w:tcBorders>
            <w:shd w:val="clear" w:color="auto" w:fill="auto"/>
            <w:noWrap/>
            <w:vAlign w:val="center"/>
            <w:hideMark/>
          </w:tcPr>
          <w:p w14:paraId="4678B790"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12-jun-20</w:t>
            </w:r>
          </w:p>
        </w:tc>
        <w:tc>
          <w:tcPr>
            <w:tcW w:w="1440" w:type="dxa"/>
            <w:tcBorders>
              <w:top w:val="nil"/>
              <w:left w:val="nil"/>
              <w:bottom w:val="single" w:sz="4" w:space="0" w:color="auto"/>
              <w:right w:val="single" w:sz="4" w:space="0" w:color="auto"/>
            </w:tcBorders>
            <w:shd w:val="clear" w:color="auto" w:fill="auto"/>
            <w:noWrap/>
            <w:vAlign w:val="center"/>
            <w:hideMark/>
          </w:tcPr>
          <w:p w14:paraId="2026F91D"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15-ene-23</w:t>
            </w:r>
          </w:p>
        </w:tc>
        <w:tc>
          <w:tcPr>
            <w:tcW w:w="1240" w:type="dxa"/>
            <w:tcBorders>
              <w:top w:val="nil"/>
              <w:left w:val="nil"/>
              <w:bottom w:val="single" w:sz="4" w:space="0" w:color="auto"/>
              <w:right w:val="single" w:sz="4" w:space="0" w:color="auto"/>
            </w:tcBorders>
            <w:shd w:val="clear" w:color="auto" w:fill="auto"/>
            <w:noWrap/>
            <w:vAlign w:val="center"/>
            <w:hideMark/>
          </w:tcPr>
          <w:p w14:paraId="122F934C"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80%</w:t>
            </w:r>
          </w:p>
        </w:tc>
        <w:tc>
          <w:tcPr>
            <w:tcW w:w="1660" w:type="dxa"/>
            <w:tcBorders>
              <w:top w:val="nil"/>
              <w:left w:val="nil"/>
              <w:bottom w:val="single" w:sz="4" w:space="0" w:color="auto"/>
              <w:right w:val="single" w:sz="4" w:space="0" w:color="auto"/>
            </w:tcBorders>
            <w:shd w:val="clear" w:color="auto" w:fill="auto"/>
            <w:vAlign w:val="center"/>
            <w:hideMark/>
          </w:tcPr>
          <w:p w14:paraId="46328235"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Cruz López Leopoldo Caridad</w:t>
            </w:r>
          </w:p>
        </w:tc>
      </w:tr>
      <w:tr w:rsidR="00077C2A" w:rsidRPr="00077C2A" w14:paraId="1334C381" w14:textId="77777777" w:rsidTr="008E717E">
        <w:trPr>
          <w:trHeight w:val="9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6C1A8A22"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Agua y vulnerabilidad en sociedades frágiles</w:t>
            </w:r>
          </w:p>
        </w:tc>
        <w:tc>
          <w:tcPr>
            <w:tcW w:w="2180" w:type="dxa"/>
            <w:tcBorders>
              <w:top w:val="nil"/>
              <w:left w:val="nil"/>
              <w:bottom w:val="single" w:sz="4" w:space="0" w:color="auto"/>
              <w:right w:val="single" w:sz="4" w:space="0" w:color="auto"/>
            </w:tcBorders>
            <w:shd w:val="clear" w:color="auto" w:fill="auto"/>
            <w:vAlign w:val="center"/>
            <w:hideMark/>
          </w:tcPr>
          <w:p w14:paraId="51321D2E"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Facultad de Ciencias Sociales, Universidad de Helsinki, Finlandia</w:t>
            </w:r>
          </w:p>
        </w:tc>
        <w:tc>
          <w:tcPr>
            <w:tcW w:w="1380" w:type="dxa"/>
            <w:tcBorders>
              <w:top w:val="nil"/>
              <w:left w:val="nil"/>
              <w:bottom w:val="single" w:sz="4" w:space="0" w:color="auto"/>
              <w:right w:val="single" w:sz="4" w:space="0" w:color="auto"/>
            </w:tcBorders>
            <w:shd w:val="clear" w:color="auto" w:fill="auto"/>
            <w:noWrap/>
            <w:vAlign w:val="center"/>
            <w:hideMark/>
          </w:tcPr>
          <w:p w14:paraId="0A965E08"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743,334.86</w:t>
            </w:r>
          </w:p>
        </w:tc>
        <w:tc>
          <w:tcPr>
            <w:tcW w:w="1340" w:type="dxa"/>
            <w:tcBorders>
              <w:top w:val="nil"/>
              <w:left w:val="nil"/>
              <w:bottom w:val="single" w:sz="4" w:space="0" w:color="auto"/>
              <w:right w:val="single" w:sz="4" w:space="0" w:color="auto"/>
            </w:tcBorders>
            <w:shd w:val="clear" w:color="auto" w:fill="auto"/>
            <w:noWrap/>
            <w:vAlign w:val="center"/>
            <w:hideMark/>
          </w:tcPr>
          <w:p w14:paraId="45A21719"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736,781.61</w:t>
            </w:r>
          </w:p>
        </w:tc>
        <w:tc>
          <w:tcPr>
            <w:tcW w:w="1120" w:type="dxa"/>
            <w:tcBorders>
              <w:top w:val="nil"/>
              <w:left w:val="nil"/>
              <w:bottom w:val="single" w:sz="4" w:space="0" w:color="auto"/>
              <w:right w:val="single" w:sz="4" w:space="0" w:color="auto"/>
            </w:tcBorders>
            <w:shd w:val="clear" w:color="auto" w:fill="auto"/>
            <w:noWrap/>
            <w:vAlign w:val="center"/>
            <w:hideMark/>
          </w:tcPr>
          <w:p w14:paraId="765CEAC7"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01-jun-18</w:t>
            </w:r>
          </w:p>
        </w:tc>
        <w:tc>
          <w:tcPr>
            <w:tcW w:w="1440" w:type="dxa"/>
            <w:tcBorders>
              <w:top w:val="nil"/>
              <w:left w:val="nil"/>
              <w:bottom w:val="single" w:sz="4" w:space="0" w:color="auto"/>
              <w:right w:val="single" w:sz="4" w:space="0" w:color="auto"/>
            </w:tcBorders>
            <w:shd w:val="clear" w:color="auto" w:fill="auto"/>
            <w:noWrap/>
            <w:vAlign w:val="center"/>
            <w:hideMark/>
          </w:tcPr>
          <w:p w14:paraId="65A7C62F"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31-dic-21</w:t>
            </w:r>
          </w:p>
        </w:tc>
        <w:tc>
          <w:tcPr>
            <w:tcW w:w="1240" w:type="dxa"/>
            <w:tcBorders>
              <w:top w:val="nil"/>
              <w:left w:val="nil"/>
              <w:bottom w:val="single" w:sz="4" w:space="0" w:color="auto"/>
              <w:right w:val="single" w:sz="4" w:space="0" w:color="auto"/>
            </w:tcBorders>
            <w:shd w:val="clear" w:color="auto" w:fill="auto"/>
            <w:noWrap/>
            <w:vAlign w:val="center"/>
            <w:hideMark/>
          </w:tcPr>
          <w:p w14:paraId="706AD682"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99%</w:t>
            </w:r>
          </w:p>
        </w:tc>
        <w:tc>
          <w:tcPr>
            <w:tcW w:w="1660" w:type="dxa"/>
            <w:tcBorders>
              <w:top w:val="nil"/>
              <w:left w:val="nil"/>
              <w:bottom w:val="single" w:sz="4" w:space="0" w:color="auto"/>
              <w:right w:val="single" w:sz="4" w:space="0" w:color="auto"/>
            </w:tcBorders>
            <w:shd w:val="clear" w:color="auto" w:fill="auto"/>
            <w:vAlign w:val="center"/>
            <w:hideMark/>
          </w:tcPr>
          <w:p w14:paraId="4DB42679"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Ramos Muñoz Dora Elia</w:t>
            </w:r>
          </w:p>
        </w:tc>
      </w:tr>
      <w:tr w:rsidR="00077C2A" w:rsidRPr="00077C2A" w14:paraId="135AE55B" w14:textId="77777777" w:rsidTr="008E717E">
        <w:trPr>
          <w:trHeight w:val="12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6A3CF3A4" w14:textId="77777777" w:rsidR="00077C2A" w:rsidRPr="00077C2A" w:rsidRDefault="00077C2A" w:rsidP="00077C2A">
            <w:pPr>
              <w:spacing w:line="276" w:lineRule="auto"/>
              <w:rPr>
                <w:rFonts w:ascii="Calibri" w:eastAsia="Times New Roman" w:hAnsi="Calibri" w:cs="Times New Roman"/>
                <w:color w:val="000000"/>
                <w:sz w:val="22"/>
                <w:szCs w:val="22"/>
                <w:lang w:val="en-US" w:eastAsia="es-MX"/>
              </w:rPr>
            </w:pPr>
            <w:r w:rsidRPr="00077C2A">
              <w:rPr>
                <w:rFonts w:ascii="Calibri" w:eastAsia="Times New Roman" w:hAnsi="Calibri" w:cs="Times New Roman"/>
                <w:color w:val="000000"/>
                <w:sz w:val="22"/>
                <w:szCs w:val="22"/>
                <w:lang w:val="en-US" w:eastAsia="es-MX"/>
              </w:rPr>
              <w:t>From traditional uses to an integrated valorisation of sediments in the Usumacinta River Basin</w:t>
            </w:r>
          </w:p>
        </w:tc>
        <w:tc>
          <w:tcPr>
            <w:tcW w:w="2180" w:type="dxa"/>
            <w:tcBorders>
              <w:top w:val="nil"/>
              <w:left w:val="nil"/>
              <w:bottom w:val="single" w:sz="4" w:space="0" w:color="auto"/>
              <w:right w:val="single" w:sz="4" w:space="0" w:color="auto"/>
            </w:tcBorders>
            <w:shd w:val="clear" w:color="auto" w:fill="auto"/>
            <w:vAlign w:val="center"/>
            <w:hideMark/>
          </w:tcPr>
          <w:p w14:paraId="3F5BDB3B"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Centro del Cambio Global y la Sustentabilidad en el Sureste A.C.</w:t>
            </w:r>
          </w:p>
        </w:tc>
        <w:tc>
          <w:tcPr>
            <w:tcW w:w="1380" w:type="dxa"/>
            <w:tcBorders>
              <w:top w:val="nil"/>
              <w:left w:val="nil"/>
              <w:bottom w:val="single" w:sz="4" w:space="0" w:color="auto"/>
              <w:right w:val="single" w:sz="4" w:space="0" w:color="auto"/>
            </w:tcBorders>
            <w:shd w:val="clear" w:color="auto" w:fill="auto"/>
            <w:noWrap/>
            <w:vAlign w:val="center"/>
            <w:hideMark/>
          </w:tcPr>
          <w:p w14:paraId="41F63B8D"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1,287,319.20</w:t>
            </w:r>
          </w:p>
        </w:tc>
        <w:tc>
          <w:tcPr>
            <w:tcW w:w="1340" w:type="dxa"/>
            <w:tcBorders>
              <w:top w:val="nil"/>
              <w:left w:val="nil"/>
              <w:bottom w:val="single" w:sz="4" w:space="0" w:color="auto"/>
              <w:right w:val="single" w:sz="4" w:space="0" w:color="auto"/>
            </w:tcBorders>
            <w:shd w:val="clear" w:color="auto" w:fill="auto"/>
            <w:noWrap/>
            <w:vAlign w:val="center"/>
            <w:hideMark/>
          </w:tcPr>
          <w:p w14:paraId="1E577740"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985,451.10</w:t>
            </w:r>
          </w:p>
        </w:tc>
        <w:tc>
          <w:tcPr>
            <w:tcW w:w="1120" w:type="dxa"/>
            <w:tcBorders>
              <w:top w:val="nil"/>
              <w:left w:val="nil"/>
              <w:bottom w:val="single" w:sz="4" w:space="0" w:color="auto"/>
              <w:right w:val="single" w:sz="4" w:space="0" w:color="auto"/>
            </w:tcBorders>
            <w:shd w:val="clear" w:color="auto" w:fill="auto"/>
            <w:noWrap/>
            <w:vAlign w:val="center"/>
            <w:hideMark/>
          </w:tcPr>
          <w:p w14:paraId="1C86A2BA"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01-jun-18</w:t>
            </w:r>
          </w:p>
        </w:tc>
        <w:tc>
          <w:tcPr>
            <w:tcW w:w="1440" w:type="dxa"/>
            <w:tcBorders>
              <w:top w:val="nil"/>
              <w:left w:val="nil"/>
              <w:bottom w:val="single" w:sz="4" w:space="0" w:color="auto"/>
              <w:right w:val="single" w:sz="4" w:space="0" w:color="auto"/>
            </w:tcBorders>
            <w:shd w:val="clear" w:color="auto" w:fill="auto"/>
            <w:noWrap/>
            <w:vAlign w:val="center"/>
            <w:hideMark/>
          </w:tcPr>
          <w:p w14:paraId="741D7031"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28-feb-21</w:t>
            </w:r>
          </w:p>
        </w:tc>
        <w:tc>
          <w:tcPr>
            <w:tcW w:w="1240" w:type="dxa"/>
            <w:tcBorders>
              <w:top w:val="nil"/>
              <w:left w:val="nil"/>
              <w:bottom w:val="single" w:sz="4" w:space="0" w:color="auto"/>
              <w:right w:val="single" w:sz="4" w:space="0" w:color="auto"/>
            </w:tcBorders>
            <w:shd w:val="clear" w:color="auto" w:fill="auto"/>
            <w:noWrap/>
            <w:vAlign w:val="center"/>
            <w:hideMark/>
          </w:tcPr>
          <w:p w14:paraId="2865F19A"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77%</w:t>
            </w:r>
          </w:p>
        </w:tc>
        <w:tc>
          <w:tcPr>
            <w:tcW w:w="1660" w:type="dxa"/>
            <w:tcBorders>
              <w:top w:val="nil"/>
              <w:left w:val="nil"/>
              <w:bottom w:val="single" w:sz="4" w:space="0" w:color="auto"/>
              <w:right w:val="single" w:sz="4" w:space="0" w:color="auto"/>
            </w:tcBorders>
            <w:shd w:val="clear" w:color="auto" w:fill="auto"/>
            <w:vAlign w:val="center"/>
            <w:hideMark/>
          </w:tcPr>
          <w:p w14:paraId="69F266B4"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Van der Wal Johannes Cornelis</w:t>
            </w:r>
          </w:p>
        </w:tc>
      </w:tr>
      <w:tr w:rsidR="00077C2A" w:rsidRPr="00077C2A" w14:paraId="083B44A3" w14:textId="77777777" w:rsidTr="008E717E">
        <w:trPr>
          <w:trHeight w:val="9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211D7EFF" w14:textId="77777777" w:rsidR="00077C2A" w:rsidRPr="00077C2A" w:rsidRDefault="00077C2A" w:rsidP="00077C2A">
            <w:pPr>
              <w:spacing w:line="276" w:lineRule="auto"/>
              <w:rPr>
                <w:rFonts w:ascii="Calibri" w:eastAsia="Times New Roman" w:hAnsi="Calibri" w:cs="Times New Roman"/>
                <w:color w:val="000000"/>
                <w:sz w:val="22"/>
                <w:szCs w:val="22"/>
                <w:lang w:val="en-US" w:eastAsia="es-MX"/>
              </w:rPr>
            </w:pPr>
            <w:r w:rsidRPr="00077C2A">
              <w:rPr>
                <w:rFonts w:ascii="Calibri" w:eastAsia="Times New Roman" w:hAnsi="Calibri" w:cs="Times New Roman"/>
                <w:color w:val="000000"/>
                <w:sz w:val="22"/>
                <w:szCs w:val="22"/>
                <w:lang w:val="en-US" w:eastAsia="es-MX"/>
              </w:rPr>
              <w:t>Resilient People, Resilient Ecosystems In Smart Cities (Respires)</w:t>
            </w:r>
          </w:p>
        </w:tc>
        <w:tc>
          <w:tcPr>
            <w:tcW w:w="2180" w:type="dxa"/>
            <w:tcBorders>
              <w:top w:val="nil"/>
              <w:left w:val="nil"/>
              <w:bottom w:val="single" w:sz="4" w:space="0" w:color="auto"/>
              <w:right w:val="single" w:sz="4" w:space="0" w:color="auto"/>
            </w:tcBorders>
            <w:shd w:val="clear" w:color="auto" w:fill="auto"/>
            <w:vAlign w:val="center"/>
            <w:hideMark/>
          </w:tcPr>
          <w:p w14:paraId="039DB330"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FONCICYT</w:t>
            </w:r>
          </w:p>
        </w:tc>
        <w:tc>
          <w:tcPr>
            <w:tcW w:w="1380" w:type="dxa"/>
            <w:tcBorders>
              <w:top w:val="nil"/>
              <w:left w:val="nil"/>
              <w:bottom w:val="single" w:sz="4" w:space="0" w:color="auto"/>
              <w:right w:val="single" w:sz="4" w:space="0" w:color="auto"/>
            </w:tcBorders>
            <w:shd w:val="clear" w:color="auto" w:fill="auto"/>
            <w:noWrap/>
            <w:vAlign w:val="center"/>
            <w:hideMark/>
          </w:tcPr>
          <w:p w14:paraId="53EFF4E7"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75,000.00</w:t>
            </w:r>
          </w:p>
        </w:tc>
        <w:tc>
          <w:tcPr>
            <w:tcW w:w="1340" w:type="dxa"/>
            <w:tcBorders>
              <w:top w:val="nil"/>
              <w:left w:val="nil"/>
              <w:bottom w:val="single" w:sz="4" w:space="0" w:color="auto"/>
              <w:right w:val="single" w:sz="4" w:space="0" w:color="auto"/>
            </w:tcBorders>
            <w:shd w:val="clear" w:color="auto" w:fill="auto"/>
            <w:noWrap/>
            <w:vAlign w:val="center"/>
            <w:hideMark/>
          </w:tcPr>
          <w:p w14:paraId="37933229"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63,293.85</w:t>
            </w:r>
          </w:p>
        </w:tc>
        <w:tc>
          <w:tcPr>
            <w:tcW w:w="1120" w:type="dxa"/>
            <w:tcBorders>
              <w:top w:val="nil"/>
              <w:left w:val="nil"/>
              <w:bottom w:val="single" w:sz="4" w:space="0" w:color="auto"/>
              <w:right w:val="single" w:sz="4" w:space="0" w:color="auto"/>
            </w:tcBorders>
            <w:shd w:val="clear" w:color="auto" w:fill="auto"/>
            <w:noWrap/>
            <w:vAlign w:val="center"/>
            <w:hideMark/>
          </w:tcPr>
          <w:p w14:paraId="24F82C7B"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16-ene-20</w:t>
            </w:r>
          </w:p>
        </w:tc>
        <w:tc>
          <w:tcPr>
            <w:tcW w:w="1440" w:type="dxa"/>
            <w:tcBorders>
              <w:top w:val="nil"/>
              <w:left w:val="nil"/>
              <w:bottom w:val="single" w:sz="4" w:space="0" w:color="auto"/>
              <w:right w:val="single" w:sz="4" w:space="0" w:color="auto"/>
            </w:tcBorders>
            <w:shd w:val="clear" w:color="auto" w:fill="auto"/>
            <w:noWrap/>
            <w:vAlign w:val="center"/>
            <w:hideMark/>
          </w:tcPr>
          <w:p w14:paraId="5FCF3F80"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16-nov-22</w:t>
            </w:r>
          </w:p>
        </w:tc>
        <w:tc>
          <w:tcPr>
            <w:tcW w:w="1240" w:type="dxa"/>
            <w:tcBorders>
              <w:top w:val="nil"/>
              <w:left w:val="nil"/>
              <w:bottom w:val="single" w:sz="4" w:space="0" w:color="auto"/>
              <w:right w:val="single" w:sz="4" w:space="0" w:color="auto"/>
            </w:tcBorders>
            <w:shd w:val="clear" w:color="auto" w:fill="auto"/>
            <w:noWrap/>
            <w:vAlign w:val="center"/>
            <w:hideMark/>
          </w:tcPr>
          <w:p w14:paraId="2CC40305"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84%</w:t>
            </w:r>
          </w:p>
        </w:tc>
        <w:tc>
          <w:tcPr>
            <w:tcW w:w="1660" w:type="dxa"/>
            <w:tcBorders>
              <w:top w:val="nil"/>
              <w:left w:val="nil"/>
              <w:bottom w:val="single" w:sz="4" w:space="0" w:color="auto"/>
              <w:right w:val="single" w:sz="4" w:space="0" w:color="auto"/>
            </w:tcBorders>
            <w:shd w:val="clear" w:color="auto" w:fill="auto"/>
            <w:vAlign w:val="center"/>
            <w:hideMark/>
          </w:tcPr>
          <w:p w14:paraId="76B49168"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Mesa Jurado María Azahara</w:t>
            </w:r>
          </w:p>
        </w:tc>
      </w:tr>
      <w:tr w:rsidR="00077C2A" w:rsidRPr="00077C2A" w14:paraId="124E64E4" w14:textId="77777777" w:rsidTr="008E717E">
        <w:trPr>
          <w:trHeight w:val="18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64C4CC72"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lastRenderedPageBreak/>
              <w:t>Metabolismo del ecosistema en ríos tropicales: la influencia de la estacionalidad hidrológica y las presiones humanas.</w:t>
            </w:r>
          </w:p>
        </w:tc>
        <w:tc>
          <w:tcPr>
            <w:tcW w:w="2180" w:type="dxa"/>
            <w:tcBorders>
              <w:top w:val="nil"/>
              <w:left w:val="nil"/>
              <w:bottom w:val="single" w:sz="4" w:space="0" w:color="auto"/>
              <w:right w:val="single" w:sz="4" w:space="0" w:color="auto"/>
            </w:tcBorders>
            <w:shd w:val="clear" w:color="auto" w:fill="auto"/>
            <w:vAlign w:val="center"/>
            <w:hideMark/>
          </w:tcPr>
          <w:p w14:paraId="6CE42A32"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Fondo Institucional de Fomento Regional para el Desarrollo Científico, Tecnológico y de Innovación</w:t>
            </w:r>
          </w:p>
        </w:tc>
        <w:tc>
          <w:tcPr>
            <w:tcW w:w="1380" w:type="dxa"/>
            <w:tcBorders>
              <w:top w:val="nil"/>
              <w:left w:val="nil"/>
              <w:bottom w:val="single" w:sz="4" w:space="0" w:color="auto"/>
              <w:right w:val="single" w:sz="4" w:space="0" w:color="auto"/>
            </w:tcBorders>
            <w:shd w:val="clear" w:color="auto" w:fill="auto"/>
            <w:noWrap/>
            <w:vAlign w:val="center"/>
            <w:hideMark/>
          </w:tcPr>
          <w:p w14:paraId="0833B8E1"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3,150,000.00</w:t>
            </w:r>
          </w:p>
        </w:tc>
        <w:tc>
          <w:tcPr>
            <w:tcW w:w="1340" w:type="dxa"/>
            <w:tcBorders>
              <w:top w:val="nil"/>
              <w:left w:val="nil"/>
              <w:bottom w:val="single" w:sz="4" w:space="0" w:color="auto"/>
              <w:right w:val="single" w:sz="4" w:space="0" w:color="auto"/>
            </w:tcBorders>
            <w:shd w:val="clear" w:color="auto" w:fill="auto"/>
            <w:noWrap/>
            <w:vAlign w:val="center"/>
            <w:hideMark/>
          </w:tcPr>
          <w:p w14:paraId="434834D4"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743,714.61</w:t>
            </w:r>
          </w:p>
        </w:tc>
        <w:tc>
          <w:tcPr>
            <w:tcW w:w="1120" w:type="dxa"/>
            <w:tcBorders>
              <w:top w:val="nil"/>
              <w:left w:val="nil"/>
              <w:bottom w:val="single" w:sz="4" w:space="0" w:color="auto"/>
              <w:right w:val="single" w:sz="4" w:space="0" w:color="auto"/>
            </w:tcBorders>
            <w:shd w:val="clear" w:color="auto" w:fill="auto"/>
            <w:noWrap/>
            <w:vAlign w:val="center"/>
            <w:hideMark/>
          </w:tcPr>
          <w:p w14:paraId="441F7F7C"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03-nov-20</w:t>
            </w:r>
          </w:p>
        </w:tc>
        <w:tc>
          <w:tcPr>
            <w:tcW w:w="1440" w:type="dxa"/>
            <w:tcBorders>
              <w:top w:val="nil"/>
              <w:left w:val="nil"/>
              <w:bottom w:val="single" w:sz="4" w:space="0" w:color="auto"/>
              <w:right w:val="single" w:sz="4" w:space="0" w:color="auto"/>
            </w:tcBorders>
            <w:shd w:val="clear" w:color="auto" w:fill="auto"/>
            <w:noWrap/>
            <w:vAlign w:val="center"/>
            <w:hideMark/>
          </w:tcPr>
          <w:p w14:paraId="076A830E"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03-nov-23</w:t>
            </w:r>
          </w:p>
        </w:tc>
        <w:tc>
          <w:tcPr>
            <w:tcW w:w="1240" w:type="dxa"/>
            <w:tcBorders>
              <w:top w:val="nil"/>
              <w:left w:val="nil"/>
              <w:bottom w:val="single" w:sz="4" w:space="0" w:color="auto"/>
              <w:right w:val="single" w:sz="4" w:space="0" w:color="auto"/>
            </w:tcBorders>
            <w:shd w:val="clear" w:color="auto" w:fill="auto"/>
            <w:noWrap/>
            <w:vAlign w:val="center"/>
            <w:hideMark/>
          </w:tcPr>
          <w:p w14:paraId="1C325CBF"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24%</w:t>
            </w:r>
          </w:p>
        </w:tc>
        <w:tc>
          <w:tcPr>
            <w:tcW w:w="1660" w:type="dxa"/>
            <w:tcBorders>
              <w:top w:val="nil"/>
              <w:left w:val="nil"/>
              <w:bottom w:val="single" w:sz="4" w:space="0" w:color="auto"/>
              <w:right w:val="single" w:sz="4" w:space="0" w:color="auto"/>
            </w:tcBorders>
            <w:shd w:val="clear" w:color="auto" w:fill="auto"/>
            <w:vAlign w:val="center"/>
            <w:hideMark/>
          </w:tcPr>
          <w:p w14:paraId="531CC8C1"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Castillo Uzcanga María Mercedes</w:t>
            </w:r>
          </w:p>
        </w:tc>
      </w:tr>
      <w:tr w:rsidR="00077C2A" w:rsidRPr="00077C2A" w14:paraId="4E8CEE07" w14:textId="77777777" w:rsidTr="008E717E">
        <w:trPr>
          <w:trHeight w:val="21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64812AF6"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Descifrando el microbioma de la piel en ajolotes y las consecuencias de la interacción</w:t>
            </w:r>
            <w:r w:rsidRPr="00077C2A">
              <w:rPr>
                <w:rFonts w:ascii="Calibri" w:eastAsia="Times New Roman" w:hAnsi="Calibri" w:cs="Times New Roman"/>
                <w:color w:val="000000"/>
                <w:sz w:val="22"/>
                <w:szCs w:val="22"/>
                <w:lang w:eastAsia="es-MX"/>
              </w:rPr>
              <w:br/>
              <w:t>huésped-microbioma sobre una enfermedad letal emergente</w:t>
            </w:r>
          </w:p>
        </w:tc>
        <w:tc>
          <w:tcPr>
            <w:tcW w:w="2180" w:type="dxa"/>
            <w:tcBorders>
              <w:top w:val="nil"/>
              <w:left w:val="nil"/>
              <w:bottom w:val="single" w:sz="4" w:space="0" w:color="auto"/>
              <w:right w:val="single" w:sz="4" w:space="0" w:color="auto"/>
            </w:tcBorders>
            <w:shd w:val="clear" w:color="auto" w:fill="auto"/>
            <w:vAlign w:val="center"/>
            <w:hideMark/>
          </w:tcPr>
          <w:p w14:paraId="4A59F8AE"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CONACYT - UNAM</w:t>
            </w:r>
          </w:p>
        </w:tc>
        <w:tc>
          <w:tcPr>
            <w:tcW w:w="1380" w:type="dxa"/>
            <w:tcBorders>
              <w:top w:val="nil"/>
              <w:left w:val="nil"/>
              <w:bottom w:val="single" w:sz="4" w:space="0" w:color="auto"/>
              <w:right w:val="single" w:sz="4" w:space="0" w:color="auto"/>
            </w:tcBorders>
            <w:shd w:val="clear" w:color="auto" w:fill="auto"/>
            <w:noWrap/>
            <w:vAlign w:val="center"/>
            <w:hideMark/>
          </w:tcPr>
          <w:p w14:paraId="78A618D4"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21,000.00</w:t>
            </w:r>
          </w:p>
        </w:tc>
        <w:tc>
          <w:tcPr>
            <w:tcW w:w="1340" w:type="dxa"/>
            <w:tcBorders>
              <w:top w:val="nil"/>
              <w:left w:val="nil"/>
              <w:bottom w:val="single" w:sz="4" w:space="0" w:color="auto"/>
              <w:right w:val="single" w:sz="4" w:space="0" w:color="auto"/>
            </w:tcBorders>
            <w:shd w:val="clear" w:color="auto" w:fill="auto"/>
            <w:noWrap/>
            <w:vAlign w:val="center"/>
            <w:hideMark/>
          </w:tcPr>
          <w:p w14:paraId="17137341"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6039505D"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06-ene-21</w:t>
            </w:r>
          </w:p>
        </w:tc>
        <w:tc>
          <w:tcPr>
            <w:tcW w:w="1440" w:type="dxa"/>
            <w:tcBorders>
              <w:top w:val="nil"/>
              <w:left w:val="nil"/>
              <w:bottom w:val="single" w:sz="4" w:space="0" w:color="auto"/>
              <w:right w:val="single" w:sz="4" w:space="0" w:color="auto"/>
            </w:tcBorders>
            <w:shd w:val="clear" w:color="auto" w:fill="auto"/>
            <w:noWrap/>
            <w:vAlign w:val="center"/>
            <w:hideMark/>
          </w:tcPr>
          <w:p w14:paraId="11CCF221"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06-ene-23</w:t>
            </w:r>
          </w:p>
        </w:tc>
        <w:tc>
          <w:tcPr>
            <w:tcW w:w="1240" w:type="dxa"/>
            <w:tcBorders>
              <w:top w:val="nil"/>
              <w:left w:val="nil"/>
              <w:bottom w:val="single" w:sz="4" w:space="0" w:color="auto"/>
              <w:right w:val="single" w:sz="4" w:space="0" w:color="auto"/>
            </w:tcBorders>
            <w:shd w:val="clear" w:color="auto" w:fill="auto"/>
            <w:noWrap/>
            <w:vAlign w:val="center"/>
            <w:hideMark/>
          </w:tcPr>
          <w:p w14:paraId="7E719681"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w:t>
            </w:r>
          </w:p>
        </w:tc>
        <w:tc>
          <w:tcPr>
            <w:tcW w:w="1660" w:type="dxa"/>
            <w:tcBorders>
              <w:top w:val="nil"/>
              <w:left w:val="nil"/>
              <w:bottom w:val="single" w:sz="4" w:space="0" w:color="auto"/>
              <w:right w:val="single" w:sz="4" w:space="0" w:color="auto"/>
            </w:tcBorders>
            <w:shd w:val="clear" w:color="auto" w:fill="auto"/>
            <w:vAlign w:val="center"/>
            <w:hideMark/>
          </w:tcPr>
          <w:p w14:paraId="66A7CDBE"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Castellanos Morales Gabriela</w:t>
            </w:r>
          </w:p>
        </w:tc>
      </w:tr>
      <w:tr w:rsidR="00077C2A" w:rsidRPr="00077C2A" w14:paraId="5EAC505F" w14:textId="77777777" w:rsidTr="008E717E">
        <w:trPr>
          <w:trHeight w:val="6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0F9473FD"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Atlas de los humedales del sur-sureste y sus amenazas</w:t>
            </w:r>
          </w:p>
        </w:tc>
        <w:tc>
          <w:tcPr>
            <w:tcW w:w="2180" w:type="dxa"/>
            <w:tcBorders>
              <w:top w:val="nil"/>
              <w:left w:val="nil"/>
              <w:bottom w:val="single" w:sz="4" w:space="0" w:color="auto"/>
              <w:right w:val="single" w:sz="4" w:space="0" w:color="auto"/>
            </w:tcBorders>
            <w:shd w:val="clear" w:color="auto" w:fill="auto"/>
            <w:vAlign w:val="center"/>
            <w:hideMark/>
          </w:tcPr>
          <w:p w14:paraId="4D326489"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Fondo Sectorial CONAGUA</w:t>
            </w:r>
          </w:p>
        </w:tc>
        <w:tc>
          <w:tcPr>
            <w:tcW w:w="1380" w:type="dxa"/>
            <w:tcBorders>
              <w:top w:val="nil"/>
              <w:left w:val="nil"/>
              <w:bottom w:val="single" w:sz="4" w:space="0" w:color="auto"/>
              <w:right w:val="single" w:sz="4" w:space="0" w:color="auto"/>
            </w:tcBorders>
            <w:shd w:val="clear" w:color="auto" w:fill="auto"/>
            <w:noWrap/>
            <w:vAlign w:val="center"/>
            <w:hideMark/>
          </w:tcPr>
          <w:p w14:paraId="2147BB61"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3,675,000.00</w:t>
            </w:r>
          </w:p>
        </w:tc>
        <w:tc>
          <w:tcPr>
            <w:tcW w:w="1340" w:type="dxa"/>
            <w:tcBorders>
              <w:top w:val="nil"/>
              <w:left w:val="nil"/>
              <w:bottom w:val="single" w:sz="4" w:space="0" w:color="auto"/>
              <w:right w:val="single" w:sz="4" w:space="0" w:color="auto"/>
            </w:tcBorders>
            <w:shd w:val="clear" w:color="auto" w:fill="auto"/>
            <w:noWrap/>
            <w:vAlign w:val="center"/>
            <w:hideMark/>
          </w:tcPr>
          <w:p w14:paraId="57EC4962"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1,485,781.87</w:t>
            </w:r>
          </w:p>
        </w:tc>
        <w:tc>
          <w:tcPr>
            <w:tcW w:w="1120" w:type="dxa"/>
            <w:tcBorders>
              <w:top w:val="nil"/>
              <w:left w:val="nil"/>
              <w:bottom w:val="single" w:sz="4" w:space="0" w:color="auto"/>
              <w:right w:val="single" w:sz="4" w:space="0" w:color="auto"/>
            </w:tcBorders>
            <w:shd w:val="clear" w:color="auto" w:fill="auto"/>
            <w:noWrap/>
            <w:vAlign w:val="center"/>
            <w:hideMark/>
          </w:tcPr>
          <w:p w14:paraId="1EC829F1"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20-dic-20</w:t>
            </w:r>
          </w:p>
        </w:tc>
        <w:tc>
          <w:tcPr>
            <w:tcW w:w="1440" w:type="dxa"/>
            <w:tcBorders>
              <w:top w:val="nil"/>
              <w:left w:val="nil"/>
              <w:bottom w:val="single" w:sz="4" w:space="0" w:color="auto"/>
              <w:right w:val="single" w:sz="4" w:space="0" w:color="auto"/>
            </w:tcBorders>
            <w:shd w:val="clear" w:color="auto" w:fill="auto"/>
            <w:noWrap/>
            <w:vAlign w:val="center"/>
            <w:hideMark/>
          </w:tcPr>
          <w:p w14:paraId="7FFDC742"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20-dic-21</w:t>
            </w:r>
          </w:p>
        </w:tc>
        <w:tc>
          <w:tcPr>
            <w:tcW w:w="1240" w:type="dxa"/>
            <w:tcBorders>
              <w:top w:val="nil"/>
              <w:left w:val="nil"/>
              <w:bottom w:val="single" w:sz="4" w:space="0" w:color="auto"/>
              <w:right w:val="single" w:sz="4" w:space="0" w:color="auto"/>
            </w:tcBorders>
            <w:shd w:val="clear" w:color="auto" w:fill="auto"/>
            <w:noWrap/>
            <w:vAlign w:val="center"/>
            <w:hideMark/>
          </w:tcPr>
          <w:p w14:paraId="45D21E78"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40%</w:t>
            </w:r>
          </w:p>
        </w:tc>
        <w:tc>
          <w:tcPr>
            <w:tcW w:w="1660" w:type="dxa"/>
            <w:tcBorders>
              <w:top w:val="nil"/>
              <w:left w:val="nil"/>
              <w:bottom w:val="single" w:sz="4" w:space="0" w:color="auto"/>
              <w:right w:val="single" w:sz="4" w:space="0" w:color="auto"/>
            </w:tcBorders>
            <w:shd w:val="clear" w:color="auto" w:fill="auto"/>
            <w:vAlign w:val="center"/>
            <w:hideMark/>
          </w:tcPr>
          <w:p w14:paraId="28E7C639"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Barba Macías Everardo</w:t>
            </w:r>
          </w:p>
        </w:tc>
      </w:tr>
      <w:tr w:rsidR="00077C2A" w:rsidRPr="00077C2A" w14:paraId="4DD6119F" w14:textId="77777777" w:rsidTr="00077C2A">
        <w:trPr>
          <w:trHeight w:val="1497"/>
        </w:trPr>
        <w:tc>
          <w:tcPr>
            <w:tcW w:w="3020" w:type="dxa"/>
            <w:tcBorders>
              <w:top w:val="nil"/>
              <w:left w:val="single" w:sz="4" w:space="0" w:color="auto"/>
              <w:bottom w:val="single" w:sz="4" w:space="0" w:color="auto"/>
              <w:right w:val="single" w:sz="4" w:space="0" w:color="auto"/>
            </w:tcBorders>
            <w:shd w:val="clear" w:color="auto" w:fill="auto"/>
            <w:hideMark/>
          </w:tcPr>
          <w:p w14:paraId="13943A49"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Estado de Conservación de las Poblaciones de Manatíes en Quintana Roo y la Conectividad de las Poblaciones en la Zona Costera, 2019-2021</w:t>
            </w:r>
          </w:p>
        </w:tc>
        <w:tc>
          <w:tcPr>
            <w:tcW w:w="2180" w:type="dxa"/>
            <w:tcBorders>
              <w:top w:val="nil"/>
              <w:left w:val="nil"/>
              <w:bottom w:val="single" w:sz="4" w:space="0" w:color="auto"/>
              <w:right w:val="single" w:sz="4" w:space="0" w:color="auto"/>
            </w:tcBorders>
            <w:shd w:val="clear" w:color="auto" w:fill="auto"/>
            <w:vAlign w:val="center"/>
            <w:hideMark/>
          </w:tcPr>
          <w:p w14:paraId="388CB9F8"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Calizas Industriales del Carmen, S.A. de C.V. (CALICA)</w:t>
            </w:r>
          </w:p>
        </w:tc>
        <w:tc>
          <w:tcPr>
            <w:tcW w:w="1380" w:type="dxa"/>
            <w:tcBorders>
              <w:top w:val="nil"/>
              <w:left w:val="nil"/>
              <w:bottom w:val="single" w:sz="4" w:space="0" w:color="auto"/>
              <w:right w:val="single" w:sz="4" w:space="0" w:color="auto"/>
            </w:tcBorders>
            <w:shd w:val="clear" w:color="auto" w:fill="auto"/>
            <w:noWrap/>
            <w:vAlign w:val="center"/>
            <w:hideMark/>
          </w:tcPr>
          <w:p w14:paraId="09C72275"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2,963,989.00</w:t>
            </w:r>
          </w:p>
        </w:tc>
        <w:tc>
          <w:tcPr>
            <w:tcW w:w="1340" w:type="dxa"/>
            <w:tcBorders>
              <w:top w:val="nil"/>
              <w:left w:val="nil"/>
              <w:bottom w:val="single" w:sz="4" w:space="0" w:color="auto"/>
              <w:right w:val="single" w:sz="4" w:space="0" w:color="auto"/>
            </w:tcBorders>
            <w:shd w:val="clear" w:color="auto" w:fill="auto"/>
            <w:noWrap/>
            <w:vAlign w:val="center"/>
            <w:hideMark/>
          </w:tcPr>
          <w:p w14:paraId="3781A14B"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1,698,448.56</w:t>
            </w:r>
          </w:p>
        </w:tc>
        <w:tc>
          <w:tcPr>
            <w:tcW w:w="1120" w:type="dxa"/>
            <w:tcBorders>
              <w:top w:val="nil"/>
              <w:left w:val="nil"/>
              <w:bottom w:val="single" w:sz="4" w:space="0" w:color="auto"/>
              <w:right w:val="single" w:sz="4" w:space="0" w:color="auto"/>
            </w:tcBorders>
            <w:shd w:val="clear" w:color="auto" w:fill="auto"/>
            <w:noWrap/>
            <w:vAlign w:val="center"/>
            <w:hideMark/>
          </w:tcPr>
          <w:p w14:paraId="03159C55"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03-jul-19</w:t>
            </w:r>
          </w:p>
        </w:tc>
        <w:tc>
          <w:tcPr>
            <w:tcW w:w="1440" w:type="dxa"/>
            <w:tcBorders>
              <w:top w:val="nil"/>
              <w:left w:val="nil"/>
              <w:bottom w:val="single" w:sz="4" w:space="0" w:color="auto"/>
              <w:right w:val="single" w:sz="4" w:space="0" w:color="auto"/>
            </w:tcBorders>
            <w:shd w:val="clear" w:color="auto" w:fill="auto"/>
            <w:noWrap/>
            <w:vAlign w:val="center"/>
            <w:hideMark/>
          </w:tcPr>
          <w:p w14:paraId="6F1B1370"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03-dic-21</w:t>
            </w:r>
          </w:p>
        </w:tc>
        <w:tc>
          <w:tcPr>
            <w:tcW w:w="1240" w:type="dxa"/>
            <w:tcBorders>
              <w:top w:val="nil"/>
              <w:left w:val="nil"/>
              <w:bottom w:val="single" w:sz="4" w:space="0" w:color="auto"/>
              <w:right w:val="single" w:sz="4" w:space="0" w:color="auto"/>
            </w:tcBorders>
            <w:shd w:val="clear" w:color="auto" w:fill="auto"/>
            <w:noWrap/>
            <w:vAlign w:val="center"/>
            <w:hideMark/>
          </w:tcPr>
          <w:p w14:paraId="7CC5901F"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57%</w:t>
            </w:r>
          </w:p>
        </w:tc>
        <w:tc>
          <w:tcPr>
            <w:tcW w:w="1660" w:type="dxa"/>
            <w:tcBorders>
              <w:top w:val="nil"/>
              <w:left w:val="nil"/>
              <w:bottom w:val="single" w:sz="4" w:space="0" w:color="auto"/>
              <w:right w:val="single" w:sz="4" w:space="0" w:color="auto"/>
            </w:tcBorders>
            <w:shd w:val="clear" w:color="auto" w:fill="auto"/>
            <w:vAlign w:val="center"/>
            <w:hideMark/>
          </w:tcPr>
          <w:p w14:paraId="4236DD56"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 xml:space="preserve">Morales Vela José Benjamín </w:t>
            </w:r>
          </w:p>
        </w:tc>
      </w:tr>
      <w:tr w:rsidR="00077C2A" w:rsidRPr="00077C2A" w14:paraId="551BC624" w14:textId="77777777" w:rsidTr="008E717E">
        <w:trPr>
          <w:trHeight w:val="15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286ED163"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Fortalecimiento de las Capacidades de Producción de Plantas de Duna Costera del Jardín Botánico Dr. Alfredo Barrera Marín</w:t>
            </w:r>
          </w:p>
        </w:tc>
        <w:tc>
          <w:tcPr>
            <w:tcW w:w="2180" w:type="dxa"/>
            <w:tcBorders>
              <w:top w:val="nil"/>
              <w:left w:val="nil"/>
              <w:bottom w:val="single" w:sz="4" w:space="0" w:color="auto"/>
              <w:right w:val="single" w:sz="4" w:space="0" w:color="auto"/>
            </w:tcBorders>
            <w:shd w:val="clear" w:color="auto" w:fill="auto"/>
            <w:vAlign w:val="center"/>
            <w:hideMark/>
          </w:tcPr>
          <w:p w14:paraId="3E638786"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The Nature Conservancy (TNC)</w:t>
            </w:r>
          </w:p>
        </w:tc>
        <w:tc>
          <w:tcPr>
            <w:tcW w:w="1380" w:type="dxa"/>
            <w:tcBorders>
              <w:top w:val="nil"/>
              <w:left w:val="nil"/>
              <w:bottom w:val="single" w:sz="4" w:space="0" w:color="auto"/>
              <w:right w:val="single" w:sz="4" w:space="0" w:color="auto"/>
            </w:tcBorders>
            <w:shd w:val="clear" w:color="auto" w:fill="auto"/>
            <w:noWrap/>
            <w:vAlign w:val="center"/>
            <w:hideMark/>
          </w:tcPr>
          <w:p w14:paraId="0B53013D"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669,099.00</w:t>
            </w:r>
          </w:p>
        </w:tc>
        <w:tc>
          <w:tcPr>
            <w:tcW w:w="1340" w:type="dxa"/>
            <w:tcBorders>
              <w:top w:val="nil"/>
              <w:left w:val="nil"/>
              <w:bottom w:val="single" w:sz="4" w:space="0" w:color="auto"/>
              <w:right w:val="single" w:sz="4" w:space="0" w:color="auto"/>
            </w:tcBorders>
            <w:shd w:val="clear" w:color="auto" w:fill="auto"/>
            <w:noWrap/>
            <w:vAlign w:val="center"/>
            <w:hideMark/>
          </w:tcPr>
          <w:p w14:paraId="0A6347AC"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634,565.68</w:t>
            </w:r>
          </w:p>
        </w:tc>
        <w:tc>
          <w:tcPr>
            <w:tcW w:w="1120" w:type="dxa"/>
            <w:tcBorders>
              <w:top w:val="nil"/>
              <w:left w:val="nil"/>
              <w:bottom w:val="single" w:sz="4" w:space="0" w:color="auto"/>
              <w:right w:val="single" w:sz="4" w:space="0" w:color="auto"/>
            </w:tcBorders>
            <w:shd w:val="clear" w:color="auto" w:fill="auto"/>
            <w:noWrap/>
            <w:vAlign w:val="center"/>
            <w:hideMark/>
          </w:tcPr>
          <w:p w14:paraId="1DC1420A"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11-sep-19</w:t>
            </w:r>
          </w:p>
        </w:tc>
        <w:tc>
          <w:tcPr>
            <w:tcW w:w="1440" w:type="dxa"/>
            <w:tcBorders>
              <w:top w:val="nil"/>
              <w:left w:val="nil"/>
              <w:bottom w:val="single" w:sz="4" w:space="0" w:color="auto"/>
              <w:right w:val="single" w:sz="4" w:space="0" w:color="auto"/>
            </w:tcBorders>
            <w:shd w:val="clear" w:color="auto" w:fill="auto"/>
            <w:noWrap/>
            <w:vAlign w:val="center"/>
            <w:hideMark/>
          </w:tcPr>
          <w:p w14:paraId="1A0F4816"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30-mar-21</w:t>
            </w:r>
          </w:p>
        </w:tc>
        <w:tc>
          <w:tcPr>
            <w:tcW w:w="1240" w:type="dxa"/>
            <w:tcBorders>
              <w:top w:val="nil"/>
              <w:left w:val="nil"/>
              <w:bottom w:val="single" w:sz="4" w:space="0" w:color="auto"/>
              <w:right w:val="single" w:sz="4" w:space="0" w:color="auto"/>
            </w:tcBorders>
            <w:shd w:val="clear" w:color="auto" w:fill="auto"/>
            <w:noWrap/>
            <w:vAlign w:val="center"/>
            <w:hideMark/>
          </w:tcPr>
          <w:p w14:paraId="574D2E49"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95%</w:t>
            </w:r>
          </w:p>
        </w:tc>
        <w:tc>
          <w:tcPr>
            <w:tcW w:w="1660" w:type="dxa"/>
            <w:tcBorders>
              <w:top w:val="nil"/>
              <w:left w:val="nil"/>
              <w:bottom w:val="single" w:sz="4" w:space="0" w:color="auto"/>
              <w:right w:val="single" w:sz="4" w:space="0" w:color="auto"/>
            </w:tcBorders>
            <w:shd w:val="clear" w:color="auto" w:fill="auto"/>
            <w:vAlign w:val="center"/>
            <w:hideMark/>
          </w:tcPr>
          <w:p w14:paraId="46F58C7F"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Hoil Villalobos Dalia Luz</w:t>
            </w:r>
          </w:p>
        </w:tc>
      </w:tr>
      <w:tr w:rsidR="00077C2A" w:rsidRPr="00077C2A" w14:paraId="25D76B59" w14:textId="77777777" w:rsidTr="008E717E">
        <w:trPr>
          <w:trHeight w:val="27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258D4366"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lastRenderedPageBreak/>
              <w:t>Establecimiento de Líneas de Base de Especies a través de Análisis de ADN como Base para la Detección de Especies Exóticas y Ensayo de un Sistema de Monitoreo de los Sistemas Acuáticos Epicontinentales de México Utilizando ADN Ambiental</w:t>
            </w:r>
          </w:p>
        </w:tc>
        <w:tc>
          <w:tcPr>
            <w:tcW w:w="2180" w:type="dxa"/>
            <w:tcBorders>
              <w:top w:val="nil"/>
              <w:left w:val="nil"/>
              <w:bottom w:val="single" w:sz="4" w:space="0" w:color="auto"/>
              <w:right w:val="single" w:sz="4" w:space="0" w:color="auto"/>
            </w:tcBorders>
            <w:shd w:val="clear" w:color="auto" w:fill="auto"/>
            <w:vAlign w:val="center"/>
            <w:hideMark/>
          </w:tcPr>
          <w:p w14:paraId="375F5E3F"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Nacional Financiera Fideicomiso Fondo para la Biodiversidad.</w:t>
            </w:r>
          </w:p>
        </w:tc>
        <w:tc>
          <w:tcPr>
            <w:tcW w:w="1380" w:type="dxa"/>
            <w:tcBorders>
              <w:top w:val="nil"/>
              <w:left w:val="nil"/>
              <w:bottom w:val="single" w:sz="4" w:space="0" w:color="auto"/>
              <w:right w:val="single" w:sz="4" w:space="0" w:color="auto"/>
            </w:tcBorders>
            <w:shd w:val="clear" w:color="auto" w:fill="auto"/>
            <w:noWrap/>
            <w:vAlign w:val="center"/>
            <w:hideMark/>
          </w:tcPr>
          <w:p w14:paraId="60AF6795"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2,028,372.00</w:t>
            </w:r>
          </w:p>
        </w:tc>
        <w:tc>
          <w:tcPr>
            <w:tcW w:w="1340" w:type="dxa"/>
            <w:tcBorders>
              <w:top w:val="nil"/>
              <w:left w:val="nil"/>
              <w:bottom w:val="single" w:sz="4" w:space="0" w:color="auto"/>
              <w:right w:val="single" w:sz="4" w:space="0" w:color="auto"/>
            </w:tcBorders>
            <w:shd w:val="clear" w:color="auto" w:fill="auto"/>
            <w:noWrap/>
            <w:vAlign w:val="center"/>
            <w:hideMark/>
          </w:tcPr>
          <w:p w14:paraId="4425B105"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2,028,372.00</w:t>
            </w:r>
          </w:p>
        </w:tc>
        <w:tc>
          <w:tcPr>
            <w:tcW w:w="1120" w:type="dxa"/>
            <w:tcBorders>
              <w:top w:val="nil"/>
              <w:left w:val="nil"/>
              <w:bottom w:val="single" w:sz="4" w:space="0" w:color="auto"/>
              <w:right w:val="single" w:sz="4" w:space="0" w:color="auto"/>
            </w:tcBorders>
            <w:shd w:val="clear" w:color="auto" w:fill="auto"/>
            <w:noWrap/>
            <w:vAlign w:val="center"/>
            <w:hideMark/>
          </w:tcPr>
          <w:p w14:paraId="7504EA40"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08-ene-20</w:t>
            </w:r>
          </w:p>
        </w:tc>
        <w:tc>
          <w:tcPr>
            <w:tcW w:w="1440" w:type="dxa"/>
            <w:tcBorders>
              <w:top w:val="nil"/>
              <w:left w:val="nil"/>
              <w:bottom w:val="single" w:sz="4" w:space="0" w:color="auto"/>
              <w:right w:val="single" w:sz="4" w:space="0" w:color="auto"/>
            </w:tcBorders>
            <w:shd w:val="clear" w:color="auto" w:fill="auto"/>
            <w:noWrap/>
            <w:vAlign w:val="center"/>
            <w:hideMark/>
          </w:tcPr>
          <w:p w14:paraId="589B867F"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31-dic-21</w:t>
            </w:r>
          </w:p>
        </w:tc>
        <w:tc>
          <w:tcPr>
            <w:tcW w:w="1240" w:type="dxa"/>
            <w:tcBorders>
              <w:top w:val="nil"/>
              <w:left w:val="nil"/>
              <w:bottom w:val="single" w:sz="4" w:space="0" w:color="auto"/>
              <w:right w:val="single" w:sz="4" w:space="0" w:color="auto"/>
            </w:tcBorders>
            <w:shd w:val="clear" w:color="auto" w:fill="auto"/>
            <w:noWrap/>
            <w:vAlign w:val="center"/>
            <w:hideMark/>
          </w:tcPr>
          <w:p w14:paraId="618389AE"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100%</w:t>
            </w:r>
          </w:p>
        </w:tc>
        <w:tc>
          <w:tcPr>
            <w:tcW w:w="1660" w:type="dxa"/>
            <w:tcBorders>
              <w:top w:val="nil"/>
              <w:left w:val="nil"/>
              <w:bottom w:val="single" w:sz="4" w:space="0" w:color="auto"/>
              <w:right w:val="single" w:sz="4" w:space="0" w:color="auto"/>
            </w:tcBorders>
            <w:shd w:val="clear" w:color="auto" w:fill="auto"/>
            <w:vAlign w:val="center"/>
            <w:hideMark/>
          </w:tcPr>
          <w:p w14:paraId="0E45C65C"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Valdez Moreno Martha Elena</w:t>
            </w:r>
          </w:p>
        </w:tc>
      </w:tr>
      <w:tr w:rsidR="00077C2A" w:rsidRPr="00077C2A" w14:paraId="721B67A5" w14:textId="77777777" w:rsidTr="008E717E">
        <w:trPr>
          <w:trHeight w:val="15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543E0A73"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Estudio para establecer las causas de la mortalidad masiva del caracol de agua dulce Chivita Pomacea Flagellata</w:t>
            </w:r>
          </w:p>
        </w:tc>
        <w:tc>
          <w:tcPr>
            <w:tcW w:w="2180" w:type="dxa"/>
            <w:tcBorders>
              <w:top w:val="nil"/>
              <w:left w:val="nil"/>
              <w:bottom w:val="single" w:sz="4" w:space="0" w:color="auto"/>
              <w:right w:val="single" w:sz="4" w:space="0" w:color="auto"/>
            </w:tcBorders>
            <w:shd w:val="clear" w:color="auto" w:fill="auto"/>
            <w:vAlign w:val="center"/>
            <w:hideMark/>
          </w:tcPr>
          <w:p w14:paraId="6B23C4CD"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Consejo Quintanarroense de Ciencia y Tecnología</w:t>
            </w:r>
          </w:p>
        </w:tc>
        <w:tc>
          <w:tcPr>
            <w:tcW w:w="1380" w:type="dxa"/>
            <w:tcBorders>
              <w:top w:val="nil"/>
              <w:left w:val="nil"/>
              <w:bottom w:val="single" w:sz="4" w:space="0" w:color="auto"/>
              <w:right w:val="single" w:sz="4" w:space="0" w:color="auto"/>
            </w:tcBorders>
            <w:shd w:val="clear" w:color="auto" w:fill="auto"/>
            <w:noWrap/>
            <w:vAlign w:val="center"/>
            <w:hideMark/>
          </w:tcPr>
          <w:p w14:paraId="5641E34F"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71,734.00</w:t>
            </w:r>
          </w:p>
        </w:tc>
        <w:tc>
          <w:tcPr>
            <w:tcW w:w="1340" w:type="dxa"/>
            <w:tcBorders>
              <w:top w:val="nil"/>
              <w:left w:val="nil"/>
              <w:bottom w:val="single" w:sz="4" w:space="0" w:color="auto"/>
              <w:right w:val="single" w:sz="4" w:space="0" w:color="auto"/>
            </w:tcBorders>
            <w:shd w:val="clear" w:color="auto" w:fill="auto"/>
            <w:noWrap/>
            <w:vAlign w:val="center"/>
            <w:hideMark/>
          </w:tcPr>
          <w:p w14:paraId="38BA2AD6"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68,036.60</w:t>
            </w:r>
          </w:p>
        </w:tc>
        <w:tc>
          <w:tcPr>
            <w:tcW w:w="1120" w:type="dxa"/>
            <w:tcBorders>
              <w:top w:val="nil"/>
              <w:left w:val="nil"/>
              <w:bottom w:val="single" w:sz="4" w:space="0" w:color="auto"/>
              <w:right w:val="single" w:sz="4" w:space="0" w:color="auto"/>
            </w:tcBorders>
            <w:shd w:val="clear" w:color="auto" w:fill="auto"/>
            <w:noWrap/>
            <w:vAlign w:val="center"/>
            <w:hideMark/>
          </w:tcPr>
          <w:p w14:paraId="590A251D"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06-nov-20</w:t>
            </w:r>
          </w:p>
        </w:tc>
        <w:tc>
          <w:tcPr>
            <w:tcW w:w="1440" w:type="dxa"/>
            <w:tcBorders>
              <w:top w:val="nil"/>
              <w:left w:val="nil"/>
              <w:bottom w:val="single" w:sz="4" w:space="0" w:color="auto"/>
              <w:right w:val="single" w:sz="4" w:space="0" w:color="auto"/>
            </w:tcBorders>
            <w:shd w:val="clear" w:color="auto" w:fill="auto"/>
            <w:noWrap/>
            <w:vAlign w:val="center"/>
            <w:hideMark/>
          </w:tcPr>
          <w:p w14:paraId="753EAD69"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28-feb-21</w:t>
            </w:r>
          </w:p>
        </w:tc>
        <w:tc>
          <w:tcPr>
            <w:tcW w:w="1240" w:type="dxa"/>
            <w:tcBorders>
              <w:top w:val="nil"/>
              <w:left w:val="nil"/>
              <w:bottom w:val="single" w:sz="4" w:space="0" w:color="auto"/>
              <w:right w:val="single" w:sz="4" w:space="0" w:color="auto"/>
            </w:tcBorders>
            <w:shd w:val="clear" w:color="auto" w:fill="auto"/>
            <w:noWrap/>
            <w:vAlign w:val="center"/>
            <w:hideMark/>
          </w:tcPr>
          <w:p w14:paraId="008F9A39"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95%</w:t>
            </w:r>
          </w:p>
        </w:tc>
        <w:tc>
          <w:tcPr>
            <w:tcW w:w="1660" w:type="dxa"/>
            <w:tcBorders>
              <w:top w:val="nil"/>
              <w:left w:val="nil"/>
              <w:bottom w:val="single" w:sz="4" w:space="0" w:color="auto"/>
              <w:right w:val="single" w:sz="4" w:space="0" w:color="auto"/>
            </w:tcBorders>
            <w:shd w:val="clear" w:color="auto" w:fill="auto"/>
            <w:vAlign w:val="center"/>
            <w:hideMark/>
          </w:tcPr>
          <w:p w14:paraId="201C209A"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De Jesús Navarrete Alberto</w:t>
            </w:r>
          </w:p>
        </w:tc>
      </w:tr>
      <w:tr w:rsidR="00077C2A" w:rsidRPr="00077C2A" w14:paraId="54985256" w14:textId="77777777" w:rsidTr="008E717E">
        <w:trPr>
          <w:trHeight w:val="27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20641706"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Participación de las comunidades mediante acuerdos participativos: la puesta en marcha de una unidad móvil de intervención para facilitar la coexistencia humano-jaguar en torno a la Reserva de la Biosfera de Calakmul (México).</w:t>
            </w:r>
          </w:p>
        </w:tc>
        <w:tc>
          <w:tcPr>
            <w:tcW w:w="2180" w:type="dxa"/>
            <w:tcBorders>
              <w:top w:val="nil"/>
              <w:left w:val="nil"/>
              <w:bottom w:val="single" w:sz="4" w:space="0" w:color="auto"/>
              <w:right w:val="single" w:sz="4" w:space="0" w:color="auto"/>
            </w:tcBorders>
            <w:shd w:val="clear" w:color="auto" w:fill="auto"/>
            <w:vAlign w:val="center"/>
            <w:hideMark/>
          </w:tcPr>
          <w:p w14:paraId="3AD3F69B"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La Sociedad para la preservación de los carnívoros en peligro de extinción y su estudio ecológico internacional (S.P.E.C.I.E.S.).</w:t>
            </w:r>
          </w:p>
        </w:tc>
        <w:tc>
          <w:tcPr>
            <w:tcW w:w="1380" w:type="dxa"/>
            <w:tcBorders>
              <w:top w:val="nil"/>
              <w:left w:val="nil"/>
              <w:bottom w:val="single" w:sz="4" w:space="0" w:color="auto"/>
              <w:right w:val="single" w:sz="4" w:space="0" w:color="auto"/>
            </w:tcBorders>
            <w:shd w:val="clear" w:color="auto" w:fill="auto"/>
            <w:noWrap/>
            <w:vAlign w:val="center"/>
            <w:hideMark/>
          </w:tcPr>
          <w:p w14:paraId="70A85F57"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615,815.14</w:t>
            </w:r>
          </w:p>
        </w:tc>
        <w:tc>
          <w:tcPr>
            <w:tcW w:w="1340" w:type="dxa"/>
            <w:tcBorders>
              <w:top w:val="nil"/>
              <w:left w:val="nil"/>
              <w:bottom w:val="single" w:sz="4" w:space="0" w:color="auto"/>
              <w:right w:val="single" w:sz="4" w:space="0" w:color="auto"/>
            </w:tcBorders>
            <w:shd w:val="clear" w:color="auto" w:fill="auto"/>
            <w:noWrap/>
            <w:vAlign w:val="center"/>
            <w:hideMark/>
          </w:tcPr>
          <w:p w14:paraId="065E6DF1"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187,463.03</w:t>
            </w:r>
          </w:p>
        </w:tc>
        <w:tc>
          <w:tcPr>
            <w:tcW w:w="1120" w:type="dxa"/>
            <w:tcBorders>
              <w:top w:val="nil"/>
              <w:left w:val="nil"/>
              <w:bottom w:val="single" w:sz="4" w:space="0" w:color="auto"/>
              <w:right w:val="single" w:sz="4" w:space="0" w:color="auto"/>
            </w:tcBorders>
            <w:shd w:val="clear" w:color="auto" w:fill="auto"/>
            <w:noWrap/>
            <w:vAlign w:val="center"/>
            <w:hideMark/>
          </w:tcPr>
          <w:p w14:paraId="6FAC683A"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01-ene-21</w:t>
            </w:r>
          </w:p>
        </w:tc>
        <w:tc>
          <w:tcPr>
            <w:tcW w:w="1440" w:type="dxa"/>
            <w:tcBorders>
              <w:top w:val="nil"/>
              <w:left w:val="nil"/>
              <w:bottom w:val="single" w:sz="4" w:space="0" w:color="auto"/>
              <w:right w:val="single" w:sz="4" w:space="0" w:color="auto"/>
            </w:tcBorders>
            <w:shd w:val="clear" w:color="auto" w:fill="auto"/>
            <w:noWrap/>
            <w:vAlign w:val="center"/>
            <w:hideMark/>
          </w:tcPr>
          <w:p w14:paraId="44276352"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31-dic-21</w:t>
            </w:r>
          </w:p>
        </w:tc>
        <w:tc>
          <w:tcPr>
            <w:tcW w:w="1240" w:type="dxa"/>
            <w:tcBorders>
              <w:top w:val="nil"/>
              <w:left w:val="nil"/>
              <w:bottom w:val="single" w:sz="4" w:space="0" w:color="auto"/>
              <w:right w:val="single" w:sz="4" w:space="0" w:color="auto"/>
            </w:tcBorders>
            <w:shd w:val="clear" w:color="auto" w:fill="auto"/>
            <w:noWrap/>
            <w:vAlign w:val="center"/>
            <w:hideMark/>
          </w:tcPr>
          <w:p w14:paraId="361A0A25"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30%</w:t>
            </w:r>
          </w:p>
        </w:tc>
        <w:tc>
          <w:tcPr>
            <w:tcW w:w="1660" w:type="dxa"/>
            <w:tcBorders>
              <w:top w:val="nil"/>
              <w:left w:val="nil"/>
              <w:bottom w:val="single" w:sz="4" w:space="0" w:color="auto"/>
              <w:right w:val="single" w:sz="4" w:space="0" w:color="auto"/>
            </w:tcBorders>
            <w:shd w:val="clear" w:color="auto" w:fill="auto"/>
            <w:vAlign w:val="center"/>
            <w:hideMark/>
          </w:tcPr>
          <w:p w14:paraId="2004009D"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Schmook Birgit Inge</w:t>
            </w:r>
          </w:p>
        </w:tc>
      </w:tr>
      <w:tr w:rsidR="00077C2A" w:rsidRPr="00077C2A" w14:paraId="762E6DF9" w14:textId="77777777" w:rsidTr="008E717E">
        <w:trPr>
          <w:trHeight w:val="12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729B9C22" w14:textId="77777777" w:rsidR="00077C2A" w:rsidRPr="00077C2A" w:rsidRDefault="00077C2A" w:rsidP="00077C2A">
            <w:pPr>
              <w:spacing w:line="276" w:lineRule="auto"/>
              <w:rPr>
                <w:rFonts w:ascii="Calibri" w:eastAsia="Times New Roman" w:hAnsi="Calibri" w:cs="Times New Roman"/>
                <w:color w:val="000000"/>
                <w:sz w:val="22"/>
                <w:szCs w:val="22"/>
                <w:lang w:val="en-US" w:eastAsia="es-MX"/>
              </w:rPr>
            </w:pPr>
            <w:r w:rsidRPr="00077C2A">
              <w:rPr>
                <w:rFonts w:ascii="Calibri" w:eastAsia="Times New Roman" w:hAnsi="Calibri" w:cs="Times New Roman"/>
                <w:color w:val="000000"/>
                <w:sz w:val="22"/>
                <w:szCs w:val="22"/>
                <w:lang w:val="en-US" w:eastAsia="es-MX"/>
              </w:rPr>
              <w:lastRenderedPageBreak/>
              <w:t>Ecology of the yucatecan cantil (agkistrodon russeolus gloyd, 1972) on the Northern Coast of Yucatan, Mexico.</w:t>
            </w:r>
          </w:p>
        </w:tc>
        <w:tc>
          <w:tcPr>
            <w:tcW w:w="2180" w:type="dxa"/>
            <w:tcBorders>
              <w:top w:val="nil"/>
              <w:left w:val="nil"/>
              <w:bottom w:val="single" w:sz="4" w:space="0" w:color="auto"/>
              <w:right w:val="single" w:sz="4" w:space="0" w:color="auto"/>
            </w:tcBorders>
            <w:shd w:val="clear" w:color="auto" w:fill="auto"/>
            <w:vAlign w:val="center"/>
            <w:hideMark/>
          </w:tcPr>
          <w:p w14:paraId="56C1BDF6"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The Rufford Foundation</w:t>
            </w:r>
          </w:p>
        </w:tc>
        <w:tc>
          <w:tcPr>
            <w:tcW w:w="1380" w:type="dxa"/>
            <w:tcBorders>
              <w:top w:val="nil"/>
              <w:left w:val="nil"/>
              <w:bottom w:val="single" w:sz="4" w:space="0" w:color="auto"/>
              <w:right w:val="single" w:sz="4" w:space="0" w:color="auto"/>
            </w:tcBorders>
            <w:shd w:val="clear" w:color="auto" w:fill="auto"/>
            <w:noWrap/>
            <w:vAlign w:val="center"/>
            <w:hideMark/>
          </w:tcPr>
          <w:p w14:paraId="61A158B6"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150,848.46</w:t>
            </w:r>
          </w:p>
        </w:tc>
        <w:tc>
          <w:tcPr>
            <w:tcW w:w="1340" w:type="dxa"/>
            <w:tcBorders>
              <w:top w:val="nil"/>
              <w:left w:val="nil"/>
              <w:bottom w:val="single" w:sz="4" w:space="0" w:color="auto"/>
              <w:right w:val="single" w:sz="4" w:space="0" w:color="auto"/>
            </w:tcBorders>
            <w:shd w:val="clear" w:color="auto" w:fill="auto"/>
            <w:noWrap/>
            <w:vAlign w:val="center"/>
            <w:hideMark/>
          </w:tcPr>
          <w:p w14:paraId="05D52FDD"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120,765.28</w:t>
            </w:r>
          </w:p>
        </w:tc>
        <w:tc>
          <w:tcPr>
            <w:tcW w:w="1120" w:type="dxa"/>
            <w:tcBorders>
              <w:top w:val="nil"/>
              <w:left w:val="nil"/>
              <w:bottom w:val="single" w:sz="4" w:space="0" w:color="auto"/>
              <w:right w:val="single" w:sz="4" w:space="0" w:color="auto"/>
            </w:tcBorders>
            <w:shd w:val="clear" w:color="auto" w:fill="auto"/>
            <w:noWrap/>
            <w:vAlign w:val="center"/>
            <w:hideMark/>
          </w:tcPr>
          <w:p w14:paraId="5E99DA6B"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06-ene-21</w:t>
            </w:r>
          </w:p>
        </w:tc>
        <w:tc>
          <w:tcPr>
            <w:tcW w:w="1440" w:type="dxa"/>
            <w:tcBorders>
              <w:top w:val="nil"/>
              <w:left w:val="nil"/>
              <w:bottom w:val="single" w:sz="4" w:space="0" w:color="auto"/>
              <w:right w:val="single" w:sz="4" w:space="0" w:color="auto"/>
            </w:tcBorders>
            <w:shd w:val="clear" w:color="auto" w:fill="auto"/>
            <w:noWrap/>
            <w:vAlign w:val="center"/>
            <w:hideMark/>
          </w:tcPr>
          <w:p w14:paraId="4F5D305C"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31-dic-21</w:t>
            </w:r>
          </w:p>
        </w:tc>
        <w:tc>
          <w:tcPr>
            <w:tcW w:w="1240" w:type="dxa"/>
            <w:tcBorders>
              <w:top w:val="nil"/>
              <w:left w:val="nil"/>
              <w:bottom w:val="single" w:sz="4" w:space="0" w:color="auto"/>
              <w:right w:val="single" w:sz="4" w:space="0" w:color="auto"/>
            </w:tcBorders>
            <w:shd w:val="clear" w:color="auto" w:fill="auto"/>
            <w:noWrap/>
            <w:vAlign w:val="center"/>
            <w:hideMark/>
          </w:tcPr>
          <w:p w14:paraId="45150C11"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80%</w:t>
            </w:r>
          </w:p>
        </w:tc>
        <w:tc>
          <w:tcPr>
            <w:tcW w:w="1660" w:type="dxa"/>
            <w:tcBorders>
              <w:top w:val="nil"/>
              <w:left w:val="nil"/>
              <w:bottom w:val="single" w:sz="4" w:space="0" w:color="auto"/>
              <w:right w:val="single" w:sz="4" w:space="0" w:color="auto"/>
            </w:tcBorders>
            <w:shd w:val="clear" w:color="auto" w:fill="auto"/>
            <w:vAlign w:val="center"/>
            <w:hideMark/>
          </w:tcPr>
          <w:p w14:paraId="537CCF6D"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Cedeño Vázquez José Rogelio</w:t>
            </w:r>
          </w:p>
        </w:tc>
      </w:tr>
      <w:tr w:rsidR="00077C2A" w:rsidRPr="00077C2A" w14:paraId="7954A6BA" w14:textId="77777777" w:rsidTr="008E717E">
        <w:trPr>
          <w:trHeight w:val="15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6E3DE071"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SCALE: Apoyo a las habilidades, competencias y aprendizaje para la participación en el manejo forestal sostenible</w:t>
            </w:r>
          </w:p>
        </w:tc>
        <w:tc>
          <w:tcPr>
            <w:tcW w:w="2180" w:type="dxa"/>
            <w:tcBorders>
              <w:top w:val="nil"/>
              <w:left w:val="nil"/>
              <w:bottom w:val="single" w:sz="4" w:space="0" w:color="auto"/>
              <w:right w:val="single" w:sz="4" w:space="0" w:color="auto"/>
            </w:tcBorders>
            <w:shd w:val="clear" w:color="auto" w:fill="auto"/>
            <w:vAlign w:val="center"/>
            <w:hideMark/>
          </w:tcPr>
          <w:p w14:paraId="56D839F9" w14:textId="77777777" w:rsidR="00077C2A" w:rsidRPr="00077C2A" w:rsidRDefault="00077C2A" w:rsidP="00077C2A">
            <w:pPr>
              <w:spacing w:line="276" w:lineRule="auto"/>
              <w:rPr>
                <w:rFonts w:ascii="Calibri" w:eastAsia="Times New Roman" w:hAnsi="Calibri" w:cs="Times New Roman"/>
                <w:color w:val="000000"/>
                <w:sz w:val="22"/>
                <w:szCs w:val="22"/>
                <w:lang w:val="en-US" w:eastAsia="es-MX"/>
              </w:rPr>
            </w:pPr>
            <w:r w:rsidRPr="00077C2A">
              <w:rPr>
                <w:rFonts w:ascii="Calibri" w:eastAsia="Times New Roman" w:hAnsi="Calibri" w:cs="Times New Roman"/>
                <w:color w:val="000000"/>
                <w:sz w:val="22"/>
                <w:szCs w:val="22"/>
                <w:lang w:val="en-US" w:eastAsia="es-MX"/>
              </w:rPr>
              <w:t>The University court of the University of St Andrews</w:t>
            </w:r>
          </w:p>
        </w:tc>
        <w:tc>
          <w:tcPr>
            <w:tcW w:w="1380" w:type="dxa"/>
            <w:tcBorders>
              <w:top w:val="nil"/>
              <w:left w:val="nil"/>
              <w:bottom w:val="single" w:sz="4" w:space="0" w:color="auto"/>
              <w:right w:val="single" w:sz="4" w:space="0" w:color="auto"/>
            </w:tcBorders>
            <w:shd w:val="clear" w:color="auto" w:fill="auto"/>
            <w:noWrap/>
            <w:vAlign w:val="center"/>
            <w:hideMark/>
          </w:tcPr>
          <w:p w14:paraId="4034E717"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887,045.40</w:t>
            </w:r>
          </w:p>
        </w:tc>
        <w:tc>
          <w:tcPr>
            <w:tcW w:w="1340" w:type="dxa"/>
            <w:tcBorders>
              <w:top w:val="nil"/>
              <w:left w:val="nil"/>
              <w:bottom w:val="single" w:sz="4" w:space="0" w:color="auto"/>
              <w:right w:val="single" w:sz="4" w:space="0" w:color="auto"/>
            </w:tcBorders>
            <w:shd w:val="clear" w:color="auto" w:fill="auto"/>
            <w:noWrap/>
            <w:vAlign w:val="center"/>
            <w:hideMark/>
          </w:tcPr>
          <w:p w14:paraId="48922AD5"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546,161.92</w:t>
            </w:r>
          </w:p>
        </w:tc>
        <w:tc>
          <w:tcPr>
            <w:tcW w:w="1120" w:type="dxa"/>
            <w:tcBorders>
              <w:top w:val="nil"/>
              <w:left w:val="nil"/>
              <w:bottom w:val="single" w:sz="4" w:space="0" w:color="auto"/>
              <w:right w:val="single" w:sz="4" w:space="0" w:color="auto"/>
            </w:tcBorders>
            <w:shd w:val="clear" w:color="auto" w:fill="auto"/>
            <w:noWrap/>
            <w:vAlign w:val="center"/>
            <w:hideMark/>
          </w:tcPr>
          <w:p w14:paraId="2A82002D"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01-sep-20</w:t>
            </w:r>
          </w:p>
        </w:tc>
        <w:tc>
          <w:tcPr>
            <w:tcW w:w="1440" w:type="dxa"/>
            <w:tcBorders>
              <w:top w:val="nil"/>
              <w:left w:val="nil"/>
              <w:bottom w:val="single" w:sz="4" w:space="0" w:color="auto"/>
              <w:right w:val="single" w:sz="4" w:space="0" w:color="auto"/>
            </w:tcBorders>
            <w:shd w:val="clear" w:color="auto" w:fill="auto"/>
            <w:noWrap/>
            <w:vAlign w:val="center"/>
            <w:hideMark/>
          </w:tcPr>
          <w:p w14:paraId="584D8D2C"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31-mar-21</w:t>
            </w:r>
          </w:p>
        </w:tc>
        <w:tc>
          <w:tcPr>
            <w:tcW w:w="1240" w:type="dxa"/>
            <w:tcBorders>
              <w:top w:val="nil"/>
              <w:left w:val="nil"/>
              <w:bottom w:val="single" w:sz="4" w:space="0" w:color="auto"/>
              <w:right w:val="single" w:sz="4" w:space="0" w:color="auto"/>
            </w:tcBorders>
            <w:shd w:val="clear" w:color="auto" w:fill="auto"/>
            <w:noWrap/>
            <w:vAlign w:val="center"/>
            <w:hideMark/>
          </w:tcPr>
          <w:p w14:paraId="322DAE1F"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62%</w:t>
            </w:r>
          </w:p>
        </w:tc>
        <w:tc>
          <w:tcPr>
            <w:tcW w:w="1660" w:type="dxa"/>
            <w:tcBorders>
              <w:top w:val="nil"/>
              <w:left w:val="nil"/>
              <w:bottom w:val="single" w:sz="4" w:space="0" w:color="auto"/>
              <w:right w:val="single" w:sz="4" w:space="0" w:color="auto"/>
            </w:tcBorders>
            <w:shd w:val="clear" w:color="auto" w:fill="auto"/>
            <w:vAlign w:val="center"/>
            <w:hideMark/>
          </w:tcPr>
          <w:p w14:paraId="1D7DACA3"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Schmook Birgit Inge</w:t>
            </w:r>
          </w:p>
        </w:tc>
      </w:tr>
      <w:tr w:rsidR="00077C2A" w:rsidRPr="00077C2A" w14:paraId="1E80CE2E" w14:textId="77777777" w:rsidTr="008E717E">
        <w:trPr>
          <w:trHeight w:val="18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3F8D32A5" w14:textId="77777777" w:rsidR="00077C2A" w:rsidRPr="00077C2A" w:rsidRDefault="00077C2A" w:rsidP="00077C2A">
            <w:pPr>
              <w:spacing w:line="276" w:lineRule="auto"/>
              <w:rPr>
                <w:rFonts w:ascii="Calibri" w:eastAsia="Times New Roman" w:hAnsi="Calibri" w:cs="Times New Roman"/>
                <w:color w:val="000000"/>
                <w:sz w:val="22"/>
                <w:szCs w:val="22"/>
                <w:lang w:val="en-US" w:eastAsia="es-MX"/>
              </w:rPr>
            </w:pPr>
            <w:r w:rsidRPr="00077C2A">
              <w:rPr>
                <w:rFonts w:ascii="Calibri" w:eastAsia="Times New Roman" w:hAnsi="Calibri" w:cs="Times New Roman"/>
                <w:color w:val="000000"/>
                <w:sz w:val="22"/>
                <w:szCs w:val="22"/>
                <w:lang w:val="en-US" w:eastAsia="es-MX"/>
              </w:rPr>
              <w:t>Exploring marine energy for supplying a stable electrical demand and promoting the economic growth in local communities surrounding the Cozumel Channel</w:t>
            </w:r>
          </w:p>
        </w:tc>
        <w:tc>
          <w:tcPr>
            <w:tcW w:w="2180" w:type="dxa"/>
            <w:tcBorders>
              <w:top w:val="nil"/>
              <w:left w:val="nil"/>
              <w:bottom w:val="single" w:sz="4" w:space="0" w:color="auto"/>
              <w:right w:val="single" w:sz="4" w:space="0" w:color="auto"/>
            </w:tcBorders>
            <w:shd w:val="clear" w:color="auto" w:fill="auto"/>
            <w:vAlign w:val="center"/>
            <w:hideMark/>
          </w:tcPr>
          <w:p w14:paraId="26DCAE32"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Universidad Nacional Autónoma de México</w:t>
            </w:r>
          </w:p>
        </w:tc>
        <w:tc>
          <w:tcPr>
            <w:tcW w:w="1380" w:type="dxa"/>
            <w:tcBorders>
              <w:top w:val="nil"/>
              <w:left w:val="nil"/>
              <w:bottom w:val="single" w:sz="4" w:space="0" w:color="auto"/>
              <w:right w:val="single" w:sz="4" w:space="0" w:color="auto"/>
            </w:tcBorders>
            <w:shd w:val="clear" w:color="auto" w:fill="auto"/>
            <w:noWrap/>
            <w:vAlign w:val="center"/>
            <w:hideMark/>
          </w:tcPr>
          <w:p w14:paraId="7B138E39"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702,000.00</w:t>
            </w:r>
          </w:p>
        </w:tc>
        <w:tc>
          <w:tcPr>
            <w:tcW w:w="1340" w:type="dxa"/>
            <w:tcBorders>
              <w:top w:val="nil"/>
              <w:left w:val="nil"/>
              <w:bottom w:val="single" w:sz="4" w:space="0" w:color="auto"/>
              <w:right w:val="single" w:sz="4" w:space="0" w:color="auto"/>
            </w:tcBorders>
            <w:shd w:val="clear" w:color="auto" w:fill="auto"/>
            <w:vAlign w:val="center"/>
            <w:hideMark/>
          </w:tcPr>
          <w:p w14:paraId="38442DA6"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 xml:space="preserve">     703,329.44 </w:t>
            </w:r>
          </w:p>
        </w:tc>
        <w:tc>
          <w:tcPr>
            <w:tcW w:w="1120" w:type="dxa"/>
            <w:tcBorders>
              <w:top w:val="nil"/>
              <w:left w:val="nil"/>
              <w:bottom w:val="single" w:sz="4" w:space="0" w:color="auto"/>
              <w:right w:val="single" w:sz="4" w:space="0" w:color="auto"/>
            </w:tcBorders>
            <w:shd w:val="clear" w:color="auto" w:fill="auto"/>
            <w:noWrap/>
            <w:vAlign w:val="center"/>
            <w:hideMark/>
          </w:tcPr>
          <w:p w14:paraId="2A980668"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26-jul-18</w:t>
            </w:r>
          </w:p>
        </w:tc>
        <w:tc>
          <w:tcPr>
            <w:tcW w:w="1440" w:type="dxa"/>
            <w:tcBorders>
              <w:top w:val="nil"/>
              <w:left w:val="nil"/>
              <w:bottom w:val="single" w:sz="4" w:space="0" w:color="auto"/>
              <w:right w:val="single" w:sz="4" w:space="0" w:color="auto"/>
            </w:tcBorders>
            <w:shd w:val="clear" w:color="auto" w:fill="auto"/>
            <w:noWrap/>
            <w:vAlign w:val="center"/>
            <w:hideMark/>
          </w:tcPr>
          <w:p w14:paraId="253A9A1A"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25-jul-19</w:t>
            </w:r>
          </w:p>
        </w:tc>
        <w:tc>
          <w:tcPr>
            <w:tcW w:w="1240" w:type="dxa"/>
            <w:tcBorders>
              <w:top w:val="nil"/>
              <w:left w:val="nil"/>
              <w:bottom w:val="single" w:sz="4" w:space="0" w:color="auto"/>
              <w:right w:val="single" w:sz="4" w:space="0" w:color="auto"/>
            </w:tcBorders>
            <w:shd w:val="clear" w:color="auto" w:fill="auto"/>
            <w:noWrap/>
            <w:vAlign w:val="center"/>
            <w:hideMark/>
          </w:tcPr>
          <w:p w14:paraId="54369483"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100%</w:t>
            </w:r>
          </w:p>
        </w:tc>
        <w:tc>
          <w:tcPr>
            <w:tcW w:w="1660" w:type="dxa"/>
            <w:tcBorders>
              <w:top w:val="nil"/>
              <w:left w:val="nil"/>
              <w:bottom w:val="single" w:sz="4" w:space="0" w:color="auto"/>
              <w:right w:val="single" w:sz="4" w:space="0" w:color="auto"/>
            </w:tcBorders>
            <w:shd w:val="clear" w:color="auto" w:fill="auto"/>
            <w:vAlign w:val="center"/>
            <w:hideMark/>
          </w:tcPr>
          <w:p w14:paraId="4CEC40DA"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Carrillo Bibriezca Laura Elena</w:t>
            </w:r>
          </w:p>
        </w:tc>
      </w:tr>
      <w:tr w:rsidR="00077C2A" w:rsidRPr="00077C2A" w14:paraId="67CB7BA4" w14:textId="77777777" w:rsidTr="008E717E">
        <w:trPr>
          <w:trHeight w:val="6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4E726C2A"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Modelación Paleoclimática en la Península de Yucatán</w:t>
            </w:r>
          </w:p>
        </w:tc>
        <w:tc>
          <w:tcPr>
            <w:tcW w:w="2180" w:type="dxa"/>
            <w:tcBorders>
              <w:top w:val="nil"/>
              <w:left w:val="nil"/>
              <w:bottom w:val="single" w:sz="4" w:space="0" w:color="auto"/>
              <w:right w:val="single" w:sz="4" w:space="0" w:color="auto"/>
            </w:tcBorders>
            <w:shd w:val="clear" w:color="auto" w:fill="auto"/>
            <w:vAlign w:val="center"/>
            <w:hideMark/>
          </w:tcPr>
          <w:p w14:paraId="16AC5C9B"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SEP-CONACYT</w:t>
            </w:r>
          </w:p>
        </w:tc>
        <w:tc>
          <w:tcPr>
            <w:tcW w:w="1380" w:type="dxa"/>
            <w:tcBorders>
              <w:top w:val="nil"/>
              <w:left w:val="nil"/>
              <w:bottom w:val="single" w:sz="4" w:space="0" w:color="auto"/>
              <w:right w:val="single" w:sz="4" w:space="0" w:color="auto"/>
            </w:tcBorders>
            <w:shd w:val="clear" w:color="auto" w:fill="auto"/>
            <w:noWrap/>
            <w:vAlign w:val="center"/>
            <w:hideMark/>
          </w:tcPr>
          <w:p w14:paraId="6D695583"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1,820,000.00</w:t>
            </w:r>
          </w:p>
        </w:tc>
        <w:tc>
          <w:tcPr>
            <w:tcW w:w="1340" w:type="dxa"/>
            <w:tcBorders>
              <w:top w:val="nil"/>
              <w:left w:val="nil"/>
              <w:bottom w:val="single" w:sz="4" w:space="0" w:color="auto"/>
              <w:right w:val="single" w:sz="4" w:space="0" w:color="auto"/>
            </w:tcBorders>
            <w:shd w:val="clear" w:color="auto" w:fill="auto"/>
            <w:vAlign w:val="center"/>
            <w:hideMark/>
          </w:tcPr>
          <w:p w14:paraId="7D026D0F"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 xml:space="preserve">     304,702.31 </w:t>
            </w:r>
          </w:p>
        </w:tc>
        <w:tc>
          <w:tcPr>
            <w:tcW w:w="1120" w:type="dxa"/>
            <w:tcBorders>
              <w:top w:val="nil"/>
              <w:left w:val="nil"/>
              <w:bottom w:val="single" w:sz="4" w:space="0" w:color="auto"/>
              <w:right w:val="single" w:sz="4" w:space="0" w:color="auto"/>
            </w:tcBorders>
            <w:shd w:val="clear" w:color="auto" w:fill="auto"/>
            <w:noWrap/>
            <w:vAlign w:val="center"/>
            <w:hideMark/>
          </w:tcPr>
          <w:p w14:paraId="611EDCFF"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01-ago-19</w:t>
            </w:r>
          </w:p>
        </w:tc>
        <w:tc>
          <w:tcPr>
            <w:tcW w:w="1440" w:type="dxa"/>
            <w:tcBorders>
              <w:top w:val="nil"/>
              <w:left w:val="nil"/>
              <w:bottom w:val="single" w:sz="4" w:space="0" w:color="auto"/>
              <w:right w:val="single" w:sz="4" w:space="0" w:color="auto"/>
            </w:tcBorders>
            <w:shd w:val="clear" w:color="auto" w:fill="auto"/>
            <w:noWrap/>
            <w:vAlign w:val="center"/>
            <w:hideMark/>
          </w:tcPr>
          <w:p w14:paraId="781108E9"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02-ago-21</w:t>
            </w:r>
          </w:p>
        </w:tc>
        <w:tc>
          <w:tcPr>
            <w:tcW w:w="1240" w:type="dxa"/>
            <w:tcBorders>
              <w:top w:val="nil"/>
              <w:left w:val="nil"/>
              <w:bottom w:val="single" w:sz="4" w:space="0" w:color="auto"/>
              <w:right w:val="single" w:sz="4" w:space="0" w:color="auto"/>
            </w:tcBorders>
            <w:shd w:val="clear" w:color="auto" w:fill="auto"/>
            <w:noWrap/>
            <w:vAlign w:val="center"/>
            <w:hideMark/>
          </w:tcPr>
          <w:p w14:paraId="408FD086"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17%</w:t>
            </w:r>
          </w:p>
        </w:tc>
        <w:tc>
          <w:tcPr>
            <w:tcW w:w="1660" w:type="dxa"/>
            <w:tcBorders>
              <w:top w:val="nil"/>
              <w:left w:val="nil"/>
              <w:bottom w:val="single" w:sz="4" w:space="0" w:color="auto"/>
              <w:right w:val="single" w:sz="4" w:space="0" w:color="auto"/>
            </w:tcBorders>
            <w:shd w:val="clear" w:color="auto" w:fill="auto"/>
            <w:vAlign w:val="center"/>
            <w:hideMark/>
          </w:tcPr>
          <w:p w14:paraId="683F8483"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Torrescano Valle Nuria</w:t>
            </w:r>
          </w:p>
        </w:tc>
      </w:tr>
      <w:tr w:rsidR="00077C2A" w:rsidRPr="00077C2A" w14:paraId="55CA3EE1" w14:textId="77777777" w:rsidTr="008E717E">
        <w:trPr>
          <w:trHeight w:val="12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04532B8E"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Exclusión, Discriminación y Pobreza de los Indígenas Urbanos en México: Segunda Fase-Continuación</w:t>
            </w:r>
          </w:p>
        </w:tc>
        <w:tc>
          <w:tcPr>
            <w:tcW w:w="2180" w:type="dxa"/>
            <w:tcBorders>
              <w:top w:val="nil"/>
              <w:left w:val="nil"/>
              <w:bottom w:val="single" w:sz="4" w:space="0" w:color="auto"/>
              <w:right w:val="single" w:sz="4" w:space="0" w:color="auto"/>
            </w:tcBorders>
            <w:shd w:val="clear" w:color="auto" w:fill="auto"/>
            <w:vAlign w:val="center"/>
            <w:hideMark/>
          </w:tcPr>
          <w:p w14:paraId="05BAAC6C"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SEP-CONACYT</w:t>
            </w:r>
          </w:p>
        </w:tc>
        <w:tc>
          <w:tcPr>
            <w:tcW w:w="1380" w:type="dxa"/>
            <w:tcBorders>
              <w:top w:val="nil"/>
              <w:left w:val="nil"/>
              <w:bottom w:val="single" w:sz="4" w:space="0" w:color="auto"/>
              <w:right w:val="single" w:sz="4" w:space="0" w:color="auto"/>
            </w:tcBorders>
            <w:shd w:val="clear" w:color="auto" w:fill="auto"/>
            <w:noWrap/>
            <w:vAlign w:val="center"/>
            <w:hideMark/>
          </w:tcPr>
          <w:p w14:paraId="657569CC"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730,885.00</w:t>
            </w:r>
          </w:p>
        </w:tc>
        <w:tc>
          <w:tcPr>
            <w:tcW w:w="1340" w:type="dxa"/>
            <w:tcBorders>
              <w:top w:val="nil"/>
              <w:left w:val="nil"/>
              <w:bottom w:val="single" w:sz="4" w:space="0" w:color="auto"/>
              <w:right w:val="single" w:sz="4" w:space="0" w:color="auto"/>
            </w:tcBorders>
            <w:shd w:val="clear" w:color="auto" w:fill="auto"/>
            <w:vAlign w:val="center"/>
            <w:hideMark/>
          </w:tcPr>
          <w:p w14:paraId="6468AAA6"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 xml:space="preserve">     412,629.26 </w:t>
            </w:r>
          </w:p>
        </w:tc>
        <w:tc>
          <w:tcPr>
            <w:tcW w:w="1120" w:type="dxa"/>
            <w:tcBorders>
              <w:top w:val="nil"/>
              <w:left w:val="nil"/>
              <w:bottom w:val="single" w:sz="4" w:space="0" w:color="auto"/>
              <w:right w:val="single" w:sz="4" w:space="0" w:color="auto"/>
            </w:tcBorders>
            <w:shd w:val="clear" w:color="auto" w:fill="auto"/>
            <w:noWrap/>
            <w:vAlign w:val="center"/>
            <w:hideMark/>
          </w:tcPr>
          <w:p w14:paraId="1E677F98"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02-sep-19</w:t>
            </w:r>
          </w:p>
        </w:tc>
        <w:tc>
          <w:tcPr>
            <w:tcW w:w="1440" w:type="dxa"/>
            <w:tcBorders>
              <w:top w:val="nil"/>
              <w:left w:val="nil"/>
              <w:bottom w:val="single" w:sz="4" w:space="0" w:color="auto"/>
              <w:right w:val="single" w:sz="4" w:space="0" w:color="auto"/>
            </w:tcBorders>
            <w:shd w:val="clear" w:color="auto" w:fill="auto"/>
            <w:noWrap/>
            <w:vAlign w:val="center"/>
            <w:hideMark/>
          </w:tcPr>
          <w:p w14:paraId="0396A32B"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30-sep-22</w:t>
            </w:r>
          </w:p>
        </w:tc>
        <w:tc>
          <w:tcPr>
            <w:tcW w:w="1240" w:type="dxa"/>
            <w:tcBorders>
              <w:top w:val="nil"/>
              <w:left w:val="nil"/>
              <w:bottom w:val="single" w:sz="4" w:space="0" w:color="auto"/>
              <w:right w:val="single" w:sz="4" w:space="0" w:color="auto"/>
            </w:tcBorders>
            <w:shd w:val="clear" w:color="auto" w:fill="auto"/>
            <w:noWrap/>
            <w:vAlign w:val="center"/>
            <w:hideMark/>
          </w:tcPr>
          <w:p w14:paraId="44FE5DE5"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56%</w:t>
            </w:r>
          </w:p>
        </w:tc>
        <w:tc>
          <w:tcPr>
            <w:tcW w:w="1660" w:type="dxa"/>
            <w:tcBorders>
              <w:top w:val="nil"/>
              <w:left w:val="nil"/>
              <w:bottom w:val="single" w:sz="4" w:space="0" w:color="auto"/>
              <w:right w:val="single" w:sz="4" w:space="0" w:color="auto"/>
            </w:tcBorders>
            <w:shd w:val="clear" w:color="auto" w:fill="auto"/>
            <w:vAlign w:val="center"/>
            <w:hideMark/>
          </w:tcPr>
          <w:p w14:paraId="6D64F9A6"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Horbath Corredor Jorge Enrique</w:t>
            </w:r>
          </w:p>
        </w:tc>
      </w:tr>
      <w:tr w:rsidR="00077C2A" w:rsidRPr="00077C2A" w14:paraId="3FD6F360" w14:textId="77777777" w:rsidTr="008E717E">
        <w:trPr>
          <w:trHeight w:val="18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4ADB1508"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lastRenderedPageBreak/>
              <w:t>Las selvas de la Península de Yucatán durante el Holoceno Medio y Tardío: Una compleja interacción de dinámica y resiliencia.</w:t>
            </w:r>
          </w:p>
        </w:tc>
        <w:tc>
          <w:tcPr>
            <w:tcW w:w="2180" w:type="dxa"/>
            <w:tcBorders>
              <w:top w:val="nil"/>
              <w:left w:val="nil"/>
              <w:bottom w:val="single" w:sz="4" w:space="0" w:color="auto"/>
              <w:right w:val="single" w:sz="4" w:space="0" w:color="auto"/>
            </w:tcBorders>
            <w:shd w:val="clear" w:color="auto" w:fill="auto"/>
            <w:vAlign w:val="center"/>
            <w:hideMark/>
          </w:tcPr>
          <w:p w14:paraId="51C29ED5"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Fondo Institucional de Fomento Regional para el Desarrollo Científico, Tecnológico y de Innovación</w:t>
            </w:r>
          </w:p>
        </w:tc>
        <w:tc>
          <w:tcPr>
            <w:tcW w:w="1380" w:type="dxa"/>
            <w:tcBorders>
              <w:top w:val="nil"/>
              <w:left w:val="nil"/>
              <w:bottom w:val="single" w:sz="4" w:space="0" w:color="auto"/>
              <w:right w:val="single" w:sz="4" w:space="0" w:color="auto"/>
            </w:tcBorders>
            <w:shd w:val="clear" w:color="auto" w:fill="auto"/>
            <w:noWrap/>
            <w:vAlign w:val="center"/>
            <w:hideMark/>
          </w:tcPr>
          <w:p w14:paraId="325443CC"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2,246,300.00</w:t>
            </w:r>
          </w:p>
        </w:tc>
        <w:tc>
          <w:tcPr>
            <w:tcW w:w="1340" w:type="dxa"/>
            <w:tcBorders>
              <w:top w:val="nil"/>
              <w:left w:val="nil"/>
              <w:bottom w:val="single" w:sz="4" w:space="0" w:color="auto"/>
              <w:right w:val="single" w:sz="4" w:space="0" w:color="auto"/>
            </w:tcBorders>
            <w:shd w:val="clear" w:color="auto" w:fill="auto"/>
            <w:vAlign w:val="center"/>
            <w:hideMark/>
          </w:tcPr>
          <w:p w14:paraId="65B9AA98" w14:textId="0D060D29"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 xml:space="preserve">   276,416.81 </w:t>
            </w:r>
          </w:p>
        </w:tc>
        <w:tc>
          <w:tcPr>
            <w:tcW w:w="1120" w:type="dxa"/>
            <w:tcBorders>
              <w:top w:val="nil"/>
              <w:left w:val="nil"/>
              <w:bottom w:val="single" w:sz="4" w:space="0" w:color="auto"/>
              <w:right w:val="single" w:sz="4" w:space="0" w:color="auto"/>
            </w:tcBorders>
            <w:shd w:val="clear" w:color="auto" w:fill="auto"/>
            <w:noWrap/>
            <w:vAlign w:val="center"/>
            <w:hideMark/>
          </w:tcPr>
          <w:p w14:paraId="1ED27FFC"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20-oct-20</w:t>
            </w:r>
          </w:p>
        </w:tc>
        <w:tc>
          <w:tcPr>
            <w:tcW w:w="1440" w:type="dxa"/>
            <w:tcBorders>
              <w:top w:val="nil"/>
              <w:left w:val="nil"/>
              <w:bottom w:val="single" w:sz="4" w:space="0" w:color="auto"/>
              <w:right w:val="single" w:sz="4" w:space="0" w:color="auto"/>
            </w:tcBorders>
            <w:shd w:val="clear" w:color="auto" w:fill="auto"/>
            <w:noWrap/>
            <w:vAlign w:val="center"/>
            <w:hideMark/>
          </w:tcPr>
          <w:p w14:paraId="0C849634"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20-oct-23</w:t>
            </w:r>
          </w:p>
        </w:tc>
        <w:tc>
          <w:tcPr>
            <w:tcW w:w="1240" w:type="dxa"/>
            <w:tcBorders>
              <w:top w:val="nil"/>
              <w:left w:val="nil"/>
              <w:bottom w:val="single" w:sz="4" w:space="0" w:color="auto"/>
              <w:right w:val="single" w:sz="4" w:space="0" w:color="auto"/>
            </w:tcBorders>
            <w:shd w:val="clear" w:color="auto" w:fill="auto"/>
            <w:noWrap/>
            <w:vAlign w:val="center"/>
            <w:hideMark/>
          </w:tcPr>
          <w:p w14:paraId="55831072"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12%</w:t>
            </w:r>
          </w:p>
        </w:tc>
        <w:tc>
          <w:tcPr>
            <w:tcW w:w="1660" w:type="dxa"/>
            <w:tcBorders>
              <w:top w:val="nil"/>
              <w:left w:val="nil"/>
              <w:bottom w:val="single" w:sz="4" w:space="0" w:color="auto"/>
              <w:right w:val="single" w:sz="4" w:space="0" w:color="auto"/>
            </w:tcBorders>
            <w:shd w:val="clear" w:color="auto" w:fill="auto"/>
            <w:vAlign w:val="center"/>
            <w:hideMark/>
          </w:tcPr>
          <w:p w14:paraId="201AD12A"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Islebe Gerald Alexander</w:t>
            </w:r>
          </w:p>
        </w:tc>
      </w:tr>
      <w:tr w:rsidR="00077C2A" w:rsidRPr="00077C2A" w14:paraId="09AE87F8" w14:textId="77777777" w:rsidTr="008E717E">
        <w:trPr>
          <w:trHeight w:val="18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34438FC7"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Nichos isotópicos de invertebrados marinos clave para entender la degradación de los arrecifes coralinos del Caribe.</w:t>
            </w:r>
          </w:p>
        </w:tc>
        <w:tc>
          <w:tcPr>
            <w:tcW w:w="2180" w:type="dxa"/>
            <w:tcBorders>
              <w:top w:val="nil"/>
              <w:left w:val="nil"/>
              <w:bottom w:val="single" w:sz="4" w:space="0" w:color="auto"/>
              <w:right w:val="single" w:sz="4" w:space="0" w:color="auto"/>
            </w:tcBorders>
            <w:shd w:val="clear" w:color="auto" w:fill="auto"/>
            <w:vAlign w:val="center"/>
            <w:hideMark/>
          </w:tcPr>
          <w:p w14:paraId="1EEFA055"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Fondo Institucional de Fomento Regional para el Desarrollo Científico, Tecnológico y de Innovación</w:t>
            </w:r>
          </w:p>
        </w:tc>
        <w:tc>
          <w:tcPr>
            <w:tcW w:w="1380" w:type="dxa"/>
            <w:tcBorders>
              <w:top w:val="nil"/>
              <w:left w:val="nil"/>
              <w:bottom w:val="single" w:sz="4" w:space="0" w:color="auto"/>
              <w:right w:val="single" w:sz="4" w:space="0" w:color="auto"/>
            </w:tcBorders>
            <w:shd w:val="clear" w:color="auto" w:fill="auto"/>
            <w:noWrap/>
            <w:vAlign w:val="center"/>
            <w:hideMark/>
          </w:tcPr>
          <w:p w14:paraId="69E6AAF4"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1,394,018.00</w:t>
            </w:r>
          </w:p>
        </w:tc>
        <w:tc>
          <w:tcPr>
            <w:tcW w:w="1340" w:type="dxa"/>
            <w:tcBorders>
              <w:top w:val="nil"/>
              <w:left w:val="nil"/>
              <w:bottom w:val="single" w:sz="4" w:space="0" w:color="auto"/>
              <w:right w:val="single" w:sz="4" w:space="0" w:color="auto"/>
            </w:tcBorders>
            <w:shd w:val="clear" w:color="auto" w:fill="auto"/>
            <w:vAlign w:val="center"/>
            <w:hideMark/>
          </w:tcPr>
          <w:p w14:paraId="513936D2" w14:textId="231D2703"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 xml:space="preserve">   156,243.80 </w:t>
            </w:r>
          </w:p>
        </w:tc>
        <w:tc>
          <w:tcPr>
            <w:tcW w:w="1120" w:type="dxa"/>
            <w:tcBorders>
              <w:top w:val="nil"/>
              <w:left w:val="nil"/>
              <w:bottom w:val="single" w:sz="4" w:space="0" w:color="auto"/>
              <w:right w:val="single" w:sz="4" w:space="0" w:color="auto"/>
            </w:tcBorders>
            <w:shd w:val="clear" w:color="auto" w:fill="auto"/>
            <w:noWrap/>
            <w:vAlign w:val="center"/>
            <w:hideMark/>
          </w:tcPr>
          <w:p w14:paraId="1AF8EA83"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20-oct-20</w:t>
            </w:r>
          </w:p>
        </w:tc>
        <w:tc>
          <w:tcPr>
            <w:tcW w:w="1440" w:type="dxa"/>
            <w:tcBorders>
              <w:top w:val="nil"/>
              <w:left w:val="nil"/>
              <w:bottom w:val="single" w:sz="4" w:space="0" w:color="auto"/>
              <w:right w:val="single" w:sz="4" w:space="0" w:color="auto"/>
            </w:tcBorders>
            <w:shd w:val="clear" w:color="auto" w:fill="auto"/>
            <w:noWrap/>
            <w:vAlign w:val="center"/>
            <w:hideMark/>
          </w:tcPr>
          <w:p w14:paraId="5A495D5C"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20-oct-23</w:t>
            </w:r>
          </w:p>
        </w:tc>
        <w:tc>
          <w:tcPr>
            <w:tcW w:w="1240" w:type="dxa"/>
            <w:tcBorders>
              <w:top w:val="nil"/>
              <w:left w:val="nil"/>
              <w:bottom w:val="single" w:sz="4" w:space="0" w:color="auto"/>
              <w:right w:val="single" w:sz="4" w:space="0" w:color="auto"/>
            </w:tcBorders>
            <w:shd w:val="clear" w:color="auto" w:fill="auto"/>
            <w:noWrap/>
            <w:vAlign w:val="center"/>
            <w:hideMark/>
          </w:tcPr>
          <w:p w14:paraId="4B8F6DFC"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11%</w:t>
            </w:r>
          </w:p>
        </w:tc>
        <w:tc>
          <w:tcPr>
            <w:tcW w:w="1660" w:type="dxa"/>
            <w:tcBorders>
              <w:top w:val="nil"/>
              <w:left w:val="nil"/>
              <w:bottom w:val="single" w:sz="4" w:space="0" w:color="auto"/>
              <w:right w:val="single" w:sz="4" w:space="0" w:color="auto"/>
            </w:tcBorders>
            <w:shd w:val="clear" w:color="auto" w:fill="auto"/>
            <w:vAlign w:val="center"/>
            <w:hideMark/>
          </w:tcPr>
          <w:p w14:paraId="587B3509"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Cabanillas Terán Nancy</w:t>
            </w:r>
          </w:p>
        </w:tc>
      </w:tr>
      <w:tr w:rsidR="00077C2A" w:rsidRPr="00077C2A" w14:paraId="69F85054" w14:textId="77777777" w:rsidTr="008E717E">
        <w:trPr>
          <w:trHeight w:val="15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07A2E593"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Estancias  Posdoctorales  para  Mujeres  Mexicanas  Indígenas  en Ciencia, Tecnología, Ingenierías Matemáticas Convocatoria 2018</w:t>
            </w:r>
          </w:p>
        </w:tc>
        <w:tc>
          <w:tcPr>
            <w:tcW w:w="2180" w:type="dxa"/>
            <w:tcBorders>
              <w:top w:val="nil"/>
              <w:left w:val="nil"/>
              <w:bottom w:val="single" w:sz="4" w:space="0" w:color="auto"/>
              <w:right w:val="single" w:sz="4" w:space="0" w:color="auto"/>
            </w:tcBorders>
            <w:shd w:val="clear" w:color="auto" w:fill="auto"/>
            <w:vAlign w:val="center"/>
            <w:hideMark/>
          </w:tcPr>
          <w:p w14:paraId="0F4DFFE3"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Centro de Investigaciones y Estudios Superiores en Antropología Social (CIESAS)</w:t>
            </w:r>
          </w:p>
        </w:tc>
        <w:tc>
          <w:tcPr>
            <w:tcW w:w="1380" w:type="dxa"/>
            <w:tcBorders>
              <w:top w:val="nil"/>
              <w:left w:val="nil"/>
              <w:bottom w:val="single" w:sz="4" w:space="0" w:color="auto"/>
              <w:right w:val="single" w:sz="4" w:space="0" w:color="auto"/>
            </w:tcBorders>
            <w:shd w:val="clear" w:color="auto" w:fill="auto"/>
            <w:noWrap/>
            <w:vAlign w:val="center"/>
            <w:hideMark/>
          </w:tcPr>
          <w:p w14:paraId="3E5E65E1"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500,141.00</w:t>
            </w:r>
          </w:p>
        </w:tc>
        <w:tc>
          <w:tcPr>
            <w:tcW w:w="1340" w:type="dxa"/>
            <w:tcBorders>
              <w:top w:val="nil"/>
              <w:left w:val="nil"/>
              <w:bottom w:val="single" w:sz="4" w:space="0" w:color="auto"/>
              <w:right w:val="single" w:sz="4" w:space="0" w:color="auto"/>
            </w:tcBorders>
            <w:shd w:val="clear" w:color="auto" w:fill="auto"/>
            <w:vAlign w:val="center"/>
            <w:hideMark/>
          </w:tcPr>
          <w:p w14:paraId="46774E57" w14:textId="148F2A1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 xml:space="preserve">   314,176.56 </w:t>
            </w:r>
          </w:p>
        </w:tc>
        <w:tc>
          <w:tcPr>
            <w:tcW w:w="1120" w:type="dxa"/>
            <w:tcBorders>
              <w:top w:val="nil"/>
              <w:left w:val="nil"/>
              <w:bottom w:val="single" w:sz="4" w:space="0" w:color="auto"/>
              <w:right w:val="single" w:sz="4" w:space="0" w:color="auto"/>
            </w:tcBorders>
            <w:shd w:val="clear" w:color="auto" w:fill="auto"/>
            <w:noWrap/>
            <w:vAlign w:val="center"/>
            <w:hideMark/>
          </w:tcPr>
          <w:p w14:paraId="6A054522"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01-ene-19</w:t>
            </w:r>
          </w:p>
        </w:tc>
        <w:tc>
          <w:tcPr>
            <w:tcW w:w="1440" w:type="dxa"/>
            <w:tcBorders>
              <w:top w:val="nil"/>
              <w:left w:val="nil"/>
              <w:bottom w:val="single" w:sz="4" w:space="0" w:color="auto"/>
              <w:right w:val="single" w:sz="4" w:space="0" w:color="auto"/>
            </w:tcBorders>
            <w:shd w:val="clear" w:color="auto" w:fill="auto"/>
            <w:noWrap/>
            <w:vAlign w:val="center"/>
            <w:hideMark/>
          </w:tcPr>
          <w:p w14:paraId="673A07E9"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30-sep-21</w:t>
            </w:r>
          </w:p>
        </w:tc>
        <w:tc>
          <w:tcPr>
            <w:tcW w:w="1240" w:type="dxa"/>
            <w:tcBorders>
              <w:top w:val="nil"/>
              <w:left w:val="nil"/>
              <w:bottom w:val="single" w:sz="4" w:space="0" w:color="auto"/>
              <w:right w:val="single" w:sz="4" w:space="0" w:color="auto"/>
            </w:tcBorders>
            <w:shd w:val="clear" w:color="auto" w:fill="auto"/>
            <w:noWrap/>
            <w:vAlign w:val="center"/>
            <w:hideMark/>
          </w:tcPr>
          <w:p w14:paraId="384E5853"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63%</w:t>
            </w:r>
          </w:p>
        </w:tc>
        <w:tc>
          <w:tcPr>
            <w:tcW w:w="1660" w:type="dxa"/>
            <w:tcBorders>
              <w:top w:val="nil"/>
              <w:left w:val="nil"/>
              <w:bottom w:val="single" w:sz="4" w:space="0" w:color="auto"/>
              <w:right w:val="single" w:sz="4" w:space="0" w:color="auto"/>
            </w:tcBorders>
            <w:shd w:val="clear" w:color="auto" w:fill="auto"/>
            <w:vAlign w:val="center"/>
            <w:hideMark/>
          </w:tcPr>
          <w:p w14:paraId="309F4A76"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 xml:space="preserve">Molina Rosales Dolores Ofelia </w:t>
            </w:r>
          </w:p>
        </w:tc>
      </w:tr>
      <w:tr w:rsidR="00077C2A" w:rsidRPr="00077C2A" w14:paraId="4B8EC2C5" w14:textId="77777777" w:rsidTr="008E717E">
        <w:trPr>
          <w:trHeight w:val="15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762EA0F2"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t>Estancias posdoctorales para mujeres mexicanas indígenas en ciencia, tecnología, ingenierías matemáticas Convocatoria 2019</w:t>
            </w:r>
          </w:p>
        </w:tc>
        <w:tc>
          <w:tcPr>
            <w:tcW w:w="2180" w:type="dxa"/>
            <w:tcBorders>
              <w:top w:val="nil"/>
              <w:left w:val="nil"/>
              <w:bottom w:val="single" w:sz="4" w:space="0" w:color="auto"/>
              <w:right w:val="single" w:sz="4" w:space="0" w:color="auto"/>
            </w:tcBorders>
            <w:shd w:val="clear" w:color="auto" w:fill="auto"/>
            <w:vAlign w:val="center"/>
            <w:hideMark/>
          </w:tcPr>
          <w:p w14:paraId="75E15C79"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Centro de Investigación y Estudios Superiores en Antropología Social</w:t>
            </w:r>
          </w:p>
        </w:tc>
        <w:tc>
          <w:tcPr>
            <w:tcW w:w="1380" w:type="dxa"/>
            <w:tcBorders>
              <w:top w:val="nil"/>
              <w:left w:val="nil"/>
              <w:bottom w:val="single" w:sz="4" w:space="0" w:color="auto"/>
              <w:right w:val="single" w:sz="4" w:space="0" w:color="auto"/>
            </w:tcBorders>
            <w:shd w:val="clear" w:color="auto" w:fill="auto"/>
            <w:noWrap/>
            <w:vAlign w:val="center"/>
            <w:hideMark/>
          </w:tcPr>
          <w:p w14:paraId="61A571D6"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480,897.96</w:t>
            </w:r>
          </w:p>
        </w:tc>
        <w:tc>
          <w:tcPr>
            <w:tcW w:w="1340" w:type="dxa"/>
            <w:tcBorders>
              <w:top w:val="nil"/>
              <w:left w:val="nil"/>
              <w:bottom w:val="single" w:sz="4" w:space="0" w:color="auto"/>
              <w:right w:val="single" w:sz="4" w:space="0" w:color="auto"/>
            </w:tcBorders>
            <w:shd w:val="clear" w:color="auto" w:fill="auto"/>
            <w:vAlign w:val="center"/>
            <w:hideMark/>
          </w:tcPr>
          <w:p w14:paraId="230CFD87" w14:textId="03BE135D"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 xml:space="preserve">   107,006.00 </w:t>
            </w:r>
          </w:p>
        </w:tc>
        <w:tc>
          <w:tcPr>
            <w:tcW w:w="1120" w:type="dxa"/>
            <w:tcBorders>
              <w:top w:val="nil"/>
              <w:left w:val="nil"/>
              <w:bottom w:val="single" w:sz="4" w:space="0" w:color="auto"/>
              <w:right w:val="single" w:sz="4" w:space="0" w:color="auto"/>
            </w:tcBorders>
            <w:shd w:val="clear" w:color="auto" w:fill="auto"/>
            <w:noWrap/>
            <w:vAlign w:val="center"/>
            <w:hideMark/>
          </w:tcPr>
          <w:p w14:paraId="4466F544"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01-abr-20</w:t>
            </w:r>
          </w:p>
        </w:tc>
        <w:tc>
          <w:tcPr>
            <w:tcW w:w="1440" w:type="dxa"/>
            <w:tcBorders>
              <w:top w:val="nil"/>
              <w:left w:val="nil"/>
              <w:bottom w:val="single" w:sz="4" w:space="0" w:color="auto"/>
              <w:right w:val="single" w:sz="4" w:space="0" w:color="auto"/>
            </w:tcBorders>
            <w:shd w:val="clear" w:color="auto" w:fill="auto"/>
            <w:noWrap/>
            <w:vAlign w:val="center"/>
            <w:hideMark/>
          </w:tcPr>
          <w:p w14:paraId="3CDC07A5"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31-dic-22</w:t>
            </w:r>
          </w:p>
        </w:tc>
        <w:tc>
          <w:tcPr>
            <w:tcW w:w="1240" w:type="dxa"/>
            <w:tcBorders>
              <w:top w:val="nil"/>
              <w:left w:val="nil"/>
              <w:bottom w:val="single" w:sz="4" w:space="0" w:color="auto"/>
              <w:right w:val="single" w:sz="4" w:space="0" w:color="auto"/>
            </w:tcBorders>
            <w:shd w:val="clear" w:color="auto" w:fill="auto"/>
            <w:noWrap/>
            <w:vAlign w:val="center"/>
            <w:hideMark/>
          </w:tcPr>
          <w:p w14:paraId="601E2BE4"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22%</w:t>
            </w:r>
          </w:p>
        </w:tc>
        <w:tc>
          <w:tcPr>
            <w:tcW w:w="1660" w:type="dxa"/>
            <w:tcBorders>
              <w:top w:val="nil"/>
              <w:left w:val="nil"/>
              <w:bottom w:val="single" w:sz="4" w:space="0" w:color="auto"/>
              <w:right w:val="single" w:sz="4" w:space="0" w:color="auto"/>
            </w:tcBorders>
            <w:shd w:val="clear" w:color="auto" w:fill="auto"/>
            <w:vAlign w:val="center"/>
            <w:hideMark/>
          </w:tcPr>
          <w:p w14:paraId="0086B9B3"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Pat Fernández Juan Manuel</w:t>
            </w:r>
          </w:p>
        </w:tc>
      </w:tr>
      <w:tr w:rsidR="00077C2A" w:rsidRPr="00077C2A" w14:paraId="2D164E04" w14:textId="77777777" w:rsidTr="008E717E">
        <w:trPr>
          <w:trHeight w:val="1500"/>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3ED2E8FE" w14:textId="77777777" w:rsidR="00077C2A" w:rsidRPr="00077C2A" w:rsidRDefault="00077C2A" w:rsidP="00077C2A">
            <w:pPr>
              <w:spacing w:line="276" w:lineRule="auto"/>
              <w:rPr>
                <w:rFonts w:ascii="Calibri" w:eastAsia="Times New Roman" w:hAnsi="Calibri" w:cs="Times New Roman"/>
                <w:color w:val="000000"/>
                <w:sz w:val="22"/>
                <w:szCs w:val="22"/>
                <w:lang w:eastAsia="es-MX"/>
              </w:rPr>
            </w:pPr>
            <w:r w:rsidRPr="00077C2A">
              <w:rPr>
                <w:rFonts w:ascii="Calibri" w:eastAsia="Times New Roman" w:hAnsi="Calibri" w:cs="Times New Roman"/>
                <w:color w:val="000000"/>
                <w:sz w:val="22"/>
                <w:szCs w:val="22"/>
                <w:lang w:eastAsia="es-MX"/>
              </w:rPr>
              <w:lastRenderedPageBreak/>
              <w:t>La desafiante coexistencia de los sistemas socio-ecológicos acoplados; las industrias de la pesca y petróleo en la sonda de Campeche</w:t>
            </w:r>
          </w:p>
        </w:tc>
        <w:tc>
          <w:tcPr>
            <w:tcW w:w="2180" w:type="dxa"/>
            <w:tcBorders>
              <w:top w:val="nil"/>
              <w:left w:val="nil"/>
              <w:bottom w:val="single" w:sz="4" w:space="0" w:color="auto"/>
              <w:right w:val="single" w:sz="4" w:space="0" w:color="auto"/>
            </w:tcBorders>
            <w:shd w:val="clear" w:color="auto" w:fill="auto"/>
            <w:vAlign w:val="center"/>
            <w:hideMark/>
          </w:tcPr>
          <w:p w14:paraId="3C412D05"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Consejo Nacional de Ciencia y Tecnología</w:t>
            </w:r>
          </w:p>
        </w:tc>
        <w:tc>
          <w:tcPr>
            <w:tcW w:w="1380" w:type="dxa"/>
            <w:tcBorders>
              <w:top w:val="nil"/>
              <w:left w:val="nil"/>
              <w:bottom w:val="single" w:sz="4" w:space="0" w:color="auto"/>
              <w:right w:val="single" w:sz="4" w:space="0" w:color="auto"/>
            </w:tcBorders>
            <w:shd w:val="clear" w:color="auto" w:fill="auto"/>
            <w:noWrap/>
            <w:vAlign w:val="center"/>
            <w:hideMark/>
          </w:tcPr>
          <w:p w14:paraId="2B68DD01" w14:textId="77777777"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3,080,490.00</w:t>
            </w:r>
          </w:p>
        </w:tc>
        <w:tc>
          <w:tcPr>
            <w:tcW w:w="1340" w:type="dxa"/>
            <w:tcBorders>
              <w:top w:val="nil"/>
              <w:left w:val="nil"/>
              <w:bottom w:val="single" w:sz="4" w:space="0" w:color="auto"/>
              <w:right w:val="single" w:sz="4" w:space="0" w:color="auto"/>
            </w:tcBorders>
            <w:shd w:val="clear" w:color="auto" w:fill="auto"/>
            <w:vAlign w:val="center"/>
            <w:hideMark/>
          </w:tcPr>
          <w:p w14:paraId="70F32E13" w14:textId="5814CB34" w:rsidR="00077C2A" w:rsidRPr="00077C2A" w:rsidRDefault="00077C2A" w:rsidP="00077C2A">
            <w:pPr>
              <w:spacing w:line="276" w:lineRule="auto"/>
              <w:jc w:val="right"/>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 xml:space="preserve">   124,711.98 </w:t>
            </w:r>
          </w:p>
        </w:tc>
        <w:tc>
          <w:tcPr>
            <w:tcW w:w="1120" w:type="dxa"/>
            <w:tcBorders>
              <w:top w:val="nil"/>
              <w:left w:val="nil"/>
              <w:bottom w:val="single" w:sz="4" w:space="0" w:color="auto"/>
              <w:right w:val="single" w:sz="4" w:space="0" w:color="auto"/>
            </w:tcBorders>
            <w:shd w:val="clear" w:color="auto" w:fill="auto"/>
            <w:noWrap/>
            <w:vAlign w:val="center"/>
            <w:hideMark/>
          </w:tcPr>
          <w:p w14:paraId="3C3B9061"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20-oct-20</w:t>
            </w:r>
          </w:p>
        </w:tc>
        <w:tc>
          <w:tcPr>
            <w:tcW w:w="1440" w:type="dxa"/>
            <w:tcBorders>
              <w:top w:val="nil"/>
              <w:left w:val="nil"/>
              <w:bottom w:val="single" w:sz="4" w:space="0" w:color="auto"/>
              <w:right w:val="single" w:sz="4" w:space="0" w:color="auto"/>
            </w:tcBorders>
            <w:shd w:val="clear" w:color="auto" w:fill="auto"/>
            <w:noWrap/>
            <w:vAlign w:val="center"/>
            <w:hideMark/>
          </w:tcPr>
          <w:p w14:paraId="541EAE48"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19-oct-22</w:t>
            </w:r>
          </w:p>
        </w:tc>
        <w:tc>
          <w:tcPr>
            <w:tcW w:w="1240" w:type="dxa"/>
            <w:tcBorders>
              <w:top w:val="nil"/>
              <w:left w:val="nil"/>
              <w:bottom w:val="single" w:sz="4" w:space="0" w:color="auto"/>
              <w:right w:val="single" w:sz="4" w:space="0" w:color="auto"/>
            </w:tcBorders>
            <w:shd w:val="clear" w:color="auto" w:fill="auto"/>
            <w:noWrap/>
            <w:vAlign w:val="center"/>
            <w:hideMark/>
          </w:tcPr>
          <w:p w14:paraId="3810E037" w14:textId="77777777" w:rsidR="00077C2A" w:rsidRPr="00077C2A" w:rsidRDefault="00077C2A" w:rsidP="00077C2A">
            <w:pPr>
              <w:spacing w:line="276" w:lineRule="auto"/>
              <w:jc w:val="center"/>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4%</w:t>
            </w:r>
          </w:p>
        </w:tc>
        <w:tc>
          <w:tcPr>
            <w:tcW w:w="1660" w:type="dxa"/>
            <w:tcBorders>
              <w:top w:val="nil"/>
              <w:left w:val="nil"/>
              <w:bottom w:val="single" w:sz="4" w:space="0" w:color="auto"/>
              <w:right w:val="single" w:sz="4" w:space="0" w:color="auto"/>
            </w:tcBorders>
            <w:shd w:val="clear" w:color="auto" w:fill="auto"/>
            <w:vAlign w:val="center"/>
            <w:hideMark/>
          </w:tcPr>
          <w:p w14:paraId="7A767292" w14:textId="77777777" w:rsidR="00077C2A" w:rsidRPr="00077C2A" w:rsidRDefault="00077C2A" w:rsidP="00077C2A">
            <w:pPr>
              <w:spacing w:line="276" w:lineRule="auto"/>
              <w:rPr>
                <w:rFonts w:ascii="Calibri" w:eastAsia="Times New Roman" w:hAnsi="Calibri" w:cs="Times New Roman"/>
                <w:sz w:val="22"/>
                <w:szCs w:val="22"/>
                <w:lang w:eastAsia="es-MX"/>
              </w:rPr>
            </w:pPr>
            <w:r w:rsidRPr="00077C2A">
              <w:rPr>
                <w:rFonts w:ascii="Calibri" w:eastAsia="Times New Roman" w:hAnsi="Calibri" w:cs="Times New Roman"/>
                <w:sz w:val="22"/>
                <w:szCs w:val="22"/>
                <w:lang w:eastAsia="es-MX"/>
              </w:rPr>
              <w:t>Espinoza Tenorio Alejandro</w:t>
            </w:r>
          </w:p>
        </w:tc>
      </w:tr>
    </w:tbl>
    <w:p w14:paraId="7B51B481" w14:textId="77777777" w:rsidR="00077C2A" w:rsidRPr="00077C2A" w:rsidRDefault="00077C2A" w:rsidP="00077C2A">
      <w:pPr>
        <w:tabs>
          <w:tab w:val="left" w:pos="4155"/>
        </w:tabs>
        <w:autoSpaceDE w:val="0"/>
        <w:autoSpaceDN w:val="0"/>
        <w:spacing w:line="276" w:lineRule="auto"/>
        <w:rPr>
          <w:rFonts w:ascii="Montserrata" w:eastAsia="Times New Roman" w:hAnsi="Montserrata" w:cs="Times New Roman"/>
          <w:sz w:val="22"/>
          <w:szCs w:val="22"/>
          <w:lang w:val="es-ES" w:eastAsia="es-ES"/>
        </w:rPr>
      </w:pPr>
    </w:p>
    <w:p w14:paraId="0886BB51" w14:textId="77777777" w:rsidR="00077C2A" w:rsidRPr="00077C2A" w:rsidRDefault="00077C2A" w:rsidP="00077C2A">
      <w:pPr>
        <w:numPr>
          <w:ilvl w:val="0"/>
          <w:numId w:val="8"/>
        </w:numPr>
        <w:tabs>
          <w:tab w:val="left" w:pos="4155"/>
        </w:tabs>
        <w:autoSpaceDE w:val="0"/>
        <w:autoSpaceDN w:val="0"/>
        <w:spacing w:line="276" w:lineRule="auto"/>
        <w:contextualSpacing/>
        <w:rPr>
          <w:rFonts w:ascii="Montserrata" w:eastAsia="Times New Roman" w:hAnsi="Montserrata" w:cs="Times New Roman"/>
          <w:sz w:val="22"/>
          <w:szCs w:val="22"/>
          <w:lang w:val="es-ES" w:eastAsia="es-ES"/>
        </w:rPr>
      </w:pPr>
      <w:r w:rsidRPr="00077C2A">
        <w:rPr>
          <w:rFonts w:ascii="Montserrata" w:eastAsia="Times New Roman" w:hAnsi="Montserrata" w:cs="Times New Roman"/>
          <w:b/>
          <w:sz w:val="22"/>
          <w:szCs w:val="22"/>
          <w:lang w:val="es-ES" w:eastAsia="es-ES"/>
        </w:rPr>
        <w:t>Relación de Proyectos Sustantivos apoyados concluidos</w:t>
      </w:r>
    </w:p>
    <w:p w14:paraId="532FB0D0" w14:textId="77777777" w:rsidR="00077C2A" w:rsidRPr="00077C2A" w:rsidRDefault="00077C2A" w:rsidP="00077C2A">
      <w:pPr>
        <w:tabs>
          <w:tab w:val="left" w:pos="4155"/>
        </w:tabs>
        <w:autoSpaceDE w:val="0"/>
        <w:autoSpaceDN w:val="0"/>
        <w:spacing w:line="276" w:lineRule="auto"/>
        <w:rPr>
          <w:rFonts w:ascii="Montserrata" w:eastAsia="Times New Roman" w:hAnsi="Montserrata" w:cs="Times New Roman"/>
          <w:sz w:val="22"/>
          <w:szCs w:val="22"/>
          <w:lang w:val="es-ES" w:eastAsia="es-ES"/>
        </w:rPr>
      </w:pPr>
    </w:p>
    <w:tbl>
      <w:tblPr>
        <w:tblW w:w="5041" w:type="pct"/>
        <w:tblCellMar>
          <w:left w:w="70" w:type="dxa"/>
          <w:right w:w="70" w:type="dxa"/>
        </w:tblCellMar>
        <w:tblLook w:val="04A0" w:firstRow="1" w:lastRow="0" w:firstColumn="1" w:lastColumn="0" w:noHBand="0" w:noVBand="1"/>
      </w:tblPr>
      <w:tblGrid>
        <w:gridCol w:w="1756"/>
        <w:gridCol w:w="1642"/>
        <w:gridCol w:w="1309"/>
        <w:gridCol w:w="1309"/>
        <w:gridCol w:w="4001"/>
        <w:gridCol w:w="1314"/>
        <w:gridCol w:w="1427"/>
      </w:tblGrid>
      <w:tr w:rsidR="00077C2A" w:rsidRPr="00077C2A" w14:paraId="0288907A" w14:textId="77777777" w:rsidTr="008E717E">
        <w:trPr>
          <w:trHeight w:val="1065"/>
        </w:trPr>
        <w:tc>
          <w:tcPr>
            <w:tcW w:w="655" w:type="pct"/>
            <w:tcBorders>
              <w:top w:val="single" w:sz="4" w:space="0" w:color="auto"/>
              <w:left w:val="single" w:sz="4" w:space="0" w:color="auto"/>
              <w:bottom w:val="single" w:sz="4" w:space="0" w:color="auto"/>
              <w:right w:val="single" w:sz="4" w:space="0" w:color="auto"/>
            </w:tcBorders>
            <w:shd w:val="clear" w:color="000000" w:fill="B38E5D"/>
            <w:vAlign w:val="center"/>
            <w:hideMark/>
          </w:tcPr>
          <w:p w14:paraId="679EF0E7"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0"/>
                <w:szCs w:val="20"/>
                <w:lang w:val="en-US" w:eastAsia="es-ES"/>
              </w:rPr>
            </w:pPr>
            <w:r w:rsidRPr="00077C2A">
              <w:rPr>
                <w:rFonts w:ascii="Calibri" w:eastAsia="Times New Roman" w:hAnsi="Calibri" w:cs="Times New Roman"/>
                <w:b/>
                <w:bCs/>
                <w:color w:val="FFFFFF"/>
                <w:sz w:val="20"/>
                <w:szCs w:val="20"/>
                <w:lang w:val="en-US" w:eastAsia="es-ES"/>
              </w:rPr>
              <w:t>NOMBRE DEL PROYECTO</w:t>
            </w:r>
          </w:p>
        </w:tc>
        <w:tc>
          <w:tcPr>
            <w:tcW w:w="621" w:type="pct"/>
            <w:tcBorders>
              <w:top w:val="single" w:sz="4" w:space="0" w:color="auto"/>
              <w:left w:val="nil"/>
              <w:bottom w:val="single" w:sz="4" w:space="0" w:color="auto"/>
              <w:right w:val="single" w:sz="4" w:space="0" w:color="auto"/>
            </w:tcBorders>
            <w:shd w:val="clear" w:color="000000" w:fill="B38E5D"/>
            <w:vAlign w:val="center"/>
            <w:hideMark/>
          </w:tcPr>
          <w:p w14:paraId="578CC9D9"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0"/>
                <w:szCs w:val="20"/>
                <w:lang w:val="en-US" w:eastAsia="es-ES"/>
              </w:rPr>
            </w:pPr>
            <w:r w:rsidRPr="00077C2A">
              <w:rPr>
                <w:rFonts w:ascii="Calibri" w:eastAsia="Times New Roman" w:hAnsi="Calibri" w:cs="Times New Roman"/>
                <w:b/>
                <w:bCs/>
                <w:color w:val="FFFFFF"/>
                <w:sz w:val="20"/>
                <w:szCs w:val="20"/>
                <w:lang w:val="en-US" w:eastAsia="es-ES"/>
              </w:rPr>
              <w:t xml:space="preserve">FUENTE DE FINANCIAMIENTO </w:t>
            </w:r>
          </w:p>
        </w:tc>
        <w:tc>
          <w:tcPr>
            <w:tcW w:w="494" w:type="pct"/>
            <w:tcBorders>
              <w:top w:val="single" w:sz="4" w:space="0" w:color="auto"/>
              <w:left w:val="nil"/>
              <w:bottom w:val="single" w:sz="4" w:space="0" w:color="auto"/>
              <w:right w:val="single" w:sz="4" w:space="0" w:color="auto"/>
            </w:tcBorders>
            <w:shd w:val="clear" w:color="000000" w:fill="B38E5D"/>
            <w:vAlign w:val="center"/>
            <w:hideMark/>
          </w:tcPr>
          <w:p w14:paraId="4F28744E"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18"/>
                <w:szCs w:val="18"/>
                <w:lang w:val="en-US" w:eastAsia="es-ES"/>
              </w:rPr>
            </w:pPr>
            <w:r w:rsidRPr="00077C2A">
              <w:rPr>
                <w:rFonts w:ascii="Calibri" w:eastAsia="Times New Roman" w:hAnsi="Calibri" w:cs="Times New Roman"/>
                <w:b/>
                <w:bCs/>
                <w:color w:val="FFFFFF"/>
                <w:sz w:val="18"/>
                <w:szCs w:val="18"/>
                <w:lang w:val="en-US" w:eastAsia="es-ES"/>
              </w:rPr>
              <w:t>RECURSOS RECIBIDOS</w:t>
            </w:r>
          </w:p>
        </w:tc>
        <w:tc>
          <w:tcPr>
            <w:tcW w:w="494" w:type="pct"/>
            <w:tcBorders>
              <w:top w:val="single" w:sz="4" w:space="0" w:color="auto"/>
              <w:left w:val="nil"/>
              <w:bottom w:val="single" w:sz="4" w:space="0" w:color="auto"/>
              <w:right w:val="single" w:sz="4" w:space="0" w:color="auto"/>
            </w:tcBorders>
            <w:shd w:val="clear" w:color="000000" w:fill="B38E5D"/>
            <w:vAlign w:val="center"/>
            <w:hideMark/>
          </w:tcPr>
          <w:p w14:paraId="5E02B272"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18"/>
                <w:szCs w:val="18"/>
                <w:lang w:val="en-US" w:eastAsia="es-ES"/>
              </w:rPr>
            </w:pPr>
            <w:r w:rsidRPr="00077C2A">
              <w:rPr>
                <w:rFonts w:ascii="Calibri" w:eastAsia="Times New Roman" w:hAnsi="Calibri" w:cs="Times New Roman"/>
                <w:b/>
                <w:bCs/>
                <w:color w:val="FFFFFF"/>
                <w:sz w:val="18"/>
                <w:szCs w:val="18"/>
                <w:lang w:val="en-US" w:eastAsia="es-ES"/>
              </w:rPr>
              <w:t>RECURSOS EJERCIDOS</w:t>
            </w:r>
          </w:p>
        </w:tc>
        <w:tc>
          <w:tcPr>
            <w:tcW w:w="1637" w:type="pct"/>
            <w:tcBorders>
              <w:top w:val="single" w:sz="4" w:space="0" w:color="auto"/>
              <w:left w:val="nil"/>
              <w:bottom w:val="single" w:sz="4" w:space="0" w:color="auto"/>
              <w:right w:val="single" w:sz="4" w:space="0" w:color="auto"/>
            </w:tcBorders>
            <w:shd w:val="clear" w:color="000000" w:fill="B38E5D"/>
            <w:vAlign w:val="center"/>
            <w:hideMark/>
          </w:tcPr>
          <w:p w14:paraId="28849EA6"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0"/>
                <w:szCs w:val="20"/>
                <w:lang w:val="en-US" w:eastAsia="es-ES"/>
              </w:rPr>
            </w:pPr>
            <w:r w:rsidRPr="00077C2A">
              <w:rPr>
                <w:rFonts w:ascii="Calibri" w:eastAsia="Times New Roman" w:hAnsi="Calibri" w:cs="Times New Roman"/>
                <w:b/>
                <w:bCs/>
                <w:color w:val="FFFFFF"/>
                <w:sz w:val="20"/>
                <w:szCs w:val="20"/>
                <w:lang w:val="en-US" w:eastAsia="es-ES"/>
              </w:rPr>
              <w:t>RESULTADOS OBTENIDOS</w:t>
            </w:r>
          </w:p>
        </w:tc>
        <w:tc>
          <w:tcPr>
            <w:tcW w:w="471" w:type="pct"/>
            <w:tcBorders>
              <w:top w:val="single" w:sz="4" w:space="0" w:color="auto"/>
              <w:left w:val="nil"/>
              <w:bottom w:val="single" w:sz="4" w:space="0" w:color="auto"/>
              <w:right w:val="single" w:sz="4" w:space="0" w:color="auto"/>
            </w:tcBorders>
            <w:shd w:val="clear" w:color="000000" w:fill="B38E5D"/>
            <w:vAlign w:val="center"/>
            <w:hideMark/>
          </w:tcPr>
          <w:p w14:paraId="02C71AFA"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0"/>
                <w:szCs w:val="20"/>
                <w:lang w:eastAsia="es-ES"/>
              </w:rPr>
            </w:pPr>
            <w:r w:rsidRPr="00077C2A">
              <w:rPr>
                <w:rFonts w:ascii="Calibri" w:eastAsia="Times New Roman" w:hAnsi="Calibri" w:cs="Times New Roman"/>
                <w:b/>
                <w:bCs/>
                <w:color w:val="FFFFFF"/>
                <w:sz w:val="20"/>
                <w:szCs w:val="20"/>
                <w:lang w:eastAsia="es-ES"/>
              </w:rPr>
              <w:t>FECHAS DE INCIO Y FIN DEL PROYECTO</w:t>
            </w:r>
          </w:p>
        </w:tc>
        <w:tc>
          <w:tcPr>
            <w:tcW w:w="629" w:type="pct"/>
            <w:tcBorders>
              <w:top w:val="single" w:sz="4" w:space="0" w:color="auto"/>
              <w:left w:val="nil"/>
              <w:bottom w:val="single" w:sz="4" w:space="0" w:color="auto"/>
              <w:right w:val="single" w:sz="4" w:space="0" w:color="auto"/>
            </w:tcBorders>
            <w:shd w:val="clear" w:color="000000" w:fill="B38E5D"/>
            <w:vAlign w:val="center"/>
            <w:hideMark/>
          </w:tcPr>
          <w:p w14:paraId="2B62A60A" w14:textId="77777777" w:rsidR="00077C2A" w:rsidRPr="00077C2A" w:rsidRDefault="00077C2A" w:rsidP="00077C2A">
            <w:pPr>
              <w:autoSpaceDE w:val="0"/>
              <w:autoSpaceDN w:val="0"/>
              <w:spacing w:line="276" w:lineRule="auto"/>
              <w:jc w:val="center"/>
              <w:rPr>
                <w:rFonts w:ascii="Calibri" w:eastAsia="Times New Roman" w:hAnsi="Calibri" w:cs="Times New Roman"/>
                <w:b/>
                <w:bCs/>
                <w:color w:val="FFFFFF"/>
                <w:sz w:val="20"/>
                <w:szCs w:val="20"/>
                <w:lang w:val="en-US" w:eastAsia="es-ES"/>
              </w:rPr>
            </w:pPr>
            <w:r w:rsidRPr="00077C2A">
              <w:rPr>
                <w:rFonts w:ascii="Calibri" w:eastAsia="Times New Roman" w:hAnsi="Calibri" w:cs="Times New Roman"/>
                <w:b/>
                <w:bCs/>
                <w:color w:val="FFFFFF"/>
                <w:sz w:val="20"/>
                <w:szCs w:val="20"/>
                <w:lang w:val="en-US" w:eastAsia="es-ES"/>
              </w:rPr>
              <w:t>RESPONSABLE</w:t>
            </w:r>
          </w:p>
        </w:tc>
      </w:tr>
      <w:tr w:rsidR="00077C2A" w:rsidRPr="00077C2A" w14:paraId="52623742" w14:textId="77777777" w:rsidTr="008E717E">
        <w:trPr>
          <w:trHeight w:val="1485"/>
        </w:trPr>
        <w:tc>
          <w:tcPr>
            <w:tcW w:w="655" w:type="pct"/>
            <w:tcBorders>
              <w:top w:val="nil"/>
              <w:left w:val="single" w:sz="4" w:space="0" w:color="auto"/>
              <w:bottom w:val="single" w:sz="4" w:space="0" w:color="auto"/>
              <w:right w:val="single" w:sz="4" w:space="0" w:color="auto"/>
            </w:tcBorders>
            <w:shd w:val="clear" w:color="auto" w:fill="auto"/>
            <w:vAlign w:val="center"/>
          </w:tcPr>
          <w:p w14:paraId="4C1B3D56"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Monitoreo de indicadores del proyecto piloto: municipios fronterizos de derechos humanos.</w:t>
            </w:r>
          </w:p>
        </w:tc>
        <w:tc>
          <w:tcPr>
            <w:tcW w:w="621" w:type="pct"/>
            <w:tcBorders>
              <w:top w:val="nil"/>
              <w:left w:val="nil"/>
              <w:bottom w:val="single" w:sz="4" w:space="0" w:color="auto"/>
              <w:right w:val="single" w:sz="4" w:space="0" w:color="auto"/>
            </w:tcBorders>
            <w:shd w:val="clear" w:color="auto" w:fill="auto"/>
            <w:vAlign w:val="center"/>
          </w:tcPr>
          <w:p w14:paraId="4C0CDBBE"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Cooperación Alemana al Desarrollo. Agencia de la GIZ en México</w:t>
            </w:r>
          </w:p>
        </w:tc>
        <w:tc>
          <w:tcPr>
            <w:tcW w:w="494" w:type="pct"/>
            <w:tcBorders>
              <w:top w:val="nil"/>
              <w:left w:val="nil"/>
              <w:bottom w:val="single" w:sz="4" w:space="0" w:color="auto"/>
              <w:right w:val="single" w:sz="4" w:space="0" w:color="auto"/>
            </w:tcBorders>
            <w:shd w:val="clear" w:color="auto" w:fill="auto"/>
            <w:vAlign w:val="center"/>
          </w:tcPr>
          <w:p w14:paraId="2456EE27"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495,713.54</w:t>
            </w:r>
          </w:p>
        </w:tc>
        <w:tc>
          <w:tcPr>
            <w:tcW w:w="494" w:type="pct"/>
            <w:tcBorders>
              <w:top w:val="nil"/>
              <w:left w:val="nil"/>
              <w:bottom w:val="single" w:sz="4" w:space="0" w:color="auto"/>
              <w:right w:val="single" w:sz="4" w:space="0" w:color="auto"/>
            </w:tcBorders>
            <w:shd w:val="clear" w:color="auto" w:fill="auto"/>
            <w:vAlign w:val="center"/>
          </w:tcPr>
          <w:p w14:paraId="35FB17C0"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495,713.54</w:t>
            </w:r>
          </w:p>
        </w:tc>
        <w:tc>
          <w:tcPr>
            <w:tcW w:w="1637" w:type="pct"/>
            <w:tcBorders>
              <w:top w:val="nil"/>
              <w:left w:val="nil"/>
              <w:bottom w:val="single" w:sz="4" w:space="0" w:color="auto"/>
              <w:right w:val="single" w:sz="4" w:space="0" w:color="auto"/>
            </w:tcBorders>
            <w:shd w:val="clear" w:color="auto" w:fill="auto"/>
            <w:vAlign w:val="center"/>
          </w:tcPr>
          <w:p w14:paraId="7CCAE275"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Fortaleció las capacidades municipales para la promoción, protección y defensa de los derechos humanos de todas las personas que habitan y transitan por los municipios de la frontera sur de México que han suscrito la “Carta Compromiso”, con particular atención en mujeres, niños, niñas y adolescentes, indígenas, afromexicanas/os y migrantes (de tránsito y de destino), con base en evidencia científica sólidamente documentada.</w:t>
            </w:r>
          </w:p>
        </w:tc>
        <w:tc>
          <w:tcPr>
            <w:tcW w:w="471" w:type="pct"/>
            <w:tcBorders>
              <w:top w:val="nil"/>
              <w:left w:val="nil"/>
              <w:bottom w:val="single" w:sz="4" w:space="0" w:color="auto"/>
              <w:right w:val="single" w:sz="4" w:space="0" w:color="auto"/>
            </w:tcBorders>
            <w:shd w:val="clear" w:color="auto" w:fill="auto"/>
            <w:vAlign w:val="center"/>
          </w:tcPr>
          <w:p w14:paraId="0E5EAE2C" w14:textId="77777777" w:rsidR="00077C2A" w:rsidRPr="00077C2A" w:rsidRDefault="00077C2A" w:rsidP="00077C2A">
            <w:pPr>
              <w:autoSpaceDE w:val="0"/>
              <w:autoSpaceDN w:val="0"/>
              <w:spacing w:line="276" w:lineRule="auto"/>
              <w:jc w:val="center"/>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08/01/2020 - 27/04/2020</w:t>
            </w:r>
          </w:p>
        </w:tc>
        <w:tc>
          <w:tcPr>
            <w:tcW w:w="629" w:type="pct"/>
            <w:tcBorders>
              <w:top w:val="nil"/>
              <w:left w:val="nil"/>
              <w:bottom w:val="single" w:sz="4" w:space="0" w:color="auto"/>
              <w:right w:val="single" w:sz="4" w:space="0" w:color="auto"/>
            </w:tcBorders>
            <w:shd w:val="clear" w:color="auto" w:fill="auto"/>
            <w:vAlign w:val="center"/>
          </w:tcPr>
          <w:p w14:paraId="614C97A3"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val="en-US" w:eastAsia="es-ES"/>
              </w:rPr>
            </w:pPr>
            <w:r w:rsidRPr="00077C2A">
              <w:rPr>
                <w:rFonts w:ascii="Calibri" w:eastAsia="Times New Roman" w:hAnsi="Calibri" w:cs="Times New Roman"/>
                <w:color w:val="000000"/>
                <w:sz w:val="22"/>
                <w:szCs w:val="22"/>
                <w:lang w:val="en-US" w:eastAsia="es-ES"/>
              </w:rPr>
              <w:t>Tinoco Ojanguren Rolando</w:t>
            </w:r>
          </w:p>
        </w:tc>
      </w:tr>
      <w:tr w:rsidR="00077C2A" w:rsidRPr="00077C2A" w14:paraId="08AC682A" w14:textId="77777777" w:rsidTr="008E717E">
        <w:trPr>
          <w:trHeight w:val="1320"/>
        </w:trPr>
        <w:tc>
          <w:tcPr>
            <w:tcW w:w="655" w:type="pct"/>
            <w:tcBorders>
              <w:top w:val="nil"/>
              <w:left w:val="single" w:sz="4" w:space="0" w:color="auto"/>
              <w:bottom w:val="single" w:sz="4" w:space="0" w:color="auto"/>
              <w:right w:val="single" w:sz="4" w:space="0" w:color="auto"/>
            </w:tcBorders>
            <w:shd w:val="clear" w:color="auto" w:fill="auto"/>
            <w:vAlign w:val="center"/>
          </w:tcPr>
          <w:p w14:paraId="1CEEC029"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lastRenderedPageBreak/>
              <w:t>Impacto de factores sociales (incluyendo la inseguridad alimentaria y  la violencia de pareja)  en los desenlaces de salud de mujeres que viven con VIH en el estado de Chiapas.</w:t>
            </w:r>
          </w:p>
        </w:tc>
        <w:tc>
          <w:tcPr>
            <w:tcW w:w="621" w:type="pct"/>
            <w:tcBorders>
              <w:top w:val="nil"/>
              <w:left w:val="nil"/>
              <w:bottom w:val="single" w:sz="4" w:space="0" w:color="auto"/>
              <w:right w:val="single" w:sz="4" w:space="0" w:color="auto"/>
            </w:tcBorders>
            <w:shd w:val="clear" w:color="auto" w:fill="auto"/>
            <w:vAlign w:val="center"/>
          </w:tcPr>
          <w:p w14:paraId="0E4EAEED"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val="en-US" w:eastAsia="es-ES"/>
              </w:rPr>
              <w:t>Secretaría de Salud</w:t>
            </w:r>
          </w:p>
        </w:tc>
        <w:tc>
          <w:tcPr>
            <w:tcW w:w="494" w:type="pct"/>
            <w:tcBorders>
              <w:top w:val="nil"/>
              <w:left w:val="nil"/>
              <w:bottom w:val="single" w:sz="4" w:space="0" w:color="auto"/>
              <w:right w:val="single" w:sz="4" w:space="0" w:color="auto"/>
            </w:tcBorders>
            <w:shd w:val="clear" w:color="auto" w:fill="auto"/>
            <w:vAlign w:val="center"/>
          </w:tcPr>
          <w:p w14:paraId="7B997F41"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683,480.18</w:t>
            </w:r>
          </w:p>
        </w:tc>
        <w:tc>
          <w:tcPr>
            <w:tcW w:w="494" w:type="pct"/>
            <w:tcBorders>
              <w:top w:val="nil"/>
              <w:left w:val="nil"/>
              <w:bottom w:val="single" w:sz="4" w:space="0" w:color="auto"/>
              <w:right w:val="single" w:sz="4" w:space="0" w:color="auto"/>
            </w:tcBorders>
            <w:shd w:val="clear" w:color="auto" w:fill="auto"/>
            <w:vAlign w:val="center"/>
          </w:tcPr>
          <w:p w14:paraId="4AB3D38E"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683,480.18</w:t>
            </w:r>
          </w:p>
        </w:tc>
        <w:tc>
          <w:tcPr>
            <w:tcW w:w="1637" w:type="pct"/>
            <w:tcBorders>
              <w:top w:val="nil"/>
              <w:left w:val="nil"/>
              <w:bottom w:val="single" w:sz="4" w:space="0" w:color="auto"/>
              <w:right w:val="single" w:sz="4" w:space="0" w:color="auto"/>
            </w:tcBorders>
            <w:shd w:val="clear" w:color="auto" w:fill="auto"/>
            <w:vAlign w:val="center"/>
          </w:tcPr>
          <w:p w14:paraId="6FC7BAA3" w14:textId="1D7954C3" w:rsidR="00077C2A" w:rsidRPr="00077C2A" w:rsidRDefault="00077C2A" w:rsidP="00077C2A">
            <w:pPr>
              <w:autoSpaceDE w:val="0"/>
              <w:autoSpaceDN w:val="0"/>
              <w:spacing w:line="276" w:lineRule="auto"/>
              <w:rPr>
                <w:rFonts w:ascii="Calibri" w:eastAsia="Times New Roman" w:hAnsi="Calibri" w:cs="Calibri"/>
                <w:color w:val="000000"/>
                <w:sz w:val="20"/>
                <w:szCs w:val="20"/>
                <w:lang w:eastAsia="es-ES"/>
              </w:rPr>
            </w:pPr>
            <w:r w:rsidRPr="00077C2A">
              <w:rPr>
                <w:rFonts w:ascii="Calibri" w:eastAsia="Times New Roman" w:hAnsi="Calibri" w:cs="Times New Roman"/>
                <w:color w:val="000000"/>
                <w:sz w:val="22"/>
                <w:szCs w:val="22"/>
                <w:lang w:eastAsia="es-ES"/>
              </w:rPr>
              <w:t xml:space="preserve">Los resultados del estudio reflejan una muestra de mujeres con VIH altamente vulnerables, con dificultades económicas para el acceso a una atención adecuada, condicionadas por limitaciones en el transporte al centro de atención y acceso a la fórmula láctea. Asimismo, se trata de mujeres que sufren frecuentemente de actos de violencia, discriminación e inseguridad alimentaria. </w:t>
            </w:r>
            <w:r w:rsidRPr="00077C2A">
              <w:rPr>
                <w:rFonts w:ascii="Calibri" w:eastAsia="Times New Roman" w:hAnsi="Calibri" w:cs="Times New Roman"/>
                <w:color w:val="000000"/>
                <w:sz w:val="22"/>
                <w:szCs w:val="22"/>
                <w:lang w:eastAsia="es-ES"/>
              </w:rPr>
              <w:br/>
              <w:t xml:space="preserve">Con base en estos resultados, las estrategias para mejorar la atención integral del VIH en las mujeres del Estado de Chiapas requieren de forma imperativa capacitaciones al personal de salud y a la comunidad con el objetivo de sensibilizar y reducir los niveles de estigma y discriminación. Asimismo, se requiere capacitación y acompañamiento de pares para las mujeres que viven con VIH para un mejor conocimiento de sus derechos. Son necesarias las alianzas con organizaciones de la sociedad civil para hacer efectivas estas estrategias. Se requieren también mecanismos preventivos y de vigilancia a nivel estatal, que permitan tanto la </w:t>
            </w:r>
            <w:r w:rsidRPr="00077C2A">
              <w:rPr>
                <w:rFonts w:ascii="Calibri" w:eastAsia="Times New Roman" w:hAnsi="Calibri" w:cs="Times New Roman"/>
                <w:color w:val="000000"/>
                <w:sz w:val="22"/>
                <w:szCs w:val="22"/>
                <w:lang w:eastAsia="es-ES"/>
              </w:rPr>
              <w:lastRenderedPageBreak/>
              <w:t>identificación temprana de las mujeres vulnerables desde su diagnóstico de VIH, como la generación de  acciones inmediatas para la vinculación  fuentes de apoyo estatal y de las organizaciones de la sociedad civil para las problemáticas descritas, tanto económicas como de derechos humanos y legales principalmente.</w:t>
            </w:r>
          </w:p>
        </w:tc>
        <w:tc>
          <w:tcPr>
            <w:tcW w:w="471" w:type="pct"/>
            <w:tcBorders>
              <w:top w:val="nil"/>
              <w:left w:val="nil"/>
              <w:bottom w:val="single" w:sz="4" w:space="0" w:color="auto"/>
              <w:right w:val="single" w:sz="4" w:space="0" w:color="auto"/>
            </w:tcBorders>
            <w:shd w:val="clear" w:color="auto" w:fill="auto"/>
            <w:vAlign w:val="center"/>
          </w:tcPr>
          <w:p w14:paraId="5C4FE710" w14:textId="77777777" w:rsidR="00077C2A" w:rsidRPr="00077C2A" w:rsidRDefault="00077C2A" w:rsidP="00077C2A">
            <w:pPr>
              <w:autoSpaceDE w:val="0"/>
              <w:autoSpaceDN w:val="0"/>
              <w:spacing w:line="276" w:lineRule="auto"/>
              <w:jc w:val="center"/>
              <w:rPr>
                <w:rFonts w:ascii="Calibri" w:eastAsia="Times New Roman" w:hAnsi="Calibri" w:cs="Calibri"/>
                <w:color w:val="000000"/>
                <w:sz w:val="22"/>
                <w:szCs w:val="22"/>
                <w:lang w:val="en-US" w:eastAsia="es-ES"/>
              </w:rPr>
            </w:pPr>
            <w:r w:rsidRPr="00077C2A">
              <w:rPr>
                <w:rFonts w:ascii="Calibri" w:eastAsia="Times New Roman" w:hAnsi="Calibri" w:cs="Calibri"/>
                <w:color w:val="000000"/>
                <w:sz w:val="22"/>
                <w:szCs w:val="22"/>
                <w:lang w:val="en-US" w:eastAsia="es-ES"/>
              </w:rPr>
              <w:lastRenderedPageBreak/>
              <w:t>25/09/2020 – 31/12/2020</w:t>
            </w:r>
          </w:p>
        </w:tc>
        <w:tc>
          <w:tcPr>
            <w:tcW w:w="629" w:type="pct"/>
            <w:tcBorders>
              <w:top w:val="nil"/>
              <w:left w:val="nil"/>
              <w:bottom w:val="single" w:sz="4" w:space="0" w:color="auto"/>
              <w:right w:val="single" w:sz="4" w:space="0" w:color="auto"/>
            </w:tcBorders>
            <w:shd w:val="clear" w:color="auto" w:fill="auto"/>
            <w:vAlign w:val="center"/>
          </w:tcPr>
          <w:p w14:paraId="006047BA"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val="en-US" w:eastAsia="es-ES"/>
              </w:rPr>
            </w:pPr>
            <w:r w:rsidRPr="00077C2A">
              <w:rPr>
                <w:rFonts w:ascii="Calibri" w:eastAsia="Times New Roman" w:hAnsi="Calibri" w:cs="Times New Roman"/>
                <w:color w:val="000000"/>
                <w:sz w:val="22"/>
                <w:szCs w:val="22"/>
                <w:lang w:val="en-US" w:eastAsia="es-ES"/>
              </w:rPr>
              <w:t>Evangelista García Angelica Aremy</w:t>
            </w:r>
          </w:p>
        </w:tc>
      </w:tr>
      <w:tr w:rsidR="00077C2A" w:rsidRPr="00077C2A" w14:paraId="5FE98CDF" w14:textId="77777777" w:rsidTr="008E717E">
        <w:trPr>
          <w:trHeight w:val="1975"/>
        </w:trPr>
        <w:tc>
          <w:tcPr>
            <w:tcW w:w="655" w:type="pct"/>
            <w:tcBorders>
              <w:top w:val="nil"/>
              <w:left w:val="single" w:sz="4" w:space="0" w:color="auto"/>
              <w:bottom w:val="single" w:sz="4" w:space="0" w:color="auto"/>
              <w:right w:val="single" w:sz="4" w:space="0" w:color="auto"/>
            </w:tcBorders>
            <w:shd w:val="clear" w:color="auto" w:fill="auto"/>
            <w:vAlign w:val="center"/>
          </w:tcPr>
          <w:p w14:paraId="5924D293"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Compartir en Red: Fortaleciendo sistemas locales alimentarios.</w:t>
            </w:r>
          </w:p>
        </w:tc>
        <w:tc>
          <w:tcPr>
            <w:tcW w:w="621" w:type="pct"/>
            <w:tcBorders>
              <w:top w:val="nil"/>
              <w:left w:val="nil"/>
              <w:bottom w:val="single" w:sz="4" w:space="0" w:color="auto"/>
              <w:right w:val="single" w:sz="4" w:space="0" w:color="auto"/>
            </w:tcBorders>
            <w:shd w:val="clear" w:color="auto" w:fill="auto"/>
            <w:vAlign w:val="center"/>
          </w:tcPr>
          <w:p w14:paraId="74AF25E9"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Consejo Nacional de Ciencia y Tecnología</w:t>
            </w:r>
          </w:p>
        </w:tc>
        <w:tc>
          <w:tcPr>
            <w:tcW w:w="494" w:type="pct"/>
            <w:tcBorders>
              <w:top w:val="nil"/>
              <w:left w:val="nil"/>
              <w:bottom w:val="single" w:sz="4" w:space="0" w:color="auto"/>
              <w:right w:val="single" w:sz="4" w:space="0" w:color="auto"/>
            </w:tcBorders>
            <w:shd w:val="clear" w:color="auto" w:fill="auto"/>
            <w:vAlign w:val="center"/>
          </w:tcPr>
          <w:p w14:paraId="7E4E485D"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535,052.52</w:t>
            </w:r>
          </w:p>
        </w:tc>
        <w:tc>
          <w:tcPr>
            <w:tcW w:w="494" w:type="pct"/>
            <w:tcBorders>
              <w:top w:val="nil"/>
              <w:left w:val="nil"/>
              <w:bottom w:val="single" w:sz="4" w:space="0" w:color="auto"/>
              <w:right w:val="single" w:sz="4" w:space="0" w:color="auto"/>
            </w:tcBorders>
            <w:shd w:val="clear" w:color="auto" w:fill="auto"/>
            <w:vAlign w:val="center"/>
          </w:tcPr>
          <w:p w14:paraId="1C3B0735"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535,052.52</w:t>
            </w:r>
          </w:p>
        </w:tc>
        <w:tc>
          <w:tcPr>
            <w:tcW w:w="1637" w:type="pct"/>
            <w:tcBorders>
              <w:top w:val="nil"/>
              <w:left w:val="nil"/>
              <w:bottom w:val="single" w:sz="4" w:space="0" w:color="auto"/>
              <w:right w:val="single" w:sz="4" w:space="0" w:color="auto"/>
            </w:tcBorders>
            <w:shd w:val="clear" w:color="auto" w:fill="auto"/>
            <w:vAlign w:val="center"/>
          </w:tcPr>
          <w:p w14:paraId="1F9033A1"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Las personas que integran las iniciativas manifestaron su interés en formarse como red y en buscar estrategias para llevar alimentos de producción agroecológica a todos los barrios de la ciudad. Este proyecto es un ejemplo de colaboración entre la academia y las iniciativas de base.</w:t>
            </w:r>
          </w:p>
        </w:tc>
        <w:tc>
          <w:tcPr>
            <w:tcW w:w="471" w:type="pct"/>
            <w:tcBorders>
              <w:top w:val="nil"/>
              <w:left w:val="nil"/>
              <w:bottom w:val="single" w:sz="4" w:space="0" w:color="auto"/>
              <w:right w:val="single" w:sz="4" w:space="0" w:color="auto"/>
            </w:tcBorders>
            <w:shd w:val="clear" w:color="auto" w:fill="auto"/>
            <w:vAlign w:val="center"/>
          </w:tcPr>
          <w:p w14:paraId="7A1963E1" w14:textId="77777777" w:rsidR="00077C2A" w:rsidRPr="00077C2A" w:rsidRDefault="00077C2A" w:rsidP="00077C2A">
            <w:pPr>
              <w:autoSpaceDE w:val="0"/>
              <w:autoSpaceDN w:val="0"/>
              <w:spacing w:line="276" w:lineRule="auto"/>
              <w:jc w:val="center"/>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26/08/2020 – 30/11/2020</w:t>
            </w:r>
          </w:p>
        </w:tc>
        <w:tc>
          <w:tcPr>
            <w:tcW w:w="629" w:type="pct"/>
            <w:tcBorders>
              <w:top w:val="nil"/>
              <w:left w:val="nil"/>
              <w:bottom w:val="single" w:sz="4" w:space="0" w:color="auto"/>
              <w:right w:val="single" w:sz="4" w:space="0" w:color="auto"/>
            </w:tcBorders>
            <w:shd w:val="clear" w:color="auto" w:fill="auto"/>
            <w:vAlign w:val="center"/>
          </w:tcPr>
          <w:p w14:paraId="3B199803"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sz w:val="22"/>
                <w:szCs w:val="22"/>
                <w:lang w:eastAsia="es-ES"/>
              </w:rPr>
              <w:t>Morales Helda Eleonora de Guadalupe</w:t>
            </w:r>
          </w:p>
        </w:tc>
      </w:tr>
      <w:tr w:rsidR="00077C2A" w:rsidRPr="00077C2A" w14:paraId="674554D2" w14:textId="77777777" w:rsidTr="008E717E">
        <w:trPr>
          <w:trHeight w:val="1412"/>
        </w:trPr>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1DCE226D"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sz w:val="22"/>
                <w:szCs w:val="22"/>
                <w:lang w:eastAsia="es-ES"/>
              </w:rPr>
              <w:t xml:space="preserve">Programa de salud ambiental para la disminución de las desigualdades socioambientales derivadas de la exposición a contaminantes en la región de </w:t>
            </w:r>
            <w:r w:rsidRPr="00077C2A">
              <w:rPr>
                <w:rFonts w:ascii="Calibri" w:eastAsia="Times New Roman" w:hAnsi="Calibri" w:cs="Times New Roman"/>
                <w:sz w:val="22"/>
                <w:szCs w:val="22"/>
                <w:lang w:eastAsia="es-ES"/>
              </w:rPr>
              <w:lastRenderedPageBreak/>
              <w:t>Coatzacoalcos-Minatitlán-Jaltipan de Morelos, Veracruz.</w:t>
            </w:r>
          </w:p>
        </w:tc>
        <w:tc>
          <w:tcPr>
            <w:tcW w:w="621" w:type="pct"/>
            <w:tcBorders>
              <w:top w:val="single" w:sz="4" w:space="0" w:color="auto"/>
              <w:left w:val="nil"/>
              <w:bottom w:val="single" w:sz="4" w:space="0" w:color="auto"/>
              <w:right w:val="single" w:sz="4" w:space="0" w:color="auto"/>
            </w:tcBorders>
            <w:shd w:val="clear" w:color="auto" w:fill="auto"/>
            <w:vAlign w:val="center"/>
          </w:tcPr>
          <w:p w14:paraId="080B7A28"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lastRenderedPageBreak/>
              <w:t>Fondo Institucional de Fomento Regional para el Desarrollo Científico, Tecnológico y de Innovación</w:t>
            </w:r>
          </w:p>
        </w:tc>
        <w:tc>
          <w:tcPr>
            <w:tcW w:w="494" w:type="pct"/>
            <w:tcBorders>
              <w:top w:val="single" w:sz="4" w:space="0" w:color="auto"/>
              <w:left w:val="nil"/>
              <w:bottom w:val="single" w:sz="4" w:space="0" w:color="auto"/>
              <w:right w:val="single" w:sz="4" w:space="0" w:color="auto"/>
            </w:tcBorders>
            <w:shd w:val="clear" w:color="auto" w:fill="auto"/>
            <w:vAlign w:val="center"/>
          </w:tcPr>
          <w:p w14:paraId="3B59F9BE"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76,283.76</w:t>
            </w:r>
          </w:p>
        </w:tc>
        <w:tc>
          <w:tcPr>
            <w:tcW w:w="494" w:type="pct"/>
            <w:tcBorders>
              <w:top w:val="single" w:sz="4" w:space="0" w:color="auto"/>
              <w:left w:val="nil"/>
              <w:bottom w:val="single" w:sz="4" w:space="0" w:color="auto"/>
              <w:right w:val="single" w:sz="4" w:space="0" w:color="auto"/>
            </w:tcBorders>
            <w:shd w:val="clear" w:color="auto" w:fill="auto"/>
            <w:vAlign w:val="center"/>
          </w:tcPr>
          <w:p w14:paraId="05CEC41F"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76,283.76</w:t>
            </w:r>
          </w:p>
        </w:tc>
        <w:tc>
          <w:tcPr>
            <w:tcW w:w="1637" w:type="pct"/>
            <w:tcBorders>
              <w:top w:val="single" w:sz="4" w:space="0" w:color="auto"/>
              <w:left w:val="nil"/>
              <w:bottom w:val="single" w:sz="4" w:space="0" w:color="auto"/>
              <w:right w:val="single" w:sz="4" w:space="0" w:color="auto"/>
            </w:tcBorders>
            <w:shd w:val="clear" w:color="auto" w:fill="auto"/>
            <w:vAlign w:val="center"/>
          </w:tcPr>
          <w:p w14:paraId="6846816C"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Se genera una propuesta de política pública nacional para atender los sitios impactados por la actividad petrolera.</w:t>
            </w:r>
          </w:p>
        </w:tc>
        <w:tc>
          <w:tcPr>
            <w:tcW w:w="471" w:type="pct"/>
            <w:tcBorders>
              <w:top w:val="single" w:sz="4" w:space="0" w:color="auto"/>
              <w:left w:val="nil"/>
              <w:bottom w:val="single" w:sz="4" w:space="0" w:color="auto"/>
              <w:right w:val="single" w:sz="4" w:space="0" w:color="auto"/>
            </w:tcBorders>
            <w:shd w:val="clear" w:color="auto" w:fill="auto"/>
            <w:vAlign w:val="center"/>
          </w:tcPr>
          <w:p w14:paraId="73DFF3DB" w14:textId="77777777" w:rsidR="00077C2A" w:rsidRPr="00077C2A" w:rsidRDefault="00077C2A" w:rsidP="00077C2A">
            <w:pPr>
              <w:autoSpaceDE w:val="0"/>
              <w:autoSpaceDN w:val="0"/>
              <w:spacing w:line="276" w:lineRule="auto"/>
              <w:jc w:val="center"/>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17/10/2020 – 23/04/2021</w:t>
            </w:r>
          </w:p>
        </w:tc>
        <w:tc>
          <w:tcPr>
            <w:tcW w:w="629" w:type="pct"/>
            <w:tcBorders>
              <w:top w:val="single" w:sz="4" w:space="0" w:color="auto"/>
              <w:left w:val="nil"/>
              <w:bottom w:val="single" w:sz="4" w:space="0" w:color="auto"/>
              <w:right w:val="single" w:sz="4" w:space="0" w:color="auto"/>
            </w:tcBorders>
            <w:shd w:val="clear" w:color="auto" w:fill="auto"/>
            <w:vAlign w:val="center"/>
          </w:tcPr>
          <w:p w14:paraId="719B20C7"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sz w:val="22"/>
                <w:szCs w:val="22"/>
                <w:lang w:val="en-US" w:eastAsia="es-ES"/>
              </w:rPr>
              <w:t>Torres Dosal Arturo</w:t>
            </w:r>
          </w:p>
        </w:tc>
      </w:tr>
      <w:tr w:rsidR="00077C2A" w:rsidRPr="00077C2A" w14:paraId="43D62347" w14:textId="77777777" w:rsidTr="008E717E">
        <w:trPr>
          <w:trHeight w:val="2175"/>
        </w:trPr>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69D3F718"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sz w:val="22"/>
                <w:szCs w:val="22"/>
                <w:lang w:eastAsia="es-ES"/>
              </w:rPr>
              <w:t>Sistemas socioecológicos sustentables en territorios cafetaleros del sureste de México.</w:t>
            </w:r>
            <w:r w:rsidRPr="00077C2A">
              <w:rPr>
                <w:rFonts w:ascii="Calibri" w:eastAsia="Times New Roman" w:hAnsi="Calibri" w:cs="Times New Roman"/>
                <w:sz w:val="22"/>
                <w:szCs w:val="22"/>
                <w:lang w:eastAsia="es-ES"/>
              </w:rPr>
              <w:br/>
              <w:t>Sistemas socioecológicos sustentables en territorios cafetaleros del sureste de México.                                                                  Sistemas socioecológicos sustentables en territorios cafetaleros del sureste de México.</w:t>
            </w:r>
          </w:p>
        </w:tc>
        <w:tc>
          <w:tcPr>
            <w:tcW w:w="621" w:type="pct"/>
            <w:tcBorders>
              <w:top w:val="single" w:sz="4" w:space="0" w:color="auto"/>
              <w:left w:val="nil"/>
              <w:bottom w:val="single" w:sz="4" w:space="0" w:color="auto"/>
              <w:right w:val="single" w:sz="4" w:space="0" w:color="auto"/>
            </w:tcBorders>
            <w:shd w:val="clear" w:color="auto" w:fill="auto"/>
            <w:vAlign w:val="center"/>
          </w:tcPr>
          <w:p w14:paraId="03BB48C3"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sz w:val="22"/>
                <w:szCs w:val="22"/>
                <w:lang w:eastAsia="es-ES"/>
              </w:rPr>
              <w:t>Fondo Institucional de Fomento Regional para el Desarrollo Científico, Tecnológico y de Innovación</w:t>
            </w:r>
          </w:p>
        </w:tc>
        <w:tc>
          <w:tcPr>
            <w:tcW w:w="494" w:type="pct"/>
            <w:tcBorders>
              <w:top w:val="single" w:sz="4" w:space="0" w:color="auto"/>
              <w:left w:val="nil"/>
              <w:bottom w:val="single" w:sz="4" w:space="0" w:color="auto"/>
              <w:right w:val="single" w:sz="4" w:space="0" w:color="auto"/>
            </w:tcBorders>
            <w:shd w:val="clear" w:color="auto" w:fill="auto"/>
            <w:vAlign w:val="center"/>
          </w:tcPr>
          <w:p w14:paraId="42E309AD"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68,499.61</w:t>
            </w:r>
          </w:p>
        </w:tc>
        <w:tc>
          <w:tcPr>
            <w:tcW w:w="494" w:type="pct"/>
            <w:tcBorders>
              <w:top w:val="single" w:sz="4" w:space="0" w:color="auto"/>
              <w:left w:val="nil"/>
              <w:bottom w:val="single" w:sz="4" w:space="0" w:color="auto"/>
              <w:right w:val="single" w:sz="4" w:space="0" w:color="auto"/>
            </w:tcBorders>
            <w:shd w:val="clear" w:color="auto" w:fill="auto"/>
            <w:vAlign w:val="center"/>
          </w:tcPr>
          <w:p w14:paraId="1AF70B77"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68,499.61</w:t>
            </w:r>
          </w:p>
        </w:tc>
        <w:tc>
          <w:tcPr>
            <w:tcW w:w="1637" w:type="pct"/>
            <w:tcBorders>
              <w:top w:val="single" w:sz="4" w:space="0" w:color="auto"/>
              <w:left w:val="nil"/>
              <w:bottom w:val="single" w:sz="4" w:space="0" w:color="auto"/>
              <w:right w:val="single" w:sz="4" w:space="0" w:color="auto"/>
            </w:tcBorders>
            <w:shd w:val="clear" w:color="auto" w:fill="auto"/>
            <w:vAlign w:val="center"/>
          </w:tcPr>
          <w:p w14:paraId="127F9100"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La propuesta contribuirá al fortalecimiento de los medios de vida de las familias campesinas del territorio cafetalero.</w:t>
            </w:r>
          </w:p>
        </w:tc>
        <w:tc>
          <w:tcPr>
            <w:tcW w:w="471" w:type="pct"/>
            <w:tcBorders>
              <w:top w:val="single" w:sz="4" w:space="0" w:color="auto"/>
              <w:left w:val="nil"/>
              <w:bottom w:val="single" w:sz="4" w:space="0" w:color="auto"/>
              <w:right w:val="single" w:sz="4" w:space="0" w:color="auto"/>
            </w:tcBorders>
            <w:shd w:val="clear" w:color="auto" w:fill="auto"/>
            <w:vAlign w:val="center"/>
          </w:tcPr>
          <w:p w14:paraId="42EA6C64" w14:textId="77777777" w:rsidR="00077C2A" w:rsidRPr="00077C2A" w:rsidRDefault="00077C2A" w:rsidP="00077C2A">
            <w:pPr>
              <w:autoSpaceDE w:val="0"/>
              <w:autoSpaceDN w:val="0"/>
              <w:spacing w:line="276" w:lineRule="auto"/>
              <w:jc w:val="center"/>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17/10/2020 – 30/04/2021</w:t>
            </w:r>
          </w:p>
        </w:tc>
        <w:tc>
          <w:tcPr>
            <w:tcW w:w="629" w:type="pct"/>
            <w:tcBorders>
              <w:top w:val="single" w:sz="4" w:space="0" w:color="auto"/>
              <w:left w:val="nil"/>
              <w:bottom w:val="single" w:sz="4" w:space="0" w:color="auto"/>
              <w:right w:val="single" w:sz="4" w:space="0" w:color="auto"/>
            </w:tcBorders>
            <w:shd w:val="clear" w:color="auto" w:fill="auto"/>
            <w:vAlign w:val="center"/>
          </w:tcPr>
          <w:p w14:paraId="364D056E"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Soto Pinto María Lorena</w:t>
            </w:r>
          </w:p>
        </w:tc>
      </w:tr>
      <w:tr w:rsidR="00077C2A" w:rsidRPr="00077C2A" w14:paraId="0DF35CBF" w14:textId="77777777" w:rsidTr="008E717E">
        <w:trPr>
          <w:trHeight w:val="2175"/>
        </w:trPr>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09143E3A"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sz w:val="22"/>
                <w:szCs w:val="22"/>
                <w:lang w:eastAsia="es-ES"/>
              </w:rPr>
              <w:lastRenderedPageBreak/>
              <w:t>Abejas y territorios: análisis y fortalecimiento del papel de los apicultores del sureste de México en la sustentabilidad de sus territorios en un contexto de intensificación agrícola.</w:t>
            </w:r>
          </w:p>
        </w:tc>
        <w:tc>
          <w:tcPr>
            <w:tcW w:w="621" w:type="pct"/>
            <w:tcBorders>
              <w:top w:val="single" w:sz="4" w:space="0" w:color="auto"/>
              <w:left w:val="nil"/>
              <w:bottom w:val="single" w:sz="4" w:space="0" w:color="auto"/>
              <w:right w:val="single" w:sz="4" w:space="0" w:color="auto"/>
            </w:tcBorders>
            <w:shd w:val="clear" w:color="auto" w:fill="auto"/>
            <w:vAlign w:val="center"/>
          </w:tcPr>
          <w:p w14:paraId="68A3EBF8"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sz w:val="22"/>
                <w:szCs w:val="22"/>
                <w:lang w:eastAsia="es-ES"/>
              </w:rPr>
              <w:t>Fondo Institucional de Fomento Regional para el Desarrollo Científico, Tecnológico y de Innovación</w:t>
            </w:r>
          </w:p>
        </w:tc>
        <w:tc>
          <w:tcPr>
            <w:tcW w:w="494" w:type="pct"/>
            <w:tcBorders>
              <w:top w:val="single" w:sz="4" w:space="0" w:color="auto"/>
              <w:left w:val="nil"/>
              <w:bottom w:val="single" w:sz="4" w:space="0" w:color="auto"/>
              <w:right w:val="single" w:sz="4" w:space="0" w:color="auto"/>
            </w:tcBorders>
            <w:shd w:val="clear" w:color="auto" w:fill="auto"/>
            <w:vAlign w:val="center"/>
          </w:tcPr>
          <w:p w14:paraId="73A06C12"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50,901.99</w:t>
            </w:r>
          </w:p>
        </w:tc>
        <w:tc>
          <w:tcPr>
            <w:tcW w:w="494" w:type="pct"/>
            <w:tcBorders>
              <w:top w:val="single" w:sz="4" w:space="0" w:color="auto"/>
              <w:left w:val="nil"/>
              <w:bottom w:val="single" w:sz="4" w:space="0" w:color="auto"/>
              <w:right w:val="single" w:sz="4" w:space="0" w:color="auto"/>
            </w:tcBorders>
            <w:shd w:val="clear" w:color="auto" w:fill="auto"/>
            <w:vAlign w:val="center"/>
          </w:tcPr>
          <w:p w14:paraId="6C5EECB7"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50,901.99</w:t>
            </w:r>
          </w:p>
        </w:tc>
        <w:tc>
          <w:tcPr>
            <w:tcW w:w="1637" w:type="pct"/>
            <w:tcBorders>
              <w:top w:val="single" w:sz="4" w:space="0" w:color="auto"/>
              <w:left w:val="nil"/>
              <w:bottom w:val="single" w:sz="4" w:space="0" w:color="auto"/>
              <w:right w:val="single" w:sz="4" w:space="0" w:color="auto"/>
            </w:tcBorders>
            <w:shd w:val="clear" w:color="auto" w:fill="auto"/>
            <w:vAlign w:val="center"/>
          </w:tcPr>
          <w:p w14:paraId="10AC2431"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Investigación e incidencia a favor de la defensa de territorios rurales.</w:t>
            </w:r>
          </w:p>
        </w:tc>
        <w:tc>
          <w:tcPr>
            <w:tcW w:w="471" w:type="pct"/>
            <w:tcBorders>
              <w:top w:val="single" w:sz="4" w:space="0" w:color="auto"/>
              <w:left w:val="nil"/>
              <w:bottom w:val="single" w:sz="4" w:space="0" w:color="auto"/>
              <w:right w:val="single" w:sz="4" w:space="0" w:color="auto"/>
            </w:tcBorders>
            <w:shd w:val="clear" w:color="auto" w:fill="auto"/>
            <w:vAlign w:val="center"/>
          </w:tcPr>
          <w:p w14:paraId="36F51B15" w14:textId="77777777" w:rsidR="00077C2A" w:rsidRPr="00077C2A" w:rsidRDefault="00077C2A" w:rsidP="00077C2A">
            <w:pPr>
              <w:autoSpaceDE w:val="0"/>
              <w:autoSpaceDN w:val="0"/>
              <w:spacing w:line="276" w:lineRule="auto"/>
              <w:jc w:val="center"/>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21/10/2020 - 21/01/2021</w:t>
            </w:r>
          </w:p>
        </w:tc>
        <w:tc>
          <w:tcPr>
            <w:tcW w:w="629" w:type="pct"/>
            <w:tcBorders>
              <w:top w:val="single" w:sz="4" w:space="0" w:color="auto"/>
              <w:left w:val="nil"/>
              <w:bottom w:val="single" w:sz="4" w:space="0" w:color="auto"/>
              <w:right w:val="single" w:sz="4" w:space="0" w:color="auto"/>
            </w:tcBorders>
            <w:shd w:val="clear" w:color="auto" w:fill="auto"/>
            <w:vAlign w:val="center"/>
          </w:tcPr>
          <w:p w14:paraId="741CBFB4"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Vandame Remy Benoit Marie</w:t>
            </w:r>
          </w:p>
        </w:tc>
      </w:tr>
      <w:tr w:rsidR="00077C2A" w:rsidRPr="00077C2A" w14:paraId="1ED9B88A" w14:textId="77777777" w:rsidTr="008E717E">
        <w:trPr>
          <w:trHeight w:val="2175"/>
        </w:trPr>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4C39C4B5"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Violencia de género en ámbitos comunitarios entre estudiantes de universidades  interculturales  de Chiapas, Tabasco,  y Quintana Roo.</w:t>
            </w:r>
          </w:p>
        </w:tc>
        <w:tc>
          <w:tcPr>
            <w:tcW w:w="621" w:type="pct"/>
            <w:tcBorders>
              <w:top w:val="single" w:sz="4" w:space="0" w:color="auto"/>
              <w:left w:val="nil"/>
              <w:bottom w:val="single" w:sz="4" w:space="0" w:color="auto"/>
              <w:right w:val="single" w:sz="4" w:space="0" w:color="auto"/>
            </w:tcBorders>
            <w:shd w:val="clear" w:color="auto" w:fill="auto"/>
            <w:vAlign w:val="center"/>
          </w:tcPr>
          <w:p w14:paraId="5F3C2BDE"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sz w:val="22"/>
                <w:szCs w:val="22"/>
                <w:lang w:val="en-US" w:eastAsia="es-ES"/>
              </w:rPr>
              <w:t>Fondo Sectorial INMUJERES</w:t>
            </w:r>
          </w:p>
        </w:tc>
        <w:tc>
          <w:tcPr>
            <w:tcW w:w="494" w:type="pct"/>
            <w:tcBorders>
              <w:top w:val="single" w:sz="4" w:space="0" w:color="auto"/>
              <w:left w:val="nil"/>
              <w:bottom w:val="single" w:sz="4" w:space="0" w:color="auto"/>
              <w:right w:val="single" w:sz="4" w:space="0" w:color="auto"/>
            </w:tcBorders>
            <w:shd w:val="clear" w:color="auto" w:fill="auto"/>
            <w:vAlign w:val="center"/>
          </w:tcPr>
          <w:p w14:paraId="226BD4DE"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1,115,728.32</w:t>
            </w:r>
          </w:p>
        </w:tc>
        <w:tc>
          <w:tcPr>
            <w:tcW w:w="494" w:type="pct"/>
            <w:tcBorders>
              <w:top w:val="single" w:sz="4" w:space="0" w:color="auto"/>
              <w:left w:val="nil"/>
              <w:bottom w:val="single" w:sz="4" w:space="0" w:color="auto"/>
              <w:right w:val="single" w:sz="4" w:space="0" w:color="auto"/>
            </w:tcBorders>
            <w:shd w:val="clear" w:color="auto" w:fill="auto"/>
            <w:vAlign w:val="center"/>
          </w:tcPr>
          <w:p w14:paraId="1DD20DBC"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1,115,728.32</w:t>
            </w:r>
          </w:p>
        </w:tc>
        <w:tc>
          <w:tcPr>
            <w:tcW w:w="1637" w:type="pct"/>
            <w:tcBorders>
              <w:top w:val="single" w:sz="4" w:space="0" w:color="auto"/>
              <w:left w:val="nil"/>
              <w:bottom w:val="single" w:sz="4" w:space="0" w:color="auto"/>
              <w:right w:val="single" w:sz="4" w:space="0" w:color="auto"/>
            </w:tcBorders>
            <w:shd w:val="clear" w:color="auto" w:fill="auto"/>
            <w:vAlign w:val="center"/>
          </w:tcPr>
          <w:p w14:paraId="1E65AAE8"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 xml:space="preserve">Los resultados, reflexiones y propuestas derivadas del proyecto contribuirán a la construcción de ámbitos de conocimiento libres de sexismo, segregación, violencia, discriminación y cualquier otra forma de desigualdad basada en la condición de género a través de la participación en instancias como el Observatorio Nacional para la Igualdad de Género en las Instituciones de Educación Superior (ONIGIES), la Red Nacional de Instituciones de Educación Superior (RENIES) y el Comité de Ética de Ecosur. Recientemente </w:t>
            </w:r>
            <w:r w:rsidRPr="00077C2A">
              <w:rPr>
                <w:rFonts w:ascii="Calibri" w:eastAsia="Times New Roman" w:hAnsi="Calibri" w:cs="Times New Roman"/>
                <w:color w:val="000000"/>
                <w:sz w:val="22"/>
                <w:szCs w:val="22"/>
                <w:lang w:eastAsia="es-ES"/>
              </w:rPr>
              <w:lastRenderedPageBreak/>
              <w:t>colegas de la UNICH compartieron que su actual rectora está interesada en la formulación de un Protocolo de Atención, Prevención y Sanción de las violencias con lo cual se abre la oportunidad de presentar los resultados del proyecto en términos de las sugerencias que las estudiantes que participaron en la investigación hicieron en materia de prevención de las violencias en el ámbito comunitario durante las actividades de vinculación.</w:t>
            </w:r>
          </w:p>
        </w:tc>
        <w:tc>
          <w:tcPr>
            <w:tcW w:w="471" w:type="pct"/>
            <w:tcBorders>
              <w:top w:val="single" w:sz="4" w:space="0" w:color="auto"/>
              <w:left w:val="nil"/>
              <w:bottom w:val="single" w:sz="4" w:space="0" w:color="auto"/>
              <w:right w:val="single" w:sz="4" w:space="0" w:color="auto"/>
            </w:tcBorders>
            <w:shd w:val="clear" w:color="auto" w:fill="auto"/>
            <w:vAlign w:val="center"/>
          </w:tcPr>
          <w:p w14:paraId="3D5A564E" w14:textId="77777777" w:rsidR="00077C2A" w:rsidRPr="00077C2A" w:rsidRDefault="00077C2A" w:rsidP="00077C2A">
            <w:pPr>
              <w:autoSpaceDE w:val="0"/>
              <w:autoSpaceDN w:val="0"/>
              <w:spacing w:line="276" w:lineRule="auto"/>
              <w:jc w:val="center"/>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lastRenderedPageBreak/>
              <w:t>01/03/2018 – 28/02/2021</w:t>
            </w:r>
          </w:p>
        </w:tc>
        <w:tc>
          <w:tcPr>
            <w:tcW w:w="629" w:type="pct"/>
            <w:tcBorders>
              <w:top w:val="single" w:sz="4" w:space="0" w:color="auto"/>
              <w:left w:val="nil"/>
              <w:bottom w:val="single" w:sz="4" w:space="0" w:color="auto"/>
              <w:right w:val="single" w:sz="4" w:space="0" w:color="auto"/>
            </w:tcBorders>
            <w:shd w:val="clear" w:color="auto" w:fill="auto"/>
            <w:vAlign w:val="center"/>
          </w:tcPr>
          <w:p w14:paraId="4DADC7E0"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Evangelista García Angelica Aremy</w:t>
            </w:r>
          </w:p>
        </w:tc>
      </w:tr>
      <w:tr w:rsidR="00077C2A" w:rsidRPr="00077C2A" w14:paraId="7C1398D2" w14:textId="77777777" w:rsidTr="008E717E">
        <w:trPr>
          <w:trHeight w:val="2175"/>
        </w:trPr>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218949A5"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sz w:val="22"/>
                <w:szCs w:val="22"/>
                <w:lang w:eastAsia="es-ES"/>
              </w:rPr>
              <w:t>Detección de SARS-CoV-2 en aguas residuales como herramienta de monitoreo de COVID-19 en al Frontera Sur de México</w:t>
            </w:r>
          </w:p>
        </w:tc>
        <w:tc>
          <w:tcPr>
            <w:tcW w:w="621" w:type="pct"/>
            <w:tcBorders>
              <w:top w:val="single" w:sz="4" w:space="0" w:color="auto"/>
              <w:left w:val="nil"/>
              <w:bottom w:val="single" w:sz="4" w:space="0" w:color="auto"/>
              <w:right w:val="single" w:sz="4" w:space="0" w:color="auto"/>
            </w:tcBorders>
            <w:shd w:val="clear" w:color="auto" w:fill="auto"/>
            <w:vAlign w:val="center"/>
          </w:tcPr>
          <w:p w14:paraId="2ADB0BAB"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sz w:val="22"/>
                <w:szCs w:val="22"/>
                <w:lang w:eastAsia="es-ES"/>
              </w:rPr>
              <w:t>Consejo Nacional de Ciencia y Tecnología</w:t>
            </w:r>
          </w:p>
        </w:tc>
        <w:tc>
          <w:tcPr>
            <w:tcW w:w="494" w:type="pct"/>
            <w:tcBorders>
              <w:top w:val="single" w:sz="4" w:space="0" w:color="auto"/>
              <w:left w:val="nil"/>
              <w:bottom w:val="single" w:sz="4" w:space="0" w:color="auto"/>
              <w:right w:val="single" w:sz="4" w:space="0" w:color="auto"/>
            </w:tcBorders>
            <w:shd w:val="clear" w:color="auto" w:fill="auto"/>
            <w:vAlign w:val="center"/>
          </w:tcPr>
          <w:p w14:paraId="305B78F6"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2,219,399.07</w:t>
            </w:r>
          </w:p>
        </w:tc>
        <w:tc>
          <w:tcPr>
            <w:tcW w:w="494" w:type="pct"/>
            <w:tcBorders>
              <w:top w:val="single" w:sz="4" w:space="0" w:color="auto"/>
              <w:left w:val="nil"/>
              <w:bottom w:val="single" w:sz="4" w:space="0" w:color="auto"/>
              <w:right w:val="single" w:sz="4" w:space="0" w:color="auto"/>
            </w:tcBorders>
            <w:shd w:val="clear" w:color="auto" w:fill="auto"/>
            <w:vAlign w:val="center"/>
          </w:tcPr>
          <w:p w14:paraId="403C470A"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2,219,399.07</w:t>
            </w:r>
          </w:p>
        </w:tc>
        <w:tc>
          <w:tcPr>
            <w:tcW w:w="1637" w:type="pct"/>
            <w:tcBorders>
              <w:top w:val="single" w:sz="4" w:space="0" w:color="auto"/>
              <w:left w:val="nil"/>
              <w:bottom w:val="single" w:sz="4" w:space="0" w:color="auto"/>
              <w:right w:val="single" w:sz="4" w:space="0" w:color="auto"/>
            </w:tcBorders>
            <w:shd w:val="clear" w:color="auto" w:fill="auto"/>
            <w:vAlign w:val="center"/>
          </w:tcPr>
          <w:p w14:paraId="637E2405"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 xml:space="preserve">Este proyecto permitió generar evidencia para determinar la presencia de SARS-CoV-2 mediante detección de trazas virales en muestras ambientales. Los datos generados muestran la factibilidad de usar las metodologías optimizadas en este proyecto para implementar estrategias de monitoreo de la dispersión del virus en poblaciones urbanas de la región sur de México, dado que prevalecen condiciones climáticas tropicales similares a las de la zona estudiada. Esto permitiría a las autoridades establecer estrategias de monitoreo en aguas residuales domésticas como las que se están llevando a cabo en </w:t>
            </w:r>
            <w:r w:rsidRPr="00077C2A">
              <w:rPr>
                <w:rFonts w:ascii="Calibri" w:eastAsia="Times New Roman" w:hAnsi="Calibri" w:cs="Times New Roman"/>
                <w:color w:val="000000"/>
                <w:sz w:val="22"/>
                <w:szCs w:val="22"/>
                <w:lang w:eastAsia="es-ES"/>
              </w:rPr>
              <w:lastRenderedPageBreak/>
              <w:t>países como Francia (https://es.euronews.com/2021/02/08/y-si-la-clave-para-detectar-la-covid-19-estuviera-en-las-aguas-fecales). Adicionalmente, nuestros resultados también demuestran que el monitoreo se puede llevar a cabo analizando números de copias/L de muestras de aguas superficiales urbanas (en este caso ríos urbanos). Esto se puede implementar en las estrategias de seguimiento de la pandemia de COVID-19 en nuestro país, pero también en el futuro estos métodos podrían ser utilizados para la vigilancia epidemiológica de otros virus de importancia para la salud humana.</w:t>
            </w:r>
          </w:p>
        </w:tc>
        <w:tc>
          <w:tcPr>
            <w:tcW w:w="471" w:type="pct"/>
            <w:tcBorders>
              <w:top w:val="single" w:sz="4" w:space="0" w:color="auto"/>
              <w:left w:val="nil"/>
              <w:bottom w:val="single" w:sz="4" w:space="0" w:color="auto"/>
              <w:right w:val="single" w:sz="4" w:space="0" w:color="auto"/>
            </w:tcBorders>
            <w:shd w:val="clear" w:color="auto" w:fill="auto"/>
            <w:vAlign w:val="center"/>
          </w:tcPr>
          <w:p w14:paraId="7938C867" w14:textId="77777777" w:rsidR="00077C2A" w:rsidRPr="00077C2A" w:rsidRDefault="00077C2A" w:rsidP="00077C2A">
            <w:pPr>
              <w:autoSpaceDE w:val="0"/>
              <w:autoSpaceDN w:val="0"/>
              <w:spacing w:line="276" w:lineRule="auto"/>
              <w:jc w:val="center"/>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lastRenderedPageBreak/>
              <w:t>15/06/2020 – 28/02/2021</w:t>
            </w:r>
          </w:p>
        </w:tc>
        <w:tc>
          <w:tcPr>
            <w:tcW w:w="629" w:type="pct"/>
            <w:tcBorders>
              <w:top w:val="single" w:sz="4" w:space="0" w:color="auto"/>
              <w:left w:val="nil"/>
              <w:bottom w:val="single" w:sz="4" w:space="0" w:color="auto"/>
              <w:right w:val="single" w:sz="4" w:space="0" w:color="auto"/>
            </w:tcBorders>
            <w:shd w:val="clear" w:color="auto" w:fill="auto"/>
            <w:vAlign w:val="center"/>
          </w:tcPr>
          <w:p w14:paraId="126D0989"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Guillén Navarro Griselda Karina</w:t>
            </w:r>
          </w:p>
        </w:tc>
      </w:tr>
      <w:tr w:rsidR="00077C2A" w:rsidRPr="00077C2A" w14:paraId="4E9A8D81" w14:textId="77777777" w:rsidTr="008E717E">
        <w:trPr>
          <w:trHeight w:val="2175"/>
        </w:trPr>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16DA9824"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 xml:space="preserve">Índice holístico de riesgo: una herramienta para la toma de decisiones en línea basada en riesgo al contagio y letalidad por COVID-19. </w:t>
            </w:r>
            <w:r w:rsidRPr="00077C2A">
              <w:rPr>
                <w:rFonts w:ascii="Calibri" w:eastAsia="Times New Roman" w:hAnsi="Calibri" w:cs="Times New Roman"/>
                <w:color w:val="000000"/>
                <w:sz w:val="22"/>
                <w:szCs w:val="22"/>
                <w:lang w:eastAsia="es-ES"/>
              </w:rPr>
              <w:lastRenderedPageBreak/>
              <w:t xml:space="preserve">Aplicación en el sector </w:t>
            </w:r>
            <w:r w:rsidRPr="00077C2A">
              <w:rPr>
                <w:rFonts w:ascii="Calibri" w:eastAsia="Times New Roman" w:hAnsi="Calibri" w:cs="Times New Roman"/>
                <w:color w:val="000000"/>
                <w:sz w:val="22"/>
                <w:szCs w:val="22"/>
                <w:lang w:val="en-US" w:eastAsia="es-ES"/>
              </w:rPr>
              <w:t>Agricola.</w:t>
            </w:r>
          </w:p>
        </w:tc>
        <w:tc>
          <w:tcPr>
            <w:tcW w:w="621" w:type="pct"/>
            <w:tcBorders>
              <w:top w:val="single" w:sz="4" w:space="0" w:color="auto"/>
              <w:left w:val="nil"/>
              <w:bottom w:val="single" w:sz="4" w:space="0" w:color="auto"/>
              <w:right w:val="single" w:sz="4" w:space="0" w:color="auto"/>
            </w:tcBorders>
            <w:shd w:val="clear" w:color="auto" w:fill="auto"/>
            <w:vAlign w:val="center"/>
          </w:tcPr>
          <w:p w14:paraId="5B0B6DA0"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sz w:val="22"/>
                <w:szCs w:val="22"/>
                <w:lang w:eastAsia="es-ES"/>
              </w:rPr>
              <w:lastRenderedPageBreak/>
              <w:t>Consejo Nacional de Ciencia y Tecnología</w:t>
            </w:r>
          </w:p>
        </w:tc>
        <w:tc>
          <w:tcPr>
            <w:tcW w:w="494" w:type="pct"/>
            <w:tcBorders>
              <w:top w:val="single" w:sz="4" w:space="0" w:color="auto"/>
              <w:left w:val="nil"/>
              <w:bottom w:val="single" w:sz="4" w:space="0" w:color="auto"/>
              <w:right w:val="single" w:sz="4" w:space="0" w:color="auto"/>
            </w:tcBorders>
            <w:shd w:val="clear" w:color="auto" w:fill="auto"/>
            <w:vAlign w:val="center"/>
          </w:tcPr>
          <w:p w14:paraId="60797714"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646,752.72</w:t>
            </w:r>
          </w:p>
        </w:tc>
        <w:tc>
          <w:tcPr>
            <w:tcW w:w="494" w:type="pct"/>
            <w:tcBorders>
              <w:top w:val="single" w:sz="4" w:space="0" w:color="auto"/>
              <w:left w:val="nil"/>
              <w:bottom w:val="single" w:sz="4" w:space="0" w:color="auto"/>
              <w:right w:val="single" w:sz="4" w:space="0" w:color="auto"/>
            </w:tcBorders>
            <w:shd w:val="clear" w:color="auto" w:fill="auto"/>
            <w:vAlign w:val="center"/>
          </w:tcPr>
          <w:p w14:paraId="2EDA1FF2"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646,752.72</w:t>
            </w:r>
          </w:p>
        </w:tc>
        <w:tc>
          <w:tcPr>
            <w:tcW w:w="1637" w:type="pct"/>
            <w:tcBorders>
              <w:top w:val="single" w:sz="4" w:space="0" w:color="auto"/>
              <w:left w:val="nil"/>
              <w:bottom w:val="single" w:sz="4" w:space="0" w:color="auto"/>
              <w:right w:val="single" w:sz="4" w:space="0" w:color="auto"/>
            </w:tcBorders>
            <w:shd w:val="clear" w:color="auto" w:fill="auto"/>
            <w:vAlign w:val="center"/>
          </w:tcPr>
          <w:p w14:paraId="01084D0D"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 xml:space="preserve">Se espera que la herramienta informática –la cual estará disponible en una página web y en una aplicación para móviles en Play Store–, sea usada por cualquier usuario interesado en conocer su riesgo de contagio y letalidad al virus SARS-CoV-2 responsable de la enfermedad COVID-19. Asimismo, se espera que la estimación del riesgo por esta herramienta provea información que ayude a las personas a </w:t>
            </w:r>
            <w:r w:rsidRPr="00077C2A">
              <w:rPr>
                <w:rFonts w:ascii="Calibri" w:eastAsia="Times New Roman" w:hAnsi="Calibri" w:cs="Times New Roman"/>
                <w:color w:val="000000"/>
                <w:sz w:val="22"/>
                <w:szCs w:val="22"/>
                <w:lang w:eastAsia="es-ES"/>
              </w:rPr>
              <w:lastRenderedPageBreak/>
              <w:t>tomar decisiones informadas tanto para reducir vulnerabilidad como para incrementar capacidad de respuesta ante esta importante enfermedad. En particular, se espera que esta herramienta sea de interés para el sector agrícola, sobre todo para agricultores y trabajadores de los sistemas socioambientales de café, mango y rosa.</w:t>
            </w:r>
          </w:p>
        </w:tc>
        <w:tc>
          <w:tcPr>
            <w:tcW w:w="471" w:type="pct"/>
            <w:tcBorders>
              <w:top w:val="single" w:sz="4" w:space="0" w:color="auto"/>
              <w:left w:val="nil"/>
              <w:bottom w:val="single" w:sz="4" w:space="0" w:color="auto"/>
              <w:right w:val="single" w:sz="4" w:space="0" w:color="auto"/>
            </w:tcBorders>
            <w:shd w:val="clear" w:color="auto" w:fill="auto"/>
            <w:vAlign w:val="center"/>
          </w:tcPr>
          <w:p w14:paraId="36809FCC" w14:textId="77777777" w:rsidR="00077C2A" w:rsidRPr="00077C2A" w:rsidRDefault="00077C2A" w:rsidP="00077C2A">
            <w:pPr>
              <w:autoSpaceDE w:val="0"/>
              <w:autoSpaceDN w:val="0"/>
              <w:spacing w:line="276" w:lineRule="auto"/>
              <w:jc w:val="center"/>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lastRenderedPageBreak/>
              <w:t>24/08/2021 – 28/02/2021</w:t>
            </w:r>
          </w:p>
        </w:tc>
        <w:tc>
          <w:tcPr>
            <w:tcW w:w="629" w:type="pct"/>
            <w:tcBorders>
              <w:top w:val="single" w:sz="4" w:space="0" w:color="auto"/>
              <w:left w:val="nil"/>
              <w:bottom w:val="single" w:sz="4" w:space="0" w:color="auto"/>
              <w:right w:val="single" w:sz="4" w:space="0" w:color="auto"/>
            </w:tcBorders>
            <w:shd w:val="clear" w:color="auto" w:fill="auto"/>
            <w:vAlign w:val="center"/>
          </w:tcPr>
          <w:p w14:paraId="7F7F382A"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Barrera Gaytán Juan Francisco</w:t>
            </w:r>
          </w:p>
        </w:tc>
      </w:tr>
      <w:tr w:rsidR="00077C2A" w:rsidRPr="00077C2A" w14:paraId="290F3876" w14:textId="77777777" w:rsidTr="00077C2A">
        <w:trPr>
          <w:trHeight w:val="1221"/>
        </w:trPr>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1A337D96"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Integridad, manejo y restauración de los socio-ecosistemas de cuencas transfronterizas del sur de México.</w:t>
            </w:r>
          </w:p>
        </w:tc>
        <w:tc>
          <w:tcPr>
            <w:tcW w:w="621" w:type="pct"/>
            <w:tcBorders>
              <w:top w:val="single" w:sz="4" w:space="0" w:color="auto"/>
              <w:left w:val="nil"/>
              <w:bottom w:val="single" w:sz="4" w:space="0" w:color="auto"/>
              <w:right w:val="single" w:sz="4" w:space="0" w:color="auto"/>
            </w:tcBorders>
            <w:shd w:val="clear" w:color="auto" w:fill="auto"/>
            <w:vAlign w:val="center"/>
          </w:tcPr>
          <w:p w14:paraId="4465904D"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sz w:val="22"/>
                <w:szCs w:val="22"/>
                <w:lang w:eastAsia="es-ES"/>
              </w:rPr>
              <w:t>Fondo Institucional de Fomento Regional para el Desarrollo Científico, Tecnológico y de Innovación</w:t>
            </w:r>
          </w:p>
        </w:tc>
        <w:tc>
          <w:tcPr>
            <w:tcW w:w="494" w:type="pct"/>
            <w:tcBorders>
              <w:top w:val="single" w:sz="4" w:space="0" w:color="auto"/>
              <w:left w:val="nil"/>
              <w:bottom w:val="single" w:sz="4" w:space="0" w:color="auto"/>
              <w:right w:val="single" w:sz="4" w:space="0" w:color="auto"/>
            </w:tcBorders>
            <w:shd w:val="clear" w:color="auto" w:fill="auto"/>
            <w:vAlign w:val="center"/>
          </w:tcPr>
          <w:p w14:paraId="075DA548"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70,415.81</w:t>
            </w:r>
          </w:p>
        </w:tc>
        <w:tc>
          <w:tcPr>
            <w:tcW w:w="494" w:type="pct"/>
            <w:tcBorders>
              <w:top w:val="single" w:sz="4" w:space="0" w:color="auto"/>
              <w:left w:val="nil"/>
              <w:bottom w:val="single" w:sz="4" w:space="0" w:color="auto"/>
              <w:right w:val="single" w:sz="4" w:space="0" w:color="auto"/>
            </w:tcBorders>
            <w:shd w:val="clear" w:color="auto" w:fill="auto"/>
            <w:vAlign w:val="center"/>
          </w:tcPr>
          <w:p w14:paraId="2E9A5D53"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70,415.81</w:t>
            </w:r>
          </w:p>
        </w:tc>
        <w:tc>
          <w:tcPr>
            <w:tcW w:w="1637" w:type="pct"/>
            <w:tcBorders>
              <w:top w:val="single" w:sz="4" w:space="0" w:color="auto"/>
              <w:left w:val="nil"/>
              <w:bottom w:val="single" w:sz="4" w:space="0" w:color="auto"/>
              <w:right w:val="single" w:sz="4" w:space="0" w:color="auto"/>
            </w:tcBorders>
            <w:shd w:val="clear" w:color="auto" w:fill="auto"/>
            <w:vAlign w:val="center"/>
          </w:tcPr>
          <w:p w14:paraId="72FB0C65"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 xml:space="preserve">De llevarse a cabo la propuesta generada con el financiamiento semilla, se podrán llevar a cabo acciones tanto de investigación como de incidencia, con los que se pretende incrementar las capacidades de organización, manejo adaptativo y resiliencia de las comunidades de los sitios piloto. Se partirá de un diagnóstico del estado del socio-ecosistema; esta información incidirá en la co-definición de estrategias de solución con las comunidades, se procurará identificar los obstáculos técnicos y de gobernanza para implementar las soluciones, mediante integración de redes de aprendizaje, de monitoreo participativo y finalmente se encaminará hacia una </w:t>
            </w:r>
            <w:r w:rsidRPr="00077C2A">
              <w:rPr>
                <w:rFonts w:ascii="Calibri" w:eastAsia="Times New Roman" w:hAnsi="Calibri" w:cs="Times New Roman"/>
                <w:color w:val="000000"/>
                <w:sz w:val="22"/>
                <w:szCs w:val="22"/>
                <w:lang w:eastAsia="es-ES"/>
              </w:rPr>
              <w:lastRenderedPageBreak/>
              <w:t>propuesta de colaboración transfronteriza binacional para la atención y prevención de problemas de disponibilidad de agua de calidad y contaminación del agua.</w:t>
            </w:r>
          </w:p>
        </w:tc>
        <w:tc>
          <w:tcPr>
            <w:tcW w:w="471" w:type="pct"/>
            <w:tcBorders>
              <w:top w:val="single" w:sz="4" w:space="0" w:color="auto"/>
              <w:left w:val="nil"/>
              <w:bottom w:val="single" w:sz="4" w:space="0" w:color="auto"/>
              <w:right w:val="single" w:sz="4" w:space="0" w:color="auto"/>
            </w:tcBorders>
            <w:shd w:val="clear" w:color="auto" w:fill="auto"/>
            <w:vAlign w:val="center"/>
          </w:tcPr>
          <w:p w14:paraId="24177754" w14:textId="77777777" w:rsidR="00077C2A" w:rsidRPr="00077C2A" w:rsidRDefault="00077C2A" w:rsidP="00077C2A">
            <w:pPr>
              <w:autoSpaceDE w:val="0"/>
              <w:autoSpaceDN w:val="0"/>
              <w:spacing w:line="276" w:lineRule="auto"/>
              <w:jc w:val="center"/>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lastRenderedPageBreak/>
              <w:t>15/10/2020 – 15/02/2021</w:t>
            </w:r>
          </w:p>
        </w:tc>
        <w:tc>
          <w:tcPr>
            <w:tcW w:w="629" w:type="pct"/>
            <w:tcBorders>
              <w:top w:val="single" w:sz="4" w:space="0" w:color="auto"/>
              <w:left w:val="nil"/>
              <w:bottom w:val="single" w:sz="4" w:space="0" w:color="auto"/>
              <w:right w:val="single" w:sz="4" w:space="0" w:color="auto"/>
            </w:tcBorders>
            <w:shd w:val="clear" w:color="auto" w:fill="auto"/>
            <w:vAlign w:val="center"/>
          </w:tcPr>
          <w:p w14:paraId="33499613"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Guillén Navarro Griselda Karina</w:t>
            </w:r>
          </w:p>
        </w:tc>
      </w:tr>
      <w:tr w:rsidR="00077C2A" w:rsidRPr="00077C2A" w14:paraId="53273118" w14:textId="77777777" w:rsidTr="008E717E">
        <w:trPr>
          <w:trHeight w:val="2175"/>
        </w:trPr>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47F5CD60"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Generación de conocimiento y transferencia de tecnología para el control, manejo y erradicación de las entradas de mosca del mediterráneo a México. Fase 2.</w:t>
            </w:r>
          </w:p>
        </w:tc>
        <w:tc>
          <w:tcPr>
            <w:tcW w:w="621" w:type="pct"/>
            <w:tcBorders>
              <w:top w:val="single" w:sz="4" w:space="0" w:color="auto"/>
              <w:left w:val="nil"/>
              <w:bottom w:val="single" w:sz="4" w:space="0" w:color="auto"/>
              <w:right w:val="single" w:sz="4" w:space="0" w:color="auto"/>
            </w:tcBorders>
            <w:shd w:val="clear" w:color="auto" w:fill="auto"/>
            <w:vAlign w:val="center"/>
          </w:tcPr>
          <w:p w14:paraId="3BD4B2CB"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sz w:val="22"/>
                <w:szCs w:val="22"/>
                <w:lang w:eastAsia="es-ES"/>
              </w:rPr>
              <w:t>Servicio Nacional de Sanidad, Inocuidad y Calidad Agroalimentaria</w:t>
            </w:r>
          </w:p>
        </w:tc>
        <w:tc>
          <w:tcPr>
            <w:tcW w:w="494" w:type="pct"/>
            <w:tcBorders>
              <w:top w:val="single" w:sz="4" w:space="0" w:color="auto"/>
              <w:left w:val="nil"/>
              <w:bottom w:val="single" w:sz="4" w:space="0" w:color="auto"/>
              <w:right w:val="single" w:sz="4" w:space="0" w:color="auto"/>
            </w:tcBorders>
            <w:shd w:val="clear" w:color="auto" w:fill="auto"/>
            <w:vAlign w:val="center"/>
          </w:tcPr>
          <w:p w14:paraId="69DBE432"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1,731,479.48</w:t>
            </w:r>
          </w:p>
        </w:tc>
        <w:tc>
          <w:tcPr>
            <w:tcW w:w="494" w:type="pct"/>
            <w:tcBorders>
              <w:top w:val="single" w:sz="4" w:space="0" w:color="auto"/>
              <w:left w:val="nil"/>
              <w:bottom w:val="single" w:sz="4" w:space="0" w:color="auto"/>
              <w:right w:val="single" w:sz="4" w:space="0" w:color="auto"/>
            </w:tcBorders>
            <w:shd w:val="clear" w:color="auto" w:fill="auto"/>
            <w:vAlign w:val="center"/>
          </w:tcPr>
          <w:p w14:paraId="33CE32D3"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1,731,479.48</w:t>
            </w:r>
          </w:p>
        </w:tc>
        <w:tc>
          <w:tcPr>
            <w:tcW w:w="1637" w:type="pct"/>
            <w:tcBorders>
              <w:top w:val="single" w:sz="4" w:space="0" w:color="auto"/>
              <w:left w:val="nil"/>
              <w:bottom w:val="single" w:sz="4" w:space="0" w:color="auto"/>
              <w:right w:val="single" w:sz="4" w:space="0" w:color="auto"/>
            </w:tcBorders>
            <w:shd w:val="clear" w:color="auto" w:fill="auto"/>
            <w:vAlign w:val="center"/>
          </w:tcPr>
          <w:p w14:paraId="08808845"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Se espera que los resultados de estas cinco investigaciones puedan ser de utilidad para el programa Moscamed y contribuyan a una mayor eficiencia de las acciones y estrategias de control.</w:t>
            </w:r>
          </w:p>
        </w:tc>
        <w:tc>
          <w:tcPr>
            <w:tcW w:w="471" w:type="pct"/>
            <w:tcBorders>
              <w:top w:val="single" w:sz="4" w:space="0" w:color="auto"/>
              <w:left w:val="nil"/>
              <w:bottom w:val="single" w:sz="4" w:space="0" w:color="auto"/>
              <w:right w:val="single" w:sz="4" w:space="0" w:color="auto"/>
            </w:tcBorders>
            <w:shd w:val="clear" w:color="auto" w:fill="auto"/>
            <w:vAlign w:val="center"/>
          </w:tcPr>
          <w:p w14:paraId="45F87AB6" w14:textId="77777777" w:rsidR="00077C2A" w:rsidRPr="00077C2A" w:rsidRDefault="00077C2A" w:rsidP="00077C2A">
            <w:pPr>
              <w:autoSpaceDE w:val="0"/>
              <w:autoSpaceDN w:val="0"/>
              <w:spacing w:line="276" w:lineRule="auto"/>
              <w:jc w:val="center"/>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08/10/2020 – 31/12/2020</w:t>
            </w:r>
          </w:p>
        </w:tc>
        <w:tc>
          <w:tcPr>
            <w:tcW w:w="629" w:type="pct"/>
            <w:tcBorders>
              <w:top w:val="single" w:sz="4" w:space="0" w:color="auto"/>
              <w:left w:val="nil"/>
              <w:bottom w:val="single" w:sz="4" w:space="0" w:color="auto"/>
              <w:right w:val="single" w:sz="4" w:space="0" w:color="auto"/>
            </w:tcBorders>
            <w:shd w:val="clear" w:color="auto" w:fill="auto"/>
            <w:vAlign w:val="center"/>
          </w:tcPr>
          <w:p w14:paraId="68886212"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Liedo Fernández José Pablo</w:t>
            </w:r>
          </w:p>
        </w:tc>
      </w:tr>
      <w:tr w:rsidR="00077C2A" w:rsidRPr="00077C2A" w14:paraId="74A91C84" w14:textId="77777777" w:rsidTr="008E717E">
        <w:trPr>
          <w:trHeight w:val="2175"/>
        </w:trPr>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2193366B"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Factores asociados a las dislipidemias en población infantil de las regiones fronteriza de Chiapas y centro de Tabasco</w:t>
            </w:r>
          </w:p>
        </w:tc>
        <w:tc>
          <w:tcPr>
            <w:tcW w:w="621" w:type="pct"/>
            <w:tcBorders>
              <w:top w:val="single" w:sz="4" w:space="0" w:color="auto"/>
              <w:left w:val="nil"/>
              <w:bottom w:val="single" w:sz="4" w:space="0" w:color="auto"/>
              <w:right w:val="single" w:sz="4" w:space="0" w:color="auto"/>
            </w:tcBorders>
            <w:shd w:val="clear" w:color="auto" w:fill="auto"/>
            <w:vAlign w:val="center"/>
          </w:tcPr>
          <w:p w14:paraId="279B7267"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Fondo Institucional del CONACYT (FOINS)</w:t>
            </w:r>
          </w:p>
        </w:tc>
        <w:tc>
          <w:tcPr>
            <w:tcW w:w="494" w:type="pct"/>
            <w:tcBorders>
              <w:top w:val="single" w:sz="4" w:space="0" w:color="auto"/>
              <w:left w:val="nil"/>
              <w:bottom w:val="single" w:sz="4" w:space="0" w:color="auto"/>
              <w:right w:val="single" w:sz="4" w:space="0" w:color="auto"/>
            </w:tcBorders>
            <w:shd w:val="clear" w:color="auto" w:fill="auto"/>
            <w:vAlign w:val="center"/>
          </w:tcPr>
          <w:p w14:paraId="1180907E"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1,359,884.47</w:t>
            </w:r>
          </w:p>
        </w:tc>
        <w:tc>
          <w:tcPr>
            <w:tcW w:w="494" w:type="pct"/>
            <w:tcBorders>
              <w:top w:val="single" w:sz="4" w:space="0" w:color="auto"/>
              <w:left w:val="nil"/>
              <w:bottom w:val="single" w:sz="4" w:space="0" w:color="auto"/>
              <w:right w:val="single" w:sz="4" w:space="0" w:color="auto"/>
            </w:tcBorders>
            <w:shd w:val="clear" w:color="auto" w:fill="auto"/>
            <w:vAlign w:val="center"/>
          </w:tcPr>
          <w:p w14:paraId="0C33F8A9"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1,359,884.47</w:t>
            </w:r>
          </w:p>
        </w:tc>
        <w:tc>
          <w:tcPr>
            <w:tcW w:w="1637" w:type="pct"/>
            <w:tcBorders>
              <w:top w:val="single" w:sz="4" w:space="0" w:color="auto"/>
              <w:left w:val="nil"/>
              <w:bottom w:val="single" w:sz="4" w:space="0" w:color="auto"/>
              <w:right w:val="single" w:sz="4" w:space="0" w:color="auto"/>
            </w:tcBorders>
            <w:shd w:val="clear" w:color="auto" w:fill="auto"/>
            <w:vAlign w:val="center"/>
          </w:tcPr>
          <w:p w14:paraId="40D7186D"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Permite identificar las principales causas de problemas de salud relacionada con la obesidad infantil, diabetes y dislipidemias, para evitar problemas cardiovasculares tempranos.</w:t>
            </w:r>
          </w:p>
        </w:tc>
        <w:tc>
          <w:tcPr>
            <w:tcW w:w="471" w:type="pct"/>
            <w:tcBorders>
              <w:top w:val="single" w:sz="4" w:space="0" w:color="auto"/>
              <w:left w:val="nil"/>
              <w:bottom w:val="single" w:sz="4" w:space="0" w:color="auto"/>
              <w:right w:val="single" w:sz="4" w:space="0" w:color="auto"/>
            </w:tcBorders>
            <w:shd w:val="clear" w:color="auto" w:fill="auto"/>
            <w:vAlign w:val="center"/>
          </w:tcPr>
          <w:p w14:paraId="16D0EDCF" w14:textId="77777777" w:rsidR="00077C2A" w:rsidRPr="00077C2A" w:rsidRDefault="00077C2A" w:rsidP="00077C2A">
            <w:pPr>
              <w:autoSpaceDE w:val="0"/>
              <w:autoSpaceDN w:val="0"/>
              <w:spacing w:line="276" w:lineRule="auto"/>
              <w:jc w:val="center"/>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08/06/2018 – 16/05/20211</w:t>
            </w:r>
          </w:p>
        </w:tc>
        <w:tc>
          <w:tcPr>
            <w:tcW w:w="629" w:type="pct"/>
            <w:tcBorders>
              <w:top w:val="single" w:sz="4" w:space="0" w:color="auto"/>
              <w:left w:val="nil"/>
              <w:bottom w:val="single" w:sz="4" w:space="0" w:color="auto"/>
              <w:right w:val="single" w:sz="4" w:space="0" w:color="auto"/>
            </w:tcBorders>
            <w:shd w:val="clear" w:color="auto" w:fill="auto"/>
            <w:vAlign w:val="center"/>
          </w:tcPr>
          <w:p w14:paraId="683FDA5D"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Irecta Nájera César Antonio</w:t>
            </w:r>
          </w:p>
        </w:tc>
      </w:tr>
      <w:tr w:rsidR="00077C2A" w:rsidRPr="00077C2A" w14:paraId="5A2FA93B" w14:textId="77777777" w:rsidTr="00077C2A">
        <w:trPr>
          <w:trHeight w:val="1504"/>
        </w:trPr>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16B7E207"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lastRenderedPageBreak/>
              <w:t>Ampliación, complementación y conclusión de diagnóstico y escenarios en los territorios tren maya</w:t>
            </w:r>
          </w:p>
        </w:tc>
        <w:tc>
          <w:tcPr>
            <w:tcW w:w="621" w:type="pct"/>
            <w:tcBorders>
              <w:top w:val="single" w:sz="4" w:space="0" w:color="auto"/>
              <w:left w:val="nil"/>
              <w:bottom w:val="single" w:sz="4" w:space="0" w:color="auto"/>
              <w:right w:val="single" w:sz="4" w:space="0" w:color="auto"/>
            </w:tcBorders>
            <w:shd w:val="clear" w:color="auto" w:fill="auto"/>
            <w:vAlign w:val="center"/>
          </w:tcPr>
          <w:p w14:paraId="2766D394"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Fondo Institucional del CONACYT (FOINS)</w:t>
            </w:r>
          </w:p>
        </w:tc>
        <w:tc>
          <w:tcPr>
            <w:tcW w:w="494" w:type="pct"/>
            <w:tcBorders>
              <w:top w:val="single" w:sz="4" w:space="0" w:color="auto"/>
              <w:left w:val="nil"/>
              <w:bottom w:val="single" w:sz="4" w:space="0" w:color="auto"/>
              <w:right w:val="single" w:sz="4" w:space="0" w:color="auto"/>
            </w:tcBorders>
            <w:shd w:val="clear" w:color="auto" w:fill="auto"/>
            <w:vAlign w:val="center"/>
          </w:tcPr>
          <w:p w14:paraId="2ECF8E9D"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366,226.84</w:t>
            </w:r>
          </w:p>
        </w:tc>
        <w:tc>
          <w:tcPr>
            <w:tcW w:w="494" w:type="pct"/>
            <w:tcBorders>
              <w:top w:val="single" w:sz="4" w:space="0" w:color="auto"/>
              <w:left w:val="nil"/>
              <w:bottom w:val="single" w:sz="4" w:space="0" w:color="auto"/>
              <w:right w:val="single" w:sz="4" w:space="0" w:color="auto"/>
            </w:tcBorders>
            <w:shd w:val="clear" w:color="auto" w:fill="auto"/>
            <w:vAlign w:val="center"/>
          </w:tcPr>
          <w:p w14:paraId="6B9ED933"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366,226.84</w:t>
            </w:r>
          </w:p>
        </w:tc>
        <w:tc>
          <w:tcPr>
            <w:tcW w:w="1637" w:type="pct"/>
            <w:tcBorders>
              <w:top w:val="single" w:sz="4" w:space="0" w:color="auto"/>
              <w:left w:val="nil"/>
              <w:bottom w:val="single" w:sz="4" w:space="0" w:color="auto"/>
              <w:right w:val="single" w:sz="4" w:space="0" w:color="auto"/>
            </w:tcBorders>
            <w:shd w:val="clear" w:color="auto" w:fill="auto"/>
            <w:vAlign w:val="center"/>
          </w:tcPr>
          <w:p w14:paraId="47FF7442"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Dado que el propósito de CONACyT con la información aportada por el GC-TTM, es ofrecer información fundamentada a las comunidades, gobierno, academia y sociedad interesada, con el propósito de acompañar, vigilar y en su caso corregir o proponer la suspensión de proyectos y procesos de alto riesgo asociados al Tren Maya, resulta prioritario proseguir, bajo los siguientes alcances:</w:t>
            </w:r>
            <w:r w:rsidRPr="00077C2A">
              <w:rPr>
                <w:rFonts w:ascii="Calibri" w:eastAsia="Times New Roman" w:hAnsi="Calibri" w:cs="Times New Roman"/>
                <w:color w:val="000000"/>
                <w:sz w:val="22"/>
                <w:szCs w:val="22"/>
                <w:lang w:eastAsia="es-ES"/>
              </w:rPr>
              <w:br/>
              <w:t>1)        Un libro científico ampliado a partir de los documentos de pre-diagnóstico entregado por el GC-TTM, listo para solicitud de ISBN y posterior distribución en formato digital y/o para enviar a impresión.</w:t>
            </w:r>
            <w:r w:rsidRPr="00077C2A">
              <w:rPr>
                <w:rFonts w:ascii="Calibri" w:eastAsia="Times New Roman" w:hAnsi="Calibri" w:cs="Times New Roman"/>
                <w:color w:val="000000"/>
                <w:sz w:val="22"/>
                <w:szCs w:val="22"/>
                <w:lang w:eastAsia="es-ES"/>
              </w:rPr>
              <w:br/>
              <w:t>2)        Un atlas cartográfico complementario independiente, de forma tal que pueda ser difundido sin necesidad de estar acompañada del libro científico y en formato PDF que pueda visualizarse en una página de internet.</w:t>
            </w:r>
            <w:r w:rsidRPr="00077C2A">
              <w:rPr>
                <w:rFonts w:ascii="Calibri" w:eastAsia="Times New Roman" w:hAnsi="Calibri" w:cs="Times New Roman"/>
                <w:color w:val="000000"/>
                <w:sz w:val="22"/>
                <w:szCs w:val="22"/>
                <w:lang w:eastAsia="es-ES"/>
              </w:rPr>
              <w:br/>
              <w:t>3)        Un directorio a la manera de un mapa de actores a partir de identificar organizaciones ciudadanas, liderazgos y autoridades locales presentes en la región.</w:t>
            </w:r>
            <w:r w:rsidRPr="00077C2A">
              <w:rPr>
                <w:rFonts w:ascii="Calibri" w:eastAsia="Times New Roman" w:hAnsi="Calibri" w:cs="Times New Roman"/>
                <w:color w:val="000000"/>
                <w:sz w:val="22"/>
                <w:szCs w:val="22"/>
                <w:lang w:eastAsia="es-ES"/>
              </w:rPr>
              <w:br/>
            </w:r>
            <w:r w:rsidRPr="00077C2A">
              <w:rPr>
                <w:rFonts w:ascii="Calibri" w:eastAsia="Times New Roman" w:hAnsi="Calibri" w:cs="Times New Roman"/>
                <w:color w:val="000000"/>
                <w:sz w:val="22"/>
                <w:szCs w:val="22"/>
                <w:lang w:eastAsia="es-ES"/>
              </w:rPr>
              <w:lastRenderedPageBreak/>
              <w:t>4)        Una cápsula de video con duración de 6 minutos que explique los escenarios, desafíos y riesgos a atenderse durante y después del Tren Maya a partir de los resultados expuestos en el libro científico.</w:t>
            </w:r>
          </w:p>
        </w:tc>
        <w:tc>
          <w:tcPr>
            <w:tcW w:w="471" w:type="pct"/>
            <w:tcBorders>
              <w:top w:val="single" w:sz="4" w:space="0" w:color="auto"/>
              <w:left w:val="nil"/>
              <w:bottom w:val="single" w:sz="4" w:space="0" w:color="auto"/>
              <w:right w:val="single" w:sz="4" w:space="0" w:color="auto"/>
            </w:tcBorders>
            <w:shd w:val="clear" w:color="auto" w:fill="auto"/>
            <w:vAlign w:val="center"/>
          </w:tcPr>
          <w:p w14:paraId="2E1BF633" w14:textId="77777777" w:rsidR="00077C2A" w:rsidRPr="00077C2A" w:rsidRDefault="00077C2A" w:rsidP="00077C2A">
            <w:pPr>
              <w:autoSpaceDE w:val="0"/>
              <w:autoSpaceDN w:val="0"/>
              <w:spacing w:line="276" w:lineRule="auto"/>
              <w:jc w:val="center"/>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lastRenderedPageBreak/>
              <w:t>31/03/2020 – 30/04/2021</w:t>
            </w:r>
          </w:p>
        </w:tc>
        <w:tc>
          <w:tcPr>
            <w:tcW w:w="629" w:type="pct"/>
            <w:tcBorders>
              <w:top w:val="single" w:sz="4" w:space="0" w:color="auto"/>
              <w:left w:val="nil"/>
              <w:bottom w:val="single" w:sz="4" w:space="0" w:color="auto"/>
              <w:right w:val="single" w:sz="4" w:space="0" w:color="auto"/>
            </w:tcBorders>
            <w:shd w:val="clear" w:color="auto" w:fill="auto"/>
            <w:vAlign w:val="center"/>
          </w:tcPr>
          <w:p w14:paraId="01C0BD6D"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Díaz Perera Miguel Ángel</w:t>
            </w:r>
          </w:p>
        </w:tc>
      </w:tr>
      <w:tr w:rsidR="00077C2A" w:rsidRPr="00077C2A" w14:paraId="09C1D377" w14:textId="77777777" w:rsidTr="008E717E">
        <w:trPr>
          <w:trHeight w:val="2175"/>
        </w:trPr>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717C23D6"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Quinto congreso mexicano de ecosistemas de manglar. Villahermosa, tabasco.</w:t>
            </w:r>
          </w:p>
        </w:tc>
        <w:tc>
          <w:tcPr>
            <w:tcW w:w="621" w:type="pct"/>
            <w:tcBorders>
              <w:top w:val="single" w:sz="4" w:space="0" w:color="auto"/>
              <w:left w:val="nil"/>
              <w:bottom w:val="single" w:sz="4" w:space="0" w:color="auto"/>
              <w:right w:val="single" w:sz="4" w:space="0" w:color="auto"/>
            </w:tcBorders>
            <w:shd w:val="clear" w:color="auto" w:fill="auto"/>
            <w:vAlign w:val="center"/>
          </w:tcPr>
          <w:p w14:paraId="4277ACB2"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sz w:val="22"/>
                <w:szCs w:val="22"/>
                <w:lang w:eastAsia="es-ES"/>
              </w:rPr>
              <w:t>Consejo Nacional de Ciencia y Tecnología</w:t>
            </w:r>
          </w:p>
        </w:tc>
        <w:tc>
          <w:tcPr>
            <w:tcW w:w="494" w:type="pct"/>
            <w:tcBorders>
              <w:top w:val="single" w:sz="4" w:space="0" w:color="auto"/>
              <w:left w:val="nil"/>
              <w:bottom w:val="single" w:sz="4" w:space="0" w:color="auto"/>
              <w:right w:val="single" w:sz="4" w:space="0" w:color="auto"/>
            </w:tcBorders>
            <w:shd w:val="clear" w:color="auto" w:fill="auto"/>
            <w:vAlign w:val="center"/>
          </w:tcPr>
          <w:p w14:paraId="04290E7F"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442,472.00</w:t>
            </w:r>
          </w:p>
        </w:tc>
        <w:tc>
          <w:tcPr>
            <w:tcW w:w="494" w:type="pct"/>
            <w:tcBorders>
              <w:top w:val="single" w:sz="4" w:space="0" w:color="auto"/>
              <w:left w:val="nil"/>
              <w:bottom w:val="single" w:sz="4" w:space="0" w:color="auto"/>
              <w:right w:val="single" w:sz="4" w:space="0" w:color="auto"/>
            </w:tcBorders>
            <w:shd w:val="clear" w:color="auto" w:fill="auto"/>
            <w:vAlign w:val="center"/>
          </w:tcPr>
          <w:p w14:paraId="361DCBD8"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442,472.00</w:t>
            </w:r>
          </w:p>
        </w:tc>
        <w:tc>
          <w:tcPr>
            <w:tcW w:w="1637" w:type="pct"/>
            <w:tcBorders>
              <w:top w:val="single" w:sz="4" w:space="0" w:color="auto"/>
              <w:left w:val="nil"/>
              <w:bottom w:val="single" w:sz="4" w:space="0" w:color="auto"/>
              <w:right w:val="single" w:sz="4" w:space="0" w:color="auto"/>
            </w:tcBorders>
            <w:shd w:val="clear" w:color="auto" w:fill="auto"/>
            <w:vAlign w:val="center"/>
          </w:tcPr>
          <w:p w14:paraId="3021EFAB"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Los resúmenes de ponencias orales y carteles, y de las facilitaciones de los simposios se recogieron en la memoria del congreso. Las comunicaciones extensas podrán editarse en un número especial de la revista Ecosistemas y Recursos Agropecuarios.</w:t>
            </w:r>
            <w:r w:rsidRPr="00077C2A">
              <w:rPr>
                <w:rFonts w:ascii="Calibri" w:eastAsia="Times New Roman" w:hAnsi="Calibri" w:cs="Times New Roman"/>
                <w:color w:val="000000"/>
                <w:sz w:val="22"/>
                <w:szCs w:val="22"/>
                <w:lang w:eastAsia="es-ES"/>
              </w:rPr>
              <w:br/>
              <w:t xml:space="preserve">El congreso sirvió de espacio de intercambio entre académicos, estudiantes y profesionistas del manejo de ecosistema de manglar y fue ocasión para la consolidación del Comité mexicano de ecosistema manglar. </w:t>
            </w:r>
            <w:r w:rsidRPr="00077C2A">
              <w:rPr>
                <w:rFonts w:ascii="Calibri" w:eastAsia="Times New Roman" w:hAnsi="Calibri" w:cs="Times New Roman"/>
                <w:color w:val="000000"/>
                <w:sz w:val="22"/>
                <w:szCs w:val="22"/>
                <w:lang w:val="en-US" w:eastAsia="es-ES"/>
              </w:rPr>
              <w:t>Participaron personas de diez países.</w:t>
            </w:r>
          </w:p>
        </w:tc>
        <w:tc>
          <w:tcPr>
            <w:tcW w:w="471" w:type="pct"/>
            <w:tcBorders>
              <w:top w:val="single" w:sz="4" w:space="0" w:color="auto"/>
              <w:left w:val="nil"/>
              <w:bottom w:val="single" w:sz="4" w:space="0" w:color="auto"/>
              <w:right w:val="single" w:sz="4" w:space="0" w:color="auto"/>
            </w:tcBorders>
            <w:shd w:val="clear" w:color="auto" w:fill="auto"/>
            <w:vAlign w:val="center"/>
          </w:tcPr>
          <w:p w14:paraId="20F43091" w14:textId="77777777" w:rsidR="00077C2A" w:rsidRPr="00077C2A" w:rsidRDefault="00077C2A" w:rsidP="00077C2A">
            <w:pPr>
              <w:autoSpaceDE w:val="0"/>
              <w:autoSpaceDN w:val="0"/>
              <w:spacing w:line="276" w:lineRule="auto"/>
              <w:jc w:val="center"/>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20/09/2020 – 30/10/2020</w:t>
            </w:r>
          </w:p>
        </w:tc>
        <w:tc>
          <w:tcPr>
            <w:tcW w:w="629" w:type="pct"/>
            <w:tcBorders>
              <w:top w:val="single" w:sz="4" w:space="0" w:color="auto"/>
              <w:left w:val="nil"/>
              <w:bottom w:val="single" w:sz="4" w:space="0" w:color="auto"/>
              <w:right w:val="single" w:sz="4" w:space="0" w:color="auto"/>
            </w:tcBorders>
            <w:shd w:val="clear" w:color="auto" w:fill="auto"/>
            <w:vAlign w:val="center"/>
          </w:tcPr>
          <w:p w14:paraId="52F7DC0D"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Martínez Zurimendi Pablo</w:t>
            </w:r>
          </w:p>
        </w:tc>
      </w:tr>
      <w:tr w:rsidR="00077C2A" w:rsidRPr="00077C2A" w14:paraId="48EF9868" w14:textId="77777777" w:rsidTr="00077C2A">
        <w:trPr>
          <w:trHeight w:val="1221"/>
        </w:trPr>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6BDA2F8E"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 xml:space="preserve">Factores sociales, económicos, ecológicos y técnicos que limitan la consolidación del programa </w:t>
            </w:r>
            <w:r w:rsidRPr="00077C2A">
              <w:rPr>
                <w:rFonts w:ascii="Calibri" w:eastAsia="Times New Roman" w:hAnsi="Calibri" w:cs="Times New Roman"/>
                <w:color w:val="000000"/>
                <w:sz w:val="22"/>
                <w:szCs w:val="22"/>
                <w:lang w:eastAsia="es-ES"/>
              </w:rPr>
              <w:lastRenderedPageBreak/>
              <w:t>sembrando vida en tabasco.</w:t>
            </w:r>
          </w:p>
        </w:tc>
        <w:tc>
          <w:tcPr>
            <w:tcW w:w="621" w:type="pct"/>
            <w:tcBorders>
              <w:top w:val="single" w:sz="4" w:space="0" w:color="auto"/>
              <w:left w:val="nil"/>
              <w:bottom w:val="single" w:sz="4" w:space="0" w:color="auto"/>
              <w:right w:val="single" w:sz="4" w:space="0" w:color="auto"/>
            </w:tcBorders>
            <w:shd w:val="clear" w:color="auto" w:fill="auto"/>
            <w:vAlign w:val="center"/>
          </w:tcPr>
          <w:p w14:paraId="2C5F44B0"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sz w:val="22"/>
                <w:szCs w:val="22"/>
                <w:lang w:eastAsia="es-ES"/>
              </w:rPr>
              <w:lastRenderedPageBreak/>
              <w:t xml:space="preserve">Fondo Institucional de Fomento Regional para el Desarrollo Científico, </w:t>
            </w:r>
            <w:r w:rsidRPr="00077C2A">
              <w:rPr>
                <w:rFonts w:ascii="Calibri" w:eastAsia="Times New Roman" w:hAnsi="Calibri" w:cs="Times New Roman"/>
                <w:sz w:val="22"/>
                <w:szCs w:val="22"/>
                <w:lang w:eastAsia="es-ES"/>
              </w:rPr>
              <w:lastRenderedPageBreak/>
              <w:t>Tecnológico y de Innovación</w:t>
            </w:r>
          </w:p>
        </w:tc>
        <w:tc>
          <w:tcPr>
            <w:tcW w:w="494" w:type="pct"/>
            <w:tcBorders>
              <w:top w:val="single" w:sz="4" w:space="0" w:color="auto"/>
              <w:left w:val="nil"/>
              <w:bottom w:val="single" w:sz="4" w:space="0" w:color="auto"/>
              <w:right w:val="single" w:sz="4" w:space="0" w:color="auto"/>
            </w:tcBorders>
            <w:shd w:val="clear" w:color="auto" w:fill="auto"/>
            <w:vAlign w:val="center"/>
          </w:tcPr>
          <w:p w14:paraId="5DDACF34"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lastRenderedPageBreak/>
              <w:t>73,544.36</w:t>
            </w:r>
          </w:p>
        </w:tc>
        <w:tc>
          <w:tcPr>
            <w:tcW w:w="494" w:type="pct"/>
            <w:tcBorders>
              <w:top w:val="single" w:sz="4" w:space="0" w:color="auto"/>
              <w:left w:val="nil"/>
              <w:bottom w:val="single" w:sz="4" w:space="0" w:color="auto"/>
              <w:right w:val="single" w:sz="4" w:space="0" w:color="auto"/>
            </w:tcBorders>
            <w:shd w:val="clear" w:color="auto" w:fill="auto"/>
            <w:vAlign w:val="center"/>
          </w:tcPr>
          <w:p w14:paraId="2E4BF1BB"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73,544.36</w:t>
            </w:r>
          </w:p>
        </w:tc>
        <w:tc>
          <w:tcPr>
            <w:tcW w:w="1637" w:type="pct"/>
            <w:tcBorders>
              <w:top w:val="single" w:sz="4" w:space="0" w:color="auto"/>
              <w:left w:val="nil"/>
              <w:bottom w:val="single" w:sz="4" w:space="0" w:color="auto"/>
              <w:right w:val="single" w:sz="4" w:space="0" w:color="auto"/>
            </w:tcBorders>
            <w:shd w:val="clear" w:color="auto" w:fill="auto"/>
            <w:vAlign w:val="center"/>
          </w:tcPr>
          <w:p w14:paraId="328565BB"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 xml:space="preserve">Atendiendo las demandas de la temática sobre el apuntalamiento de programas federales como Sembrando Vida, se buscó detectar las debilidades del programa para consolidarlo dentro de todas las áreas dividiéndolas en dos partes: la social y productiva, las cuales dentro de cada una </w:t>
            </w:r>
            <w:r w:rsidRPr="00077C2A">
              <w:rPr>
                <w:rFonts w:ascii="Calibri" w:eastAsia="Times New Roman" w:hAnsi="Calibri" w:cs="Times New Roman"/>
                <w:color w:val="000000"/>
                <w:sz w:val="22"/>
                <w:szCs w:val="22"/>
                <w:lang w:eastAsia="es-ES"/>
              </w:rPr>
              <w:lastRenderedPageBreak/>
              <w:t>se desarrollaron aspectos primordiales para fortalecerlo y que alcance el éxito socioeconómico, ecológico y técnico esperado. La importancia de concientizar y erradicar las prácticas de contaminación y mal manejo de recursos naturales, así como los usos y costumbres sociales y económicos que limitan la vida social de las comunidades e impiden el crecimiento personal de las y los beneficiarios, así como sus familias.</w:t>
            </w:r>
            <w:r w:rsidRPr="00077C2A">
              <w:rPr>
                <w:rFonts w:ascii="Calibri" w:eastAsia="Times New Roman" w:hAnsi="Calibri" w:cs="Times New Roman"/>
                <w:color w:val="000000"/>
                <w:sz w:val="22"/>
                <w:szCs w:val="22"/>
                <w:lang w:eastAsia="es-ES"/>
              </w:rPr>
              <w:br/>
            </w:r>
            <w:r w:rsidRPr="00077C2A">
              <w:rPr>
                <w:rFonts w:ascii="Calibri" w:eastAsia="Times New Roman" w:hAnsi="Calibri" w:cs="Times New Roman"/>
                <w:color w:val="000000"/>
                <w:sz w:val="22"/>
                <w:szCs w:val="22"/>
                <w:lang w:eastAsia="es-ES"/>
              </w:rPr>
              <w:br/>
              <w:t>Es importante recalcar la importancia y ambición del programa Sembrando Vida que busca enaltecer la vida campesina y la enseñanza de la sustentabilidad no sólo alimenticia sino económica y social, siendo justamente estos elementos los que se atienden a través de este proyecto semilla. La salud pública, cultura ambiental, así como el manejo de los recursos económicos de las familias de las y los sembradores son indispensables para ver reflejada una mejor calidad de vida, pero también un mejor medio ambiente.</w:t>
            </w:r>
            <w:r w:rsidRPr="00077C2A">
              <w:rPr>
                <w:rFonts w:ascii="Calibri" w:eastAsia="Times New Roman" w:hAnsi="Calibri" w:cs="Times New Roman"/>
                <w:color w:val="000000"/>
                <w:sz w:val="22"/>
                <w:szCs w:val="22"/>
                <w:lang w:eastAsia="es-ES"/>
              </w:rPr>
              <w:br/>
              <w:t xml:space="preserve">Otro aspecto que cubre este proyecto es la </w:t>
            </w:r>
            <w:r w:rsidRPr="00077C2A">
              <w:rPr>
                <w:rFonts w:ascii="Calibri" w:eastAsia="Times New Roman" w:hAnsi="Calibri" w:cs="Times New Roman"/>
                <w:color w:val="000000"/>
                <w:sz w:val="22"/>
                <w:szCs w:val="22"/>
                <w:lang w:eastAsia="es-ES"/>
              </w:rPr>
              <w:lastRenderedPageBreak/>
              <w:t>atención a las y los jóvenes involucrados en un cambio mental y disciplinario que puede ser alentador para el futuro ambiental no sólo del país sino del mundo.</w:t>
            </w:r>
          </w:p>
        </w:tc>
        <w:tc>
          <w:tcPr>
            <w:tcW w:w="471" w:type="pct"/>
            <w:tcBorders>
              <w:top w:val="single" w:sz="4" w:space="0" w:color="auto"/>
              <w:left w:val="nil"/>
              <w:bottom w:val="single" w:sz="4" w:space="0" w:color="auto"/>
              <w:right w:val="single" w:sz="4" w:space="0" w:color="auto"/>
            </w:tcBorders>
            <w:shd w:val="clear" w:color="auto" w:fill="auto"/>
            <w:vAlign w:val="center"/>
          </w:tcPr>
          <w:p w14:paraId="429C85C2" w14:textId="77777777" w:rsidR="00077C2A" w:rsidRPr="00077C2A" w:rsidRDefault="00077C2A" w:rsidP="00077C2A">
            <w:pPr>
              <w:autoSpaceDE w:val="0"/>
              <w:autoSpaceDN w:val="0"/>
              <w:spacing w:line="276" w:lineRule="auto"/>
              <w:jc w:val="center"/>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lastRenderedPageBreak/>
              <w:t>19/11/2020 -  19/02/2021</w:t>
            </w:r>
          </w:p>
        </w:tc>
        <w:tc>
          <w:tcPr>
            <w:tcW w:w="629" w:type="pct"/>
            <w:tcBorders>
              <w:top w:val="single" w:sz="4" w:space="0" w:color="auto"/>
              <w:left w:val="nil"/>
              <w:bottom w:val="single" w:sz="4" w:space="0" w:color="auto"/>
              <w:right w:val="single" w:sz="4" w:space="0" w:color="auto"/>
            </w:tcBorders>
            <w:shd w:val="clear" w:color="auto" w:fill="auto"/>
            <w:vAlign w:val="center"/>
          </w:tcPr>
          <w:p w14:paraId="09C4409E"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Ramos Reyes Rodimiro</w:t>
            </w:r>
          </w:p>
        </w:tc>
      </w:tr>
      <w:tr w:rsidR="00077C2A" w:rsidRPr="00077C2A" w14:paraId="495A8225" w14:textId="77777777" w:rsidTr="008E717E">
        <w:trPr>
          <w:trHeight w:val="765"/>
        </w:trPr>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2AB6B1AA"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lastRenderedPageBreak/>
              <w:t>Transiciones de Sostenibilidad en la Selva Maya: Mapeo del Panorama de Políticas y Respuestas de Vida</w:t>
            </w:r>
          </w:p>
        </w:tc>
        <w:tc>
          <w:tcPr>
            <w:tcW w:w="621" w:type="pct"/>
            <w:tcBorders>
              <w:top w:val="single" w:sz="4" w:space="0" w:color="auto"/>
              <w:left w:val="nil"/>
              <w:bottom w:val="single" w:sz="4" w:space="0" w:color="auto"/>
              <w:right w:val="single" w:sz="4" w:space="0" w:color="auto"/>
            </w:tcBorders>
            <w:shd w:val="clear" w:color="auto" w:fill="auto"/>
            <w:vAlign w:val="center"/>
          </w:tcPr>
          <w:p w14:paraId="3DCA7F1B"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val="en-US" w:eastAsia="es-ES"/>
              </w:rPr>
            </w:pPr>
            <w:r w:rsidRPr="00077C2A">
              <w:rPr>
                <w:rFonts w:ascii="Calibri" w:eastAsia="Times New Roman" w:hAnsi="Calibri" w:cs="Times New Roman"/>
                <w:color w:val="000000"/>
                <w:sz w:val="22"/>
                <w:szCs w:val="22"/>
                <w:lang w:val="en-US" w:eastAsia="es-ES"/>
              </w:rPr>
              <w:t>The University court of the University of St Andrews</w:t>
            </w:r>
          </w:p>
        </w:tc>
        <w:tc>
          <w:tcPr>
            <w:tcW w:w="494" w:type="pct"/>
            <w:tcBorders>
              <w:top w:val="single" w:sz="4" w:space="0" w:color="auto"/>
              <w:left w:val="nil"/>
              <w:bottom w:val="single" w:sz="4" w:space="0" w:color="auto"/>
              <w:right w:val="single" w:sz="4" w:space="0" w:color="auto"/>
            </w:tcBorders>
            <w:shd w:val="clear" w:color="auto" w:fill="auto"/>
            <w:vAlign w:val="center"/>
          </w:tcPr>
          <w:p w14:paraId="1C7AF911"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472,414.81</w:t>
            </w:r>
          </w:p>
        </w:tc>
        <w:tc>
          <w:tcPr>
            <w:tcW w:w="494" w:type="pct"/>
            <w:tcBorders>
              <w:top w:val="single" w:sz="4" w:space="0" w:color="auto"/>
              <w:left w:val="nil"/>
              <w:bottom w:val="single" w:sz="4" w:space="0" w:color="auto"/>
              <w:right w:val="single" w:sz="4" w:space="0" w:color="auto"/>
            </w:tcBorders>
            <w:shd w:val="clear" w:color="auto" w:fill="auto"/>
            <w:vAlign w:val="center"/>
          </w:tcPr>
          <w:p w14:paraId="34B1B4E1"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472,414.81</w:t>
            </w:r>
          </w:p>
        </w:tc>
        <w:tc>
          <w:tcPr>
            <w:tcW w:w="1637" w:type="pct"/>
            <w:tcBorders>
              <w:top w:val="single" w:sz="4" w:space="0" w:color="auto"/>
              <w:left w:val="nil"/>
              <w:bottom w:val="single" w:sz="4" w:space="0" w:color="auto"/>
              <w:right w:val="single" w:sz="4" w:space="0" w:color="auto"/>
            </w:tcBorders>
            <w:shd w:val="clear" w:color="auto" w:fill="auto"/>
            <w:vAlign w:val="center"/>
          </w:tcPr>
          <w:p w14:paraId="2074DBF4"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Esta investigación ha fomentado una colaboración con muchos productores y personal de SV, lo que ahora va a resultar en una serie de talleres para retroalimentar el programa con los resultados de nuestra investigación sobre todo acerca del tema de adaptación de los pequeños productores al cambio climático.  A lo largo esta información les va a servir a los productores para mejorar sus técnicas agrícolas bajo circunstancias de incremento de sequías.</w:t>
            </w:r>
          </w:p>
        </w:tc>
        <w:tc>
          <w:tcPr>
            <w:tcW w:w="471" w:type="pct"/>
            <w:tcBorders>
              <w:top w:val="single" w:sz="4" w:space="0" w:color="auto"/>
              <w:left w:val="nil"/>
              <w:bottom w:val="single" w:sz="4" w:space="0" w:color="auto"/>
              <w:right w:val="single" w:sz="4" w:space="0" w:color="auto"/>
            </w:tcBorders>
            <w:shd w:val="clear" w:color="auto" w:fill="auto"/>
            <w:vAlign w:val="center"/>
          </w:tcPr>
          <w:p w14:paraId="3E26ECAB" w14:textId="77777777" w:rsidR="00077C2A" w:rsidRPr="00077C2A" w:rsidRDefault="00077C2A" w:rsidP="00077C2A">
            <w:pPr>
              <w:autoSpaceDE w:val="0"/>
              <w:autoSpaceDN w:val="0"/>
              <w:spacing w:line="276" w:lineRule="auto"/>
              <w:jc w:val="center"/>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08/07/2020 – 31/08/2020</w:t>
            </w:r>
          </w:p>
        </w:tc>
        <w:tc>
          <w:tcPr>
            <w:tcW w:w="629" w:type="pct"/>
            <w:tcBorders>
              <w:top w:val="single" w:sz="4" w:space="0" w:color="auto"/>
              <w:left w:val="nil"/>
              <w:bottom w:val="single" w:sz="4" w:space="0" w:color="auto"/>
              <w:right w:val="single" w:sz="4" w:space="0" w:color="auto"/>
            </w:tcBorders>
            <w:shd w:val="clear" w:color="auto" w:fill="auto"/>
            <w:vAlign w:val="center"/>
          </w:tcPr>
          <w:p w14:paraId="76522B78"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Schmook Birgit Inge</w:t>
            </w:r>
          </w:p>
        </w:tc>
      </w:tr>
      <w:tr w:rsidR="00077C2A" w:rsidRPr="00077C2A" w14:paraId="4E4A4515" w14:textId="77777777" w:rsidTr="008E717E">
        <w:trPr>
          <w:trHeight w:val="2175"/>
        </w:trPr>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303FA07B"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Sembrando economías solidarias y soberanía agroalimentaria en territorios campesinos de la Península de Yucatán.</w:t>
            </w:r>
          </w:p>
        </w:tc>
        <w:tc>
          <w:tcPr>
            <w:tcW w:w="621" w:type="pct"/>
            <w:tcBorders>
              <w:top w:val="single" w:sz="4" w:space="0" w:color="auto"/>
              <w:left w:val="nil"/>
              <w:bottom w:val="single" w:sz="4" w:space="0" w:color="auto"/>
              <w:right w:val="single" w:sz="4" w:space="0" w:color="auto"/>
            </w:tcBorders>
            <w:shd w:val="clear" w:color="auto" w:fill="auto"/>
            <w:vAlign w:val="center"/>
          </w:tcPr>
          <w:p w14:paraId="13FC5CC3"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Fondo Institucional de Fomento Regional para el Desarrollo Científico, Tecnológico y de Innovación</w:t>
            </w:r>
          </w:p>
        </w:tc>
        <w:tc>
          <w:tcPr>
            <w:tcW w:w="494" w:type="pct"/>
            <w:tcBorders>
              <w:top w:val="single" w:sz="4" w:space="0" w:color="auto"/>
              <w:left w:val="nil"/>
              <w:bottom w:val="single" w:sz="4" w:space="0" w:color="auto"/>
              <w:right w:val="single" w:sz="4" w:space="0" w:color="auto"/>
            </w:tcBorders>
            <w:shd w:val="clear" w:color="auto" w:fill="auto"/>
            <w:vAlign w:val="center"/>
          </w:tcPr>
          <w:p w14:paraId="537F62A8"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100,000.00</w:t>
            </w:r>
          </w:p>
        </w:tc>
        <w:tc>
          <w:tcPr>
            <w:tcW w:w="494" w:type="pct"/>
            <w:tcBorders>
              <w:top w:val="single" w:sz="4" w:space="0" w:color="auto"/>
              <w:left w:val="nil"/>
              <w:bottom w:val="single" w:sz="4" w:space="0" w:color="auto"/>
              <w:right w:val="single" w:sz="4" w:space="0" w:color="auto"/>
            </w:tcBorders>
            <w:shd w:val="clear" w:color="auto" w:fill="auto"/>
            <w:vAlign w:val="center"/>
          </w:tcPr>
          <w:p w14:paraId="58F89B40"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97,549.38</w:t>
            </w:r>
          </w:p>
        </w:tc>
        <w:tc>
          <w:tcPr>
            <w:tcW w:w="1637" w:type="pct"/>
            <w:tcBorders>
              <w:top w:val="single" w:sz="4" w:space="0" w:color="auto"/>
              <w:left w:val="nil"/>
              <w:bottom w:val="single" w:sz="4" w:space="0" w:color="auto"/>
              <w:right w:val="single" w:sz="4" w:space="0" w:color="auto"/>
            </w:tcBorders>
            <w:shd w:val="clear" w:color="auto" w:fill="auto"/>
            <w:vAlign w:val="center"/>
          </w:tcPr>
          <w:p w14:paraId="5468C662"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 xml:space="preserve">Contribuir en la transformación de la política pública para el campo mexicano y coadyuvar con SV a remontar el relegamiento en el bienestar de los sujetos agrarios, el desarrollo rural integral y la degradación ambiental en la PY, corresponde a un problema nacional debido a que en ello se identifican sujetos sociales, reconocen obstáculos a remontar, determina un espacio de </w:t>
            </w:r>
            <w:r w:rsidRPr="00077C2A">
              <w:rPr>
                <w:rFonts w:ascii="Calibri" w:eastAsia="Times New Roman" w:hAnsi="Calibri" w:cs="Times New Roman"/>
                <w:color w:val="000000"/>
                <w:sz w:val="22"/>
                <w:szCs w:val="22"/>
                <w:lang w:eastAsia="es-ES"/>
              </w:rPr>
              <w:lastRenderedPageBreak/>
              <w:t>incidencia y se busca acompañar a los sujetos en la construcción de instrumentos y de un contexto institucional propicio para solventar el problema. Los sujetos del proyecto son los sembradores y no sembradores de territorios campesinos-indígenas en micro-regiones de la PY, así como los funcionarios del programa. El espacio de incidencia es apuntalar regionalmente el funcionamiento de SV para que se articule con los sistemas productivos comunitarios, con las necesidades y culturas alimentarias locales y para que mejore los esquemas regionales de comercialización. El contexto institucional a construir es una nueva relación Estado-campesinos-mercados, y entre los instrumentos destacan las alternativas agroecológicas de producción, los sistemas alimentarios localizados, y las figuras asociativas y expresiones comunitarias propias de las economías solidarias.</w:t>
            </w:r>
          </w:p>
        </w:tc>
        <w:tc>
          <w:tcPr>
            <w:tcW w:w="471" w:type="pct"/>
            <w:tcBorders>
              <w:top w:val="single" w:sz="4" w:space="0" w:color="auto"/>
              <w:left w:val="nil"/>
              <w:bottom w:val="single" w:sz="4" w:space="0" w:color="auto"/>
              <w:right w:val="single" w:sz="4" w:space="0" w:color="auto"/>
            </w:tcBorders>
            <w:shd w:val="clear" w:color="auto" w:fill="auto"/>
            <w:vAlign w:val="center"/>
          </w:tcPr>
          <w:p w14:paraId="528F792A" w14:textId="77777777" w:rsidR="00077C2A" w:rsidRPr="00077C2A" w:rsidRDefault="00077C2A" w:rsidP="00077C2A">
            <w:pPr>
              <w:autoSpaceDE w:val="0"/>
              <w:autoSpaceDN w:val="0"/>
              <w:spacing w:line="276" w:lineRule="auto"/>
              <w:jc w:val="center"/>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lastRenderedPageBreak/>
              <w:t>21/10/2020 – 28/02/2021</w:t>
            </w:r>
          </w:p>
        </w:tc>
        <w:tc>
          <w:tcPr>
            <w:tcW w:w="629" w:type="pct"/>
            <w:tcBorders>
              <w:top w:val="single" w:sz="4" w:space="0" w:color="auto"/>
              <w:left w:val="nil"/>
              <w:bottom w:val="single" w:sz="4" w:space="0" w:color="auto"/>
              <w:right w:val="single" w:sz="4" w:space="0" w:color="auto"/>
            </w:tcBorders>
            <w:shd w:val="clear" w:color="auto" w:fill="auto"/>
            <w:vAlign w:val="center"/>
          </w:tcPr>
          <w:p w14:paraId="652818BF"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Gracia María Amalia</w:t>
            </w:r>
          </w:p>
        </w:tc>
      </w:tr>
      <w:tr w:rsidR="00077C2A" w:rsidRPr="00077C2A" w14:paraId="0DD9D417" w14:textId="77777777" w:rsidTr="008E717E">
        <w:trPr>
          <w:trHeight w:val="2295"/>
        </w:trPr>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12490D79"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sz w:val="22"/>
                <w:szCs w:val="22"/>
                <w:lang w:eastAsia="es-ES"/>
              </w:rPr>
              <w:lastRenderedPageBreak/>
              <w:t>Metodologías para el registro de proyectos forestales de carbono y la certificación del incremento en los acervos de carbono en México.</w:t>
            </w:r>
          </w:p>
        </w:tc>
        <w:tc>
          <w:tcPr>
            <w:tcW w:w="621" w:type="pct"/>
            <w:tcBorders>
              <w:top w:val="single" w:sz="4" w:space="0" w:color="auto"/>
              <w:left w:val="nil"/>
              <w:bottom w:val="single" w:sz="4" w:space="0" w:color="auto"/>
              <w:right w:val="single" w:sz="4" w:space="0" w:color="auto"/>
            </w:tcBorders>
            <w:shd w:val="clear" w:color="auto" w:fill="auto"/>
            <w:vAlign w:val="center"/>
          </w:tcPr>
          <w:p w14:paraId="1796A271"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sz w:val="22"/>
                <w:szCs w:val="22"/>
                <w:lang w:eastAsia="es-ES"/>
              </w:rPr>
              <w:t>Tecnológico Nacional de México / Instituto Tecnológico de El Salto</w:t>
            </w:r>
          </w:p>
        </w:tc>
        <w:tc>
          <w:tcPr>
            <w:tcW w:w="494" w:type="pct"/>
            <w:tcBorders>
              <w:top w:val="single" w:sz="4" w:space="0" w:color="auto"/>
              <w:left w:val="nil"/>
              <w:bottom w:val="single" w:sz="4" w:space="0" w:color="auto"/>
              <w:right w:val="single" w:sz="4" w:space="0" w:color="auto"/>
            </w:tcBorders>
            <w:shd w:val="clear" w:color="auto" w:fill="auto"/>
            <w:vAlign w:val="center"/>
          </w:tcPr>
          <w:p w14:paraId="08E28778"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450,200.00</w:t>
            </w:r>
          </w:p>
        </w:tc>
        <w:tc>
          <w:tcPr>
            <w:tcW w:w="494" w:type="pct"/>
            <w:tcBorders>
              <w:top w:val="single" w:sz="4" w:space="0" w:color="auto"/>
              <w:left w:val="nil"/>
              <w:bottom w:val="single" w:sz="4" w:space="0" w:color="auto"/>
              <w:right w:val="single" w:sz="4" w:space="0" w:color="auto"/>
            </w:tcBorders>
            <w:shd w:val="clear" w:color="auto" w:fill="auto"/>
            <w:vAlign w:val="center"/>
          </w:tcPr>
          <w:p w14:paraId="7573C5D5"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450,200.00</w:t>
            </w:r>
          </w:p>
        </w:tc>
        <w:tc>
          <w:tcPr>
            <w:tcW w:w="1637" w:type="pct"/>
            <w:tcBorders>
              <w:top w:val="single" w:sz="4" w:space="0" w:color="auto"/>
              <w:left w:val="nil"/>
              <w:bottom w:val="single" w:sz="4" w:space="0" w:color="auto"/>
              <w:right w:val="single" w:sz="4" w:space="0" w:color="auto"/>
            </w:tcBorders>
            <w:shd w:val="clear" w:color="auto" w:fill="auto"/>
            <w:vAlign w:val="center"/>
          </w:tcPr>
          <w:p w14:paraId="757961E7"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Las metodologías propuestas permitirán el desarrollo de proyectos de carbono en los diferentes ecosistemas de México, entre los que destacan bosques, selvas y vegetación de zonas áridas y semiáridas. Además, a partir de estas metodologías se prevé́ que tanto el desarrollo de los proyectos, como la certificación con el estándar de esta NMX, se logre una reducción de los costos para las comunidades, respecto de los estándares internacionales existentes. Por último, los resultados de este proyecto representan una alternativa más para que las comunidades elijan la opción que más les convenga y ofrezca mayores oportunidades de elegibilidad para acceder a créditos o compensaciones de emisiones. Lo anterior, debe vincularse a la necesidad de que la CONAFOR refuerce el tema de la calidad de una asistencia técnica comprometida con las comunidades.</w:t>
            </w:r>
          </w:p>
        </w:tc>
        <w:tc>
          <w:tcPr>
            <w:tcW w:w="471" w:type="pct"/>
            <w:tcBorders>
              <w:top w:val="single" w:sz="4" w:space="0" w:color="auto"/>
              <w:left w:val="nil"/>
              <w:bottom w:val="single" w:sz="4" w:space="0" w:color="auto"/>
              <w:right w:val="single" w:sz="4" w:space="0" w:color="auto"/>
            </w:tcBorders>
            <w:shd w:val="clear" w:color="auto" w:fill="auto"/>
            <w:vAlign w:val="center"/>
          </w:tcPr>
          <w:p w14:paraId="4CADDFEA" w14:textId="77777777" w:rsidR="00077C2A" w:rsidRPr="00077C2A" w:rsidRDefault="00077C2A" w:rsidP="00077C2A">
            <w:pPr>
              <w:autoSpaceDE w:val="0"/>
              <w:autoSpaceDN w:val="0"/>
              <w:spacing w:line="276" w:lineRule="auto"/>
              <w:jc w:val="center"/>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03/12/2018 – 04/12/2020</w:t>
            </w:r>
          </w:p>
        </w:tc>
        <w:tc>
          <w:tcPr>
            <w:tcW w:w="629" w:type="pct"/>
            <w:tcBorders>
              <w:top w:val="single" w:sz="4" w:space="0" w:color="auto"/>
              <w:left w:val="nil"/>
              <w:bottom w:val="single" w:sz="4" w:space="0" w:color="auto"/>
              <w:right w:val="single" w:sz="4" w:space="0" w:color="auto"/>
            </w:tcBorders>
            <w:shd w:val="clear" w:color="auto" w:fill="auto"/>
            <w:vAlign w:val="center"/>
          </w:tcPr>
          <w:p w14:paraId="4573FDBB"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val="en-US" w:eastAsia="es-ES"/>
              </w:rPr>
            </w:pPr>
            <w:r w:rsidRPr="00077C2A">
              <w:rPr>
                <w:rFonts w:ascii="Calibri" w:eastAsia="Times New Roman" w:hAnsi="Calibri" w:cs="Times New Roman"/>
                <w:color w:val="000000"/>
                <w:sz w:val="22"/>
                <w:szCs w:val="22"/>
                <w:lang w:val="en-US" w:eastAsia="es-ES"/>
              </w:rPr>
              <w:t>Macario Mendoza Pedro Antonio</w:t>
            </w:r>
          </w:p>
        </w:tc>
      </w:tr>
      <w:tr w:rsidR="00077C2A" w:rsidRPr="00077C2A" w14:paraId="11A344D4" w14:textId="77777777" w:rsidTr="008E717E">
        <w:trPr>
          <w:trHeight w:val="2295"/>
        </w:trPr>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78AA3212"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lastRenderedPageBreak/>
              <w:t>Vulnerabilidad de los sistemas socioambientales costeros del sur del Golfo de México y Caribe: amenazas y adaptación</w:t>
            </w:r>
          </w:p>
        </w:tc>
        <w:tc>
          <w:tcPr>
            <w:tcW w:w="621" w:type="pct"/>
            <w:tcBorders>
              <w:top w:val="single" w:sz="4" w:space="0" w:color="auto"/>
              <w:left w:val="nil"/>
              <w:bottom w:val="single" w:sz="4" w:space="0" w:color="auto"/>
              <w:right w:val="single" w:sz="4" w:space="0" w:color="auto"/>
            </w:tcBorders>
            <w:shd w:val="clear" w:color="auto" w:fill="auto"/>
            <w:vAlign w:val="center"/>
          </w:tcPr>
          <w:p w14:paraId="344FD3D3"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Fondo Institucional de Fomento Regional para el Desarrollo Científico, Tecnológico y de Innovación</w:t>
            </w:r>
          </w:p>
        </w:tc>
        <w:tc>
          <w:tcPr>
            <w:tcW w:w="494" w:type="pct"/>
            <w:tcBorders>
              <w:top w:val="single" w:sz="4" w:space="0" w:color="auto"/>
              <w:left w:val="nil"/>
              <w:bottom w:val="single" w:sz="4" w:space="0" w:color="auto"/>
              <w:right w:val="single" w:sz="4" w:space="0" w:color="auto"/>
            </w:tcBorders>
            <w:shd w:val="clear" w:color="auto" w:fill="auto"/>
            <w:vAlign w:val="center"/>
          </w:tcPr>
          <w:p w14:paraId="757E2615"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64,140.73</w:t>
            </w:r>
          </w:p>
        </w:tc>
        <w:tc>
          <w:tcPr>
            <w:tcW w:w="494" w:type="pct"/>
            <w:tcBorders>
              <w:top w:val="single" w:sz="4" w:space="0" w:color="auto"/>
              <w:left w:val="nil"/>
              <w:bottom w:val="single" w:sz="4" w:space="0" w:color="auto"/>
              <w:right w:val="single" w:sz="4" w:space="0" w:color="auto"/>
            </w:tcBorders>
            <w:shd w:val="clear" w:color="auto" w:fill="auto"/>
            <w:vAlign w:val="center"/>
          </w:tcPr>
          <w:p w14:paraId="0387EB12" w14:textId="77777777" w:rsidR="00077C2A" w:rsidRPr="00077C2A" w:rsidRDefault="00077C2A" w:rsidP="00077C2A">
            <w:pPr>
              <w:autoSpaceDE w:val="0"/>
              <w:autoSpaceDN w:val="0"/>
              <w:spacing w:line="276" w:lineRule="auto"/>
              <w:jc w:val="right"/>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64,140.73</w:t>
            </w:r>
          </w:p>
        </w:tc>
        <w:tc>
          <w:tcPr>
            <w:tcW w:w="1637" w:type="pct"/>
            <w:tcBorders>
              <w:top w:val="single" w:sz="4" w:space="0" w:color="auto"/>
              <w:left w:val="nil"/>
              <w:bottom w:val="single" w:sz="4" w:space="0" w:color="auto"/>
              <w:right w:val="single" w:sz="4" w:space="0" w:color="auto"/>
            </w:tcBorders>
            <w:shd w:val="clear" w:color="auto" w:fill="auto"/>
            <w:vAlign w:val="center"/>
          </w:tcPr>
          <w:p w14:paraId="1051B356"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El proyecto fue un fondo semilla para generar un proyecto en extenso.</w:t>
            </w:r>
          </w:p>
        </w:tc>
        <w:tc>
          <w:tcPr>
            <w:tcW w:w="471" w:type="pct"/>
            <w:tcBorders>
              <w:top w:val="single" w:sz="4" w:space="0" w:color="auto"/>
              <w:left w:val="nil"/>
              <w:bottom w:val="single" w:sz="4" w:space="0" w:color="auto"/>
              <w:right w:val="single" w:sz="4" w:space="0" w:color="auto"/>
            </w:tcBorders>
            <w:shd w:val="clear" w:color="auto" w:fill="auto"/>
            <w:vAlign w:val="center"/>
          </w:tcPr>
          <w:p w14:paraId="29599AA6" w14:textId="77777777" w:rsidR="00077C2A" w:rsidRPr="00077C2A" w:rsidRDefault="00077C2A" w:rsidP="00077C2A">
            <w:pPr>
              <w:autoSpaceDE w:val="0"/>
              <w:autoSpaceDN w:val="0"/>
              <w:spacing w:line="276" w:lineRule="auto"/>
              <w:jc w:val="center"/>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20/10/2020 – 20/01/2021</w:t>
            </w:r>
          </w:p>
        </w:tc>
        <w:tc>
          <w:tcPr>
            <w:tcW w:w="629" w:type="pct"/>
            <w:tcBorders>
              <w:top w:val="single" w:sz="4" w:space="0" w:color="auto"/>
              <w:left w:val="nil"/>
              <w:bottom w:val="single" w:sz="4" w:space="0" w:color="auto"/>
              <w:right w:val="single" w:sz="4" w:space="0" w:color="auto"/>
            </w:tcBorders>
            <w:shd w:val="clear" w:color="auto" w:fill="auto"/>
            <w:vAlign w:val="center"/>
          </w:tcPr>
          <w:p w14:paraId="6D8E92D1"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Pech Pool Daniel Guadalupe</w:t>
            </w:r>
          </w:p>
        </w:tc>
      </w:tr>
      <w:tr w:rsidR="00077C2A" w:rsidRPr="00077C2A" w14:paraId="4921620E" w14:textId="77777777" w:rsidTr="008E717E">
        <w:trPr>
          <w:trHeight w:val="2295"/>
        </w:trPr>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3F9437E1"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Creación de la red de laboratorios virtuales de centros CONACyT para la atención de estudiantes a distancia.</w:t>
            </w:r>
          </w:p>
        </w:tc>
        <w:tc>
          <w:tcPr>
            <w:tcW w:w="621" w:type="pct"/>
            <w:tcBorders>
              <w:top w:val="single" w:sz="4" w:space="0" w:color="auto"/>
              <w:left w:val="nil"/>
              <w:bottom w:val="single" w:sz="4" w:space="0" w:color="auto"/>
              <w:right w:val="single" w:sz="4" w:space="0" w:color="auto"/>
            </w:tcBorders>
            <w:shd w:val="clear" w:color="auto" w:fill="auto"/>
            <w:vAlign w:val="center"/>
          </w:tcPr>
          <w:p w14:paraId="34309BCA"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Centro de Investigación y Desarrollo Tecnológico en Electroquímica, S.C. (CIDETEQ)</w:t>
            </w:r>
          </w:p>
        </w:tc>
        <w:tc>
          <w:tcPr>
            <w:tcW w:w="494" w:type="pct"/>
            <w:tcBorders>
              <w:top w:val="single" w:sz="4" w:space="0" w:color="auto"/>
              <w:left w:val="nil"/>
              <w:bottom w:val="single" w:sz="4" w:space="0" w:color="auto"/>
              <w:right w:val="single" w:sz="4" w:space="0" w:color="auto"/>
            </w:tcBorders>
            <w:shd w:val="clear" w:color="auto" w:fill="auto"/>
            <w:vAlign w:val="center"/>
          </w:tcPr>
          <w:p w14:paraId="47D5612F"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6,297,182.68</w:t>
            </w:r>
          </w:p>
        </w:tc>
        <w:tc>
          <w:tcPr>
            <w:tcW w:w="494" w:type="pct"/>
            <w:tcBorders>
              <w:top w:val="single" w:sz="4" w:space="0" w:color="auto"/>
              <w:left w:val="nil"/>
              <w:bottom w:val="single" w:sz="4" w:space="0" w:color="auto"/>
              <w:right w:val="single" w:sz="4" w:space="0" w:color="auto"/>
            </w:tcBorders>
            <w:shd w:val="clear" w:color="auto" w:fill="auto"/>
            <w:vAlign w:val="center"/>
          </w:tcPr>
          <w:p w14:paraId="5FFE28E1"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6,297,182.68</w:t>
            </w:r>
          </w:p>
        </w:tc>
        <w:tc>
          <w:tcPr>
            <w:tcW w:w="1637" w:type="pct"/>
            <w:tcBorders>
              <w:top w:val="single" w:sz="4" w:space="0" w:color="auto"/>
              <w:left w:val="nil"/>
              <w:bottom w:val="single" w:sz="4" w:space="0" w:color="auto"/>
              <w:right w:val="single" w:sz="4" w:space="0" w:color="auto"/>
            </w:tcBorders>
            <w:shd w:val="clear" w:color="auto" w:fill="auto"/>
            <w:vAlign w:val="center"/>
          </w:tcPr>
          <w:p w14:paraId="347333A7"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eastAsia="es-ES"/>
              </w:rPr>
            </w:pPr>
            <w:r w:rsidRPr="00077C2A">
              <w:rPr>
                <w:rFonts w:ascii="Calibri" w:eastAsia="Times New Roman" w:hAnsi="Calibri" w:cs="Times New Roman"/>
                <w:color w:val="000000"/>
                <w:sz w:val="22"/>
                <w:szCs w:val="22"/>
                <w:lang w:eastAsia="es-ES"/>
              </w:rPr>
              <w:t>Vinculación con proyectos de investigación científica y tecnológica vigentes en ECOSUR asociados al Doctorado en Ciencias en Ecología y Desarrollo Sustentable y a la Maestría en Ciencias en Recursos Naturales y Desarrollo Rural, en Agroecología y en Ecología Internacional pertenecientes al PNPC de CONACYT.</w:t>
            </w:r>
            <w:r w:rsidRPr="00077C2A">
              <w:rPr>
                <w:rFonts w:ascii="Calibri" w:eastAsia="Times New Roman" w:hAnsi="Calibri" w:cs="Times New Roman"/>
                <w:color w:val="000000"/>
                <w:sz w:val="22"/>
                <w:szCs w:val="22"/>
                <w:lang w:eastAsia="es-ES"/>
              </w:rPr>
              <w:br/>
              <w:t>Vinculación con proyectos de investigación y tecnológicos con universidades regionales y organizaciones gubernamentales. Se suscribirán convenios de colaboración sustentados en los incrementos de la oferta y alcance educativo logrados por este proyecto.</w:t>
            </w:r>
          </w:p>
        </w:tc>
        <w:tc>
          <w:tcPr>
            <w:tcW w:w="471" w:type="pct"/>
            <w:tcBorders>
              <w:top w:val="single" w:sz="4" w:space="0" w:color="auto"/>
              <w:left w:val="nil"/>
              <w:bottom w:val="single" w:sz="4" w:space="0" w:color="auto"/>
              <w:right w:val="single" w:sz="4" w:space="0" w:color="auto"/>
            </w:tcBorders>
            <w:shd w:val="clear" w:color="auto" w:fill="auto"/>
            <w:vAlign w:val="center"/>
          </w:tcPr>
          <w:p w14:paraId="4291676F" w14:textId="77777777" w:rsidR="00077C2A" w:rsidRPr="00077C2A" w:rsidRDefault="00077C2A" w:rsidP="00077C2A">
            <w:pPr>
              <w:autoSpaceDE w:val="0"/>
              <w:autoSpaceDN w:val="0"/>
              <w:spacing w:line="276" w:lineRule="auto"/>
              <w:jc w:val="center"/>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20/10/2020 – 31/12/2020</w:t>
            </w:r>
          </w:p>
        </w:tc>
        <w:tc>
          <w:tcPr>
            <w:tcW w:w="629" w:type="pct"/>
            <w:tcBorders>
              <w:top w:val="single" w:sz="4" w:space="0" w:color="auto"/>
              <w:left w:val="nil"/>
              <w:bottom w:val="single" w:sz="4" w:space="0" w:color="auto"/>
              <w:right w:val="single" w:sz="4" w:space="0" w:color="auto"/>
            </w:tcBorders>
            <w:shd w:val="clear" w:color="auto" w:fill="auto"/>
            <w:vAlign w:val="center"/>
          </w:tcPr>
          <w:p w14:paraId="5F39D807" w14:textId="77777777" w:rsidR="00077C2A" w:rsidRPr="00077C2A" w:rsidRDefault="00077C2A" w:rsidP="00077C2A">
            <w:pPr>
              <w:autoSpaceDE w:val="0"/>
              <w:autoSpaceDN w:val="0"/>
              <w:spacing w:line="276" w:lineRule="auto"/>
              <w:rPr>
                <w:rFonts w:ascii="Calibri" w:eastAsia="Times New Roman" w:hAnsi="Calibri" w:cs="Calibri"/>
                <w:color w:val="000000"/>
                <w:sz w:val="22"/>
                <w:szCs w:val="22"/>
                <w:lang w:val="en-US" w:eastAsia="es-ES"/>
              </w:rPr>
            </w:pPr>
            <w:r w:rsidRPr="00077C2A">
              <w:rPr>
                <w:rFonts w:ascii="Calibri" w:eastAsia="Times New Roman" w:hAnsi="Calibri" w:cs="Times New Roman"/>
                <w:sz w:val="22"/>
                <w:szCs w:val="22"/>
                <w:lang w:val="en-US" w:eastAsia="es-ES"/>
              </w:rPr>
              <w:t>López Anaya Miguel Angel</w:t>
            </w:r>
          </w:p>
        </w:tc>
      </w:tr>
    </w:tbl>
    <w:p w14:paraId="20BB80F0" w14:textId="77777777" w:rsidR="00077C2A" w:rsidRPr="00077C2A" w:rsidRDefault="00077C2A" w:rsidP="00077C2A">
      <w:pPr>
        <w:tabs>
          <w:tab w:val="left" w:pos="4155"/>
        </w:tabs>
        <w:autoSpaceDE w:val="0"/>
        <w:autoSpaceDN w:val="0"/>
        <w:spacing w:line="276" w:lineRule="auto"/>
        <w:rPr>
          <w:rFonts w:ascii="Montserrata" w:eastAsia="Times New Roman" w:hAnsi="Montserrata" w:cs="Times New Roman"/>
          <w:sz w:val="22"/>
          <w:szCs w:val="22"/>
          <w:lang w:val="es-ES" w:eastAsia="es-ES"/>
        </w:rPr>
      </w:pPr>
    </w:p>
    <w:p w14:paraId="440BF222" w14:textId="77777777" w:rsidR="000934AA" w:rsidRPr="004C16DA" w:rsidRDefault="000934AA" w:rsidP="00077C2A">
      <w:pPr>
        <w:spacing w:line="276" w:lineRule="auto"/>
      </w:pPr>
    </w:p>
    <w:sectPr w:rsidR="000934AA" w:rsidRPr="004C16DA" w:rsidSect="00077C2A">
      <w:headerReference w:type="default" r:id="rId7"/>
      <w:footerReference w:type="default" r:id="rId8"/>
      <w:pgSz w:w="15840" w:h="12240" w:orient="landscape"/>
      <w:pgMar w:top="1701" w:right="175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CAF8B" w14:textId="77777777" w:rsidR="001F529E" w:rsidRDefault="001F529E">
      <w:r>
        <w:separator/>
      </w:r>
    </w:p>
  </w:endnote>
  <w:endnote w:type="continuationSeparator" w:id="0">
    <w:p w14:paraId="6BD74468" w14:textId="77777777" w:rsidR="001F529E" w:rsidRDefault="001F5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berana Sans Light">
    <w:altName w:val="Calibri"/>
    <w:panose1 w:val="00000000000000000000"/>
    <w:charset w:val="00"/>
    <w:family w:val="modern"/>
    <w:notTrueType/>
    <w:pitch w:val="variable"/>
    <w:sig w:usb0="800000AF" w:usb1="4000204B" w:usb2="00000000" w:usb3="00000000" w:csb0="00000001"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serrat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ontserrata">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2D45" w14:textId="77777777" w:rsidR="003A63EB" w:rsidRPr="004C16DA" w:rsidRDefault="001F529E" w:rsidP="003A63EB">
    <w:pPr>
      <w:pStyle w:val="Piedepgina"/>
      <w:jc w:val="center"/>
      <w:rPr>
        <w:rFonts w:ascii="Montserrat" w:eastAsia="Batang" w:hAnsi="Montserrat"/>
        <w:b/>
        <w:i/>
        <w:color w:val="A6A6A6"/>
        <w:sz w:val="18"/>
        <w:szCs w:val="18"/>
      </w:rPr>
    </w:pPr>
  </w:p>
  <w:p w14:paraId="2E1DAB53" w14:textId="77777777" w:rsidR="003A63EB" w:rsidRPr="004C16DA" w:rsidRDefault="00C96130" w:rsidP="003A63EB">
    <w:pPr>
      <w:pStyle w:val="Piedepgina"/>
      <w:jc w:val="center"/>
      <w:rPr>
        <w:rFonts w:ascii="Montserrat" w:eastAsia="Batang" w:hAnsi="Montserrat"/>
        <w:b/>
        <w:i/>
        <w:color w:val="A6A6A6"/>
        <w:sz w:val="18"/>
        <w:szCs w:val="18"/>
      </w:rPr>
    </w:pPr>
    <w:r w:rsidRPr="004C16DA">
      <w:rPr>
        <w:rFonts w:ascii="Montserrat" w:eastAsia="Batang" w:hAnsi="Montserrat"/>
        <w:b/>
        <w:i/>
        <w:color w:val="A6A6A6"/>
        <w:sz w:val="18"/>
        <w:szCs w:val="18"/>
      </w:rPr>
      <w:t>Segunda Sesión Ordinaria de la Junta de Gobierno 2021</w:t>
    </w:r>
  </w:p>
  <w:p w14:paraId="43426146" w14:textId="77777777" w:rsidR="003A63EB" w:rsidRDefault="001F529E" w:rsidP="003A63EB">
    <w:pPr>
      <w:pStyle w:val="Piedepgina"/>
      <w:jc w:val="center"/>
    </w:pPr>
  </w:p>
  <w:sdt>
    <w:sdtPr>
      <w:id w:val="1156028607"/>
      <w:docPartObj>
        <w:docPartGallery w:val="Page Numbers (Bottom of Page)"/>
        <w:docPartUnique/>
      </w:docPartObj>
    </w:sdtPr>
    <w:sdtEndPr>
      <w:rPr>
        <w:rFonts w:ascii="Montserrat" w:hAnsi="Montserrat"/>
        <w:sz w:val="16"/>
        <w:szCs w:val="16"/>
      </w:rPr>
    </w:sdtEndPr>
    <w:sdtContent>
      <w:p w14:paraId="649A9744" w14:textId="77777777" w:rsidR="003A63EB" w:rsidRDefault="00C96130">
        <w:pPr>
          <w:pStyle w:val="Piedepgina"/>
          <w:jc w:val="right"/>
        </w:pPr>
        <w:r w:rsidRPr="00822148">
          <w:rPr>
            <w:rFonts w:ascii="Montserrat" w:hAnsi="Montserrat"/>
            <w:sz w:val="20"/>
            <w:szCs w:val="20"/>
          </w:rPr>
          <w:fldChar w:fldCharType="begin"/>
        </w:r>
        <w:r w:rsidRPr="00822148">
          <w:rPr>
            <w:rFonts w:ascii="Montserrat" w:hAnsi="Montserrat"/>
            <w:sz w:val="20"/>
            <w:szCs w:val="20"/>
          </w:rPr>
          <w:instrText>PAGE   \* MERGEFORMAT</w:instrText>
        </w:r>
        <w:r w:rsidRPr="00822148">
          <w:rPr>
            <w:rFonts w:ascii="Montserrat" w:hAnsi="Montserrat"/>
            <w:sz w:val="20"/>
            <w:szCs w:val="20"/>
          </w:rPr>
          <w:fldChar w:fldCharType="separate"/>
        </w:r>
        <w:r w:rsidRPr="00822148">
          <w:rPr>
            <w:rFonts w:ascii="Montserrat" w:hAnsi="Montserrat"/>
            <w:sz w:val="20"/>
            <w:szCs w:val="20"/>
            <w:lang w:val="es-ES"/>
          </w:rPr>
          <w:t>2</w:t>
        </w:r>
        <w:r w:rsidRPr="00822148">
          <w:rPr>
            <w:rFonts w:ascii="Montserrat" w:hAnsi="Montserrat"/>
            <w:sz w:val="20"/>
            <w:szCs w:val="20"/>
          </w:rPr>
          <w:fldChar w:fldCharType="end"/>
        </w:r>
      </w:p>
    </w:sdtContent>
  </w:sdt>
  <w:p w14:paraId="19A9E791" w14:textId="77777777" w:rsidR="00E57969" w:rsidRPr="004C16DA" w:rsidRDefault="001F529E" w:rsidP="00E364CC">
    <w:pPr>
      <w:pStyle w:val="Piedepgina"/>
      <w:tabs>
        <w:tab w:val="left" w:pos="8624"/>
        <w:tab w:val="right" w:pos="9405"/>
      </w:tabs>
      <w:rPr>
        <w:rFonts w:ascii="Montserrat" w:hAnsi="Montserrat"/>
        <w:color w:val="A6A6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C2701" w14:textId="77777777" w:rsidR="001F529E" w:rsidRDefault="001F529E">
      <w:r>
        <w:separator/>
      </w:r>
    </w:p>
  </w:footnote>
  <w:footnote w:type="continuationSeparator" w:id="0">
    <w:p w14:paraId="40A6A85E" w14:textId="77777777" w:rsidR="001F529E" w:rsidRDefault="001F52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3D7D" w14:textId="77777777" w:rsidR="00EE1715" w:rsidRDefault="00C96130"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05D39110" wp14:editId="2070C4CB">
              <wp:simplePos x="0" y="0"/>
              <wp:positionH relativeFrom="margin">
                <wp:align>center</wp:align>
              </wp:positionH>
              <wp:positionV relativeFrom="paragraph">
                <wp:posOffset>-199390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FED5F" id="Grupo 9" o:spid="_x0000_s1026" style="position:absolute;margin-left:0;margin-top:-15.7pt;width:435.1pt;height:75.7pt;z-index:251659264;mso-position-horizontal:center;mso-position-horizontal-relative:margin;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w10:wrap anchorx="margin"/>
            </v:group>
          </w:pict>
        </mc:Fallback>
      </mc:AlternateContent>
    </w:r>
  </w:p>
  <w:p w14:paraId="10FCC572" w14:textId="77777777" w:rsidR="00EE1715" w:rsidRDefault="001F529E" w:rsidP="00E364CC">
    <w:pPr>
      <w:pStyle w:val="Encabezado"/>
      <w:tabs>
        <w:tab w:val="left" w:pos="1134"/>
      </w:tabs>
    </w:pPr>
  </w:p>
  <w:p w14:paraId="4C2F6282" w14:textId="77777777" w:rsidR="00EE1715" w:rsidRDefault="001F529E" w:rsidP="00E364CC">
    <w:pPr>
      <w:pStyle w:val="Encabezado"/>
      <w:tabs>
        <w:tab w:val="left" w:pos="1134"/>
      </w:tabs>
    </w:pPr>
  </w:p>
  <w:p w14:paraId="50E2E2A0" w14:textId="77777777" w:rsidR="00EE1715" w:rsidRDefault="001F529E" w:rsidP="00E364CC">
    <w:pPr>
      <w:pStyle w:val="Encabezado"/>
      <w:tabs>
        <w:tab w:val="left" w:pos="1134"/>
      </w:tabs>
    </w:pPr>
  </w:p>
  <w:p w14:paraId="5E74838F" w14:textId="77777777" w:rsidR="00264421" w:rsidRDefault="002644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36C91"/>
    <w:multiLevelType w:val="hybridMultilevel"/>
    <w:tmpl w:val="2F50882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B6659EB"/>
    <w:multiLevelType w:val="hybridMultilevel"/>
    <w:tmpl w:val="AAC4A84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C7374F"/>
    <w:multiLevelType w:val="hybridMultilevel"/>
    <w:tmpl w:val="442A6F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8749C2"/>
    <w:multiLevelType w:val="hybridMultilevel"/>
    <w:tmpl w:val="1CE4B478"/>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356A5432"/>
    <w:multiLevelType w:val="hybridMultilevel"/>
    <w:tmpl w:val="AB7419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04A2484"/>
    <w:multiLevelType w:val="multilevel"/>
    <w:tmpl w:val="52B6895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6EC4513"/>
    <w:multiLevelType w:val="hybridMultilevel"/>
    <w:tmpl w:val="4B94CC3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7BCB745E"/>
    <w:multiLevelType w:val="hybridMultilevel"/>
    <w:tmpl w:val="21DAF5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2"/>
  </w:num>
  <w:num w:numId="5">
    <w:abstractNumId w:val="1"/>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30"/>
    <w:rsid w:val="00077C2A"/>
    <w:rsid w:val="000934AA"/>
    <w:rsid w:val="001B7CC2"/>
    <w:rsid w:val="001F529E"/>
    <w:rsid w:val="0024762E"/>
    <w:rsid w:val="00264421"/>
    <w:rsid w:val="00452284"/>
    <w:rsid w:val="004531C7"/>
    <w:rsid w:val="004C16DA"/>
    <w:rsid w:val="005E3C8A"/>
    <w:rsid w:val="007233C7"/>
    <w:rsid w:val="00822148"/>
    <w:rsid w:val="00842569"/>
    <w:rsid w:val="00884C76"/>
    <w:rsid w:val="009B48AB"/>
    <w:rsid w:val="00BF44F6"/>
    <w:rsid w:val="00C96130"/>
    <w:rsid w:val="00DE0521"/>
    <w:rsid w:val="00F00D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A4B54"/>
  <w15:chartTrackingRefBased/>
  <w15:docId w15:val="{5D8E6732-76B5-4D99-B64D-4F793D36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3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6130"/>
    <w:pPr>
      <w:tabs>
        <w:tab w:val="center" w:pos="4419"/>
        <w:tab w:val="right" w:pos="8838"/>
      </w:tabs>
    </w:pPr>
  </w:style>
  <w:style w:type="character" w:customStyle="1" w:styleId="EncabezadoCar">
    <w:name w:val="Encabezado Car"/>
    <w:basedOn w:val="Fuentedeprrafopredeter"/>
    <w:link w:val="Encabezado"/>
    <w:uiPriority w:val="99"/>
    <w:rsid w:val="00C96130"/>
    <w:rPr>
      <w:sz w:val="24"/>
      <w:szCs w:val="24"/>
    </w:rPr>
  </w:style>
  <w:style w:type="paragraph" w:styleId="Piedepgina">
    <w:name w:val="footer"/>
    <w:basedOn w:val="Normal"/>
    <w:link w:val="PiedepginaCar"/>
    <w:uiPriority w:val="99"/>
    <w:unhideWhenUsed/>
    <w:rsid w:val="00C96130"/>
    <w:pPr>
      <w:tabs>
        <w:tab w:val="center" w:pos="4419"/>
        <w:tab w:val="right" w:pos="8838"/>
      </w:tabs>
    </w:pPr>
  </w:style>
  <w:style w:type="character" w:customStyle="1" w:styleId="PiedepginaCar">
    <w:name w:val="Pie de página Car"/>
    <w:basedOn w:val="Fuentedeprrafopredeter"/>
    <w:link w:val="Piedepgina"/>
    <w:uiPriority w:val="99"/>
    <w:rsid w:val="00C96130"/>
    <w:rPr>
      <w:sz w:val="24"/>
      <w:szCs w:val="24"/>
    </w:rPr>
  </w:style>
  <w:style w:type="paragraph" w:styleId="Sinespaciado">
    <w:name w:val="No Spacing"/>
    <w:uiPriority w:val="1"/>
    <w:qFormat/>
    <w:rsid w:val="00C96130"/>
    <w:pPr>
      <w:spacing w:after="0" w:line="240" w:lineRule="auto"/>
    </w:pPr>
    <w:rPr>
      <w:sz w:val="24"/>
      <w:szCs w:val="24"/>
    </w:rPr>
  </w:style>
  <w:style w:type="paragraph" w:styleId="Prrafodelista">
    <w:name w:val="List Paragraph"/>
    <w:basedOn w:val="Normal"/>
    <w:uiPriority w:val="34"/>
    <w:qFormat/>
    <w:rsid w:val="00C96130"/>
    <w:pPr>
      <w:ind w:left="720"/>
      <w:contextualSpacing/>
    </w:pPr>
  </w:style>
  <w:style w:type="table" w:customStyle="1" w:styleId="Tablanormal21">
    <w:name w:val="Tabla normal 21"/>
    <w:basedOn w:val="Tablanormal"/>
    <w:uiPriority w:val="42"/>
    <w:rsid w:val="00822148"/>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84256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77C2A"/>
  </w:style>
  <w:style w:type="paragraph" w:styleId="Textodeglobo">
    <w:name w:val="Balloon Text"/>
    <w:basedOn w:val="Normal"/>
    <w:link w:val="TextodegloboCar"/>
    <w:uiPriority w:val="99"/>
    <w:semiHidden/>
    <w:unhideWhenUsed/>
    <w:rsid w:val="00077C2A"/>
    <w:pPr>
      <w:autoSpaceDE w:val="0"/>
      <w:autoSpaceDN w:val="0"/>
    </w:pPr>
    <w:rPr>
      <w:rFonts w:ascii="Segoe UI" w:eastAsia="Times New Roman" w:hAnsi="Segoe UI" w:cs="Segoe UI"/>
      <w:sz w:val="18"/>
      <w:szCs w:val="18"/>
      <w:lang w:val="en-US" w:eastAsia="es-ES"/>
    </w:rPr>
  </w:style>
  <w:style w:type="character" w:customStyle="1" w:styleId="TextodegloboCar">
    <w:name w:val="Texto de globo Car"/>
    <w:basedOn w:val="Fuentedeprrafopredeter"/>
    <w:link w:val="Textodeglobo"/>
    <w:uiPriority w:val="99"/>
    <w:semiHidden/>
    <w:rsid w:val="00077C2A"/>
    <w:rPr>
      <w:rFonts w:ascii="Segoe UI" w:eastAsia="Times New Roman" w:hAnsi="Segoe UI" w:cs="Segoe UI"/>
      <w:sz w:val="18"/>
      <w:szCs w:val="18"/>
      <w:lang w:val="en-US" w:eastAsia="es-ES"/>
    </w:rPr>
  </w:style>
  <w:style w:type="paragraph" w:customStyle="1" w:styleId="Textonotapie1">
    <w:name w:val="Texto nota pie1"/>
    <w:basedOn w:val="Normal"/>
    <w:next w:val="Textonotapie"/>
    <w:link w:val="TextonotapieCar"/>
    <w:uiPriority w:val="99"/>
    <w:semiHidden/>
    <w:unhideWhenUsed/>
    <w:rsid w:val="00077C2A"/>
    <w:rPr>
      <w:sz w:val="20"/>
      <w:szCs w:val="20"/>
    </w:rPr>
  </w:style>
  <w:style w:type="character" w:customStyle="1" w:styleId="TextonotapieCar">
    <w:name w:val="Texto nota pie Car"/>
    <w:basedOn w:val="Fuentedeprrafopredeter"/>
    <w:link w:val="Textonotapie1"/>
    <w:uiPriority w:val="99"/>
    <w:semiHidden/>
    <w:rsid w:val="00077C2A"/>
    <w:rPr>
      <w:sz w:val="20"/>
      <w:szCs w:val="20"/>
    </w:rPr>
  </w:style>
  <w:style w:type="character" w:styleId="Refdenotaalpie">
    <w:name w:val="footnote reference"/>
    <w:basedOn w:val="Fuentedeprrafopredeter"/>
    <w:uiPriority w:val="99"/>
    <w:semiHidden/>
    <w:unhideWhenUsed/>
    <w:rsid w:val="00077C2A"/>
    <w:rPr>
      <w:vertAlign w:val="superscript"/>
    </w:rPr>
  </w:style>
  <w:style w:type="paragraph" w:customStyle="1" w:styleId="TEXTONORMAL">
    <w:name w:val="TEXTO_NORMAL"/>
    <w:basedOn w:val="Normal"/>
    <w:qFormat/>
    <w:rsid w:val="00077C2A"/>
    <w:pPr>
      <w:spacing w:after="120" w:line="250" w:lineRule="exact"/>
      <w:jc w:val="both"/>
    </w:pPr>
    <w:rPr>
      <w:rFonts w:ascii="Soberana Sans Light" w:eastAsia="Calibri" w:hAnsi="Soberana Sans Light" w:cs="Times New Roman"/>
      <w:sz w:val="18"/>
      <w:szCs w:val="18"/>
      <w:lang w:val="es-ES"/>
    </w:rPr>
  </w:style>
  <w:style w:type="paragraph" w:customStyle="1" w:styleId="ENTEPUBLICO">
    <w:name w:val="ENTE_PUBLICO"/>
    <w:basedOn w:val="Normal"/>
    <w:next w:val="TEXTONORMAL"/>
    <w:qFormat/>
    <w:rsid w:val="00077C2A"/>
    <w:pPr>
      <w:spacing w:after="120" w:line="250" w:lineRule="exact"/>
      <w:jc w:val="center"/>
    </w:pPr>
    <w:rPr>
      <w:rFonts w:ascii="Soberana Sans Light" w:eastAsia="Calibri" w:hAnsi="Soberana Sans Light" w:cs="Times New Roman"/>
      <w:b/>
      <w:sz w:val="20"/>
      <w:szCs w:val="20"/>
    </w:rPr>
  </w:style>
  <w:style w:type="paragraph" w:customStyle="1" w:styleId="TITULOREPORTE">
    <w:name w:val="TITULO_REPORTE"/>
    <w:basedOn w:val="Normal"/>
    <w:next w:val="TEXTONORMAL"/>
    <w:qFormat/>
    <w:rsid w:val="00077C2A"/>
    <w:pPr>
      <w:spacing w:after="120" w:line="250" w:lineRule="exact"/>
      <w:jc w:val="center"/>
    </w:pPr>
    <w:rPr>
      <w:rFonts w:ascii="Soberana Sans Light" w:eastAsia="Calibri" w:hAnsi="Soberana Sans Light" w:cs="Times New Roman"/>
      <w:b/>
      <w:sz w:val="20"/>
      <w:szCs w:val="20"/>
    </w:rPr>
  </w:style>
  <w:style w:type="paragraph" w:customStyle="1" w:styleId="Sinespaciado1">
    <w:name w:val="Sin espaciado1"/>
    <w:uiPriority w:val="99"/>
    <w:rsid w:val="00077C2A"/>
    <w:pPr>
      <w:spacing w:after="0" w:line="240" w:lineRule="auto"/>
    </w:pPr>
    <w:rPr>
      <w:rFonts w:ascii="Calibri" w:eastAsia="Times New Roman" w:hAnsi="Calibri" w:cs="Times New Roman"/>
      <w:lang w:val="es-ES"/>
    </w:rPr>
  </w:style>
  <w:style w:type="table" w:customStyle="1" w:styleId="Tablaconcuadrcula1">
    <w:name w:val="Tabla con cuadrícula1"/>
    <w:basedOn w:val="Tablanormal"/>
    <w:next w:val="Tablaconcuadrcula"/>
    <w:rsid w:val="00077C2A"/>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1"/>
    <w:uiPriority w:val="99"/>
    <w:semiHidden/>
    <w:unhideWhenUsed/>
    <w:rsid w:val="00077C2A"/>
    <w:rPr>
      <w:sz w:val="20"/>
      <w:szCs w:val="20"/>
    </w:rPr>
  </w:style>
  <w:style w:type="character" w:customStyle="1" w:styleId="TextonotapieCar1">
    <w:name w:val="Texto nota pie Car1"/>
    <w:basedOn w:val="Fuentedeprrafopredeter"/>
    <w:link w:val="Textonotapie"/>
    <w:uiPriority w:val="99"/>
    <w:semiHidden/>
    <w:rsid w:val="00077C2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02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5855</Words>
  <Characters>32203</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 Gilberto Martínez Gómez</dc:creator>
  <cp:keywords/>
  <dc:description/>
  <cp:lastModifiedBy>Noé Gilberto Martínez Gómez</cp:lastModifiedBy>
  <cp:revision>3</cp:revision>
  <dcterms:created xsi:type="dcterms:W3CDTF">2021-09-21T18:10:00Z</dcterms:created>
  <dcterms:modified xsi:type="dcterms:W3CDTF">2021-09-21T19:54:00Z</dcterms:modified>
</cp:coreProperties>
</file>