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AABBF" w14:textId="5730EED3" w:rsidR="008800BB" w:rsidRPr="00097DA7" w:rsidRDefault="008800BB" w:rsidP="00097DA7">
      <w:pPr>
        <w:spacing w:line="276" w:lineRule="auto"/>
        <w:ind w:left="567" w:hanging="567"/>
        <w:jc w:val="both"/>
        <w:rPr>
          <w:rFonts w:ascii="Montserrat" w:eastAsia="Calibri" w:hAnsi="Montserrat" w:cs="Times New Roman"/>
          <w:b/>
          <w:bCs/>
          <w:i/>
          <w:iCs/>
        </w:rPr>
      </w:pPr>
      <w:r w:rsidRPr="00097DA7">
        <w:rPr>
          <w:rFonts w:ascii="Montserrat" w:eastAsia="Calibri" w:hAnsi="Montserrat" w:cs="Times New Roman"/>
          <w:b/>
          <w:bCs/>
          <w:i/>
          <w:iCs/>
        </w:rPr>
        <w:t>5.11. Programa Nacional de Combate a la Corrupción y a la Impunidad y de Mejora de la Gestión Pública 2019-2024</w:t>
      </w:r>
    </w:p>
    <w:p w14:paraId="0B46F9E2" w14:textId="77777777" w:rsidR="00B22DB7" w:rsidRDefault="00B22DB7" w:rsidP="00B22DB7">
      <w:pPr>
        <w:spacing w:line="276" w:lineRule="auto"/>
        <w:ind w:left="567" w:hanging="567"/>
        <w:jc w:val="center"/>
        <w:rPr>
          <w:rFonts w:ascii="Montserrat" w:eastAsia="Calibri" w:hAnsi="Montserrat" w:cs="Times New Roman"/>
          <w:b/>
          <w:bCs/>
        </w:rPr>
      </w:pPr>
    </w:p>
    <w:p w14:paraId="5C713282" w14:textId="455DD352" w:rsidR="008800BB" w:rsidRDefault="008800BB" w:rsidP="008800BB">
      <w:pPr>
        <w:pStyle w:val="Prrafodelista"/>
        <w:numPr>
          <w:ilvl w:val="0"/>
          <w:numId w:val="4"/>
        </w:numPr>
        <w:spacing w:line="276" w:lineRule="auto"/>
        <w:rPr>
          <w:rFonts w:ascii="Montserrat" w:eastAsia="Calibri" w:hAnsi="Montserrat" w:cs="Times New Roman"/>
          <w:b/>
          <w:bCs/>
          <w:sz w:val="22"/>
          <w:szCs w:val="22"/>
        </w:rPr>
      </w:pPr>
      <w:r w:rsidRPr="008800BB">
        <w:rPr>
          <w:rFonts w:ascii="Montserrat" w:eastAsia="Calibri" w:hAnsi="Montserrat" w:cs="Times New Roman"/>
          <w:b/>
          <w:bCs/>
          <w:sz w:val="22"/>
          <w:szCs w:val="22"/>
        </w:rPr>
        <w:t>Nota explicativa</w:t>
      </w:r>
    </w:p>
    <w:p w14:paraId="3B80D618" w14:textId="77777777" w:rsidR="008800BB" w:rsidRPr="008800BB" w:rsidRDefault="008800BB" w:rsidP="008800BB">
      <w:pPr>
        <w:pStyle w:val="Prrafodelista"/>
        <w:spacing w:line="276" w:lineRule="auto"/>
        <w:rPr>
          <w:rFonts w:ascii="Montserrat" w:eastAsia="Calibri" w:hAnsi="Montserrat" w:cs="Times New Roman"/>
          <w:b/>
          <w:bCs/>
          <w:sz w:val="22"/>
          <w:szCs w:val="22"/>
        </w:rPr>
      </w:pPr>
    </w:p>
    <w:p w14:paraId="7DAB82BC" w14:textId="77777777" w:rsidR="008800BB" w:rsidRPr="008800BB" w:rsidRDefault="008800BB" w:rsidP="008800BB">
      <w:pPr>
        <w:spacing w:line="276" w:lineRule="auto"/>
        <w:jc w:val="both"/>
        <w:rPr>
          <w:rFonts w:ascii="Montserrat" w:eastAsia="Calibri" w:hAnsi="Montserrat" w:cs="Times New Roman"/>
          <w:color w:val="000000"/>
          <w:sz w:val="22"/>
          <w:szCs w:val="22"/>
        </w:rPr>
      </w:pPr>
      <w:r w:rsidRPr="008800BB">
        <w:rPr>
          <w:rFonts w:ascii="Montserrat" w:eastAsia="Calibri" w:hAnsi="Montserrat" w:cs="Times New Roman"/>
          <w:sz w:val="22"/>
          <w:szCs w:val="22"/>
        </w:rPr>
        <w:t xml:space="preserve">A partir de la publicación del </w:t>
      </w:r>
      <w:r w:rsidRPr="008800BB">
        <w:rPr>
          <w:rFonts w:ascii="Montserrat" w:eastAsia="Calibri" w:hAnsi="Montserrat" w:cs="Times New Roman"/>
          <w:i/>
          <w:iCs/>
          <w:sz w:val="22"/>
          <w:szCs w:val="22"/>
        </w:rPr>
        <w:t>Programa Nacional de Combate a la Corrupción y a la Impunidad, y de Mejora de la Gestión Pública 2019-2024</w:t>
      </w:r>
      <w:r w:rsidRPr="008800BB">
        <w:rPr>
          <w:rFonts w:ascii="Montserrat" w:eastAsia="Calibri" w:hAnsi="Montserrat" w:cs="Times New Roman"/>
          <w:sz w:val="22"/>
          <w:szCs w:val="22"/>
        </w:rPr>
        <w:t xml:space="preserve">, el 30 de agosto de 2019, se estableció el compromiso para ECOSUR de llevar a cabo 47 acciones: </w:t>
      </w:r>
      <w:r w:rsidRPr="008800BB">
        <w:rPr>
          <w:rFonts w:ascii="Montserrat" w:eastAsia="Calibri" w:hAnsi="Montserrat" w:cs="Times New Roman"/>
          <w:color w:val="000000"/>
          <w:sz w:val="22"/>
          <w:szCs w:val="22"/>
        </w:rPr>
        <w:t xml:space="preserve">8 del objetivo 1 Combate a la corrupción; 10 del objetivo 2 Combate impunidad; 12 del objetivo 3 Mejora de la gestión pública; 10 del objetivo 4 Programa de recursos humanos y 7 del objetivo 5 Uso de bienes. Igualmente, se asumen 12 indicadores de temporalidades diferentes. </w:t>
      </w:r>
    </w:p>
    <w:p w14:paraId="37C35A83" w14:textId="77777777" w:rsidR="008800BB" w:rsidRPr="008800BB" w:rsidRDefault="008800BB" w:rsidP="008800BB">
      <w:pPr>
        <w:spacing w:line="276" w:lineRule="auto"/>
        <w:jc w:val="both"/>
        <w:rPr>
          <w:rFonts w:ascii="Montserrat" w:eastAsia="Calibri" w:hAnsi="Montserrat" w:cs="Times New Roman"/>
          <w:color w:val="000000"/>
          <w:sz w:val="22"/>
          <w:szCs w:val="22"/>
        </w:rPr>
      </w:pPr>
    </w:p>
    <w:p w14:paraId="6ABB869F" w14:textId="29CFD686" w:rsidR="008800BB" w:rsidRDefault="008800BB" w:rsidP="008800BB">
      <w:pPr>
        <w:spacing w:line="276" w:lineRule="auto"/>
        <w:jc w:val="both"/>
        <w:rPr>
          <w:rFonts w:ascii="Montserrat" w:eastAsia="Calibri" w:hAnsi="Montserrat" w:cs="Times New Roman"/>
          <w:color w:val="000000"/>
          <w:sz w:val="22"/>
          <w:szCs w:val="22"/>
        </w:rPr>
      </w:pPr>
      <w:r w:rsidRPr="008800BB">
        <w:rPr>
          <w:rFonts w:ascii="Montserrat" w:eastAsia="Calibri" w:hAnsi="Montserrat" w:cs="Times New Roman"/>
          <w:color w:val="000000"/>
          <w:sz w:val="22"/>
          <w:szCs w:val="22"/>
        </w:rPr>
        <w:t xml:space="preserve">En la primera quincena de julio 2021, la institución informó en tiempo y forma de las acciones realizadas en el segundo trimestre, a través del sistema habilitado en el Portal de Aplicaciones de la SHCP. </w:t>
      </w:r>
      <w:bookmarkStart w:id="0" w:name="_Hlk69386216"/>
    </w:p>
    <w:p w14:paraId="2565A70D" w14:textId="77777777" w:rsidR="008800BB" w:rsidRDefault="008800BB" w:rsidP="008800BB">
      <w:pPr>
        <w:spacing w:line="276" w:lineRule="auto"/>
        <w:jc w:val="both"/>
        <w:rPr>
          <w:rFonts w:ascii="Montserrat" w:eastAsia="Calibri" w:hAnsi="Montserrat" w:cs="Times New Roman"/>
          <w:color w:val="000000"/>
          <w:sz w:val="22"/>
          <w:szCs w:val="22"/>
        </w:rPr>
      </w:pPr>
    </w:p>
    <w:p w14:paraId="7320E5C6" w14:textId="3B09D1B6" w:rsidR="008800BB" w:rsidRDefault="008800BB" w:rsidP="008800BB">
      <w:pPr>
        <w:spacing w:line="276" w:lineRule="auto"/>
        <w:jc w:val="both"/>
        <w:rPr>
          <w:rFonts w:ascii="Montserrat" w:eastAsia="Calibri" w:hAnsi="Montserrat" w:cs="Times New Roman"/>
          <w:b/>
          <w:bCs/>
          <w:color w:val="000000"/>
          <w:sz w:val="22"/>
          <w:szCs w:val="22"/>
        </w:rPr>
      </w:pPr>
      <w:r w:rsidRPr="008800BB">
        <w:rPr>
          <w:rFonts w:ascii="Montserrat" w:eastAsia="Calibri" w:hAnsi="Montserrat" w:cs="Times New Roman"/>
          <w:b/>
          <w:bCs/>
          <w:color w:val="000000"/>
          <w:sz w:val="22"/>
          <w:szCs w:val="22"/>
        </w:rPr>
        <w:t>Compromisos</w:t>
      </w:r>
    </w:p>
    <w:p w14:paraId="02BEF8BB" w14:textId="77777777" w:rsidR="008800BB" w:rsidRDefault="008800BB" w:rsidP="008800BB">
      <w:pPr>
        <w:spacing w:line="276" w:lineRule="auto"/>
        <w:jc w:val="both"/>
        <w:rPr>
          <w:rFonts w:ascii="Montserrat" w:eastAsia="Calibri" w:hAnsi="Montserrat" w:cs="Times New Roman"/>
          <w:b/>
          <w:bCs/>
          <w:color w:val="000000"/>
          <w:sz w:val="22"/>
          <w:szCs w:val="22"/>
        </w:rPr>
      </w:pPr>
    </w:p>
    <w:p w14:paraId="6F26858C" w14:textId="096B441E" w:rsidR="008800BB" w:rsidRPr="008800BB" w:rsidRDefault="008800BB" w:rsidP="008800BB">
      <w:pPr>
        <w:spacing w:after="160" w:line="276" w:lineRule="auto"/>
        <w:jc w:val="both"/>
        <w:rPr>
          <w:rFonts w:ascii="Montserrat" w:eastAsia="Calibri" w:hAnsi="Montserrat" w:cs="Times New Roman"/>
          <w:sz w:val="22"/>
          <w:szCs w:val="22"/>
        </w:rPr>
      </w:pPr>
      <w:r w:rsidRPr="008800BB">
        <w:rPr>
          <w:rFonts w:ascii="Montserrat" w:eastAsia="Calibri" w:hAnsi="Montserrat" w:cs="Times New Roman"/>
          <w:sz w:val="22"/>
          <w:szCs w:val="22"/>
        </w:rPr>
        <w:t xml:space="preserve">En el segundo trimestre 2021, sobre los 47 compromisos aplicables distribuidos en los cinco </w:t>
      </w:r>
      <w:r w:rsidRPr="008800BB">
        <w:rPr>
          <w:rFonts w:ascii="Montserrat" w:eastAsia="Calibri" w:hAnsi="Montserrat" w:cs="Times New Roman"/>
          <w:color w:val="000000"/>
          <w:sz w:val="22"/>
          <w:szCs w:val="22"/>
        </w:rPr>
        <w:t xml:space="preserve">programas, 40 registran avances, lo que corresponde a 85% del total, como lo muestra la Tabla 1.  </w:t>
      </w:r>
    </w:p>
    <w:p w14:paraId="33DE3270" w14:textId="77777777" w:rsidR="008800BB" w:rsidRPr="008800BB" w:rsidRDefault="008800BB" w:rsidP="008800BB">
      <w:pPr>
        <w:spacing w:line="276" w:lineRule="auto"/>
        <w:jc w:val="both"/>
        <w:rPr>
          <w:rFonts w:ascii="Montserrat" w:eastAsia="Calibri" w:hAnsi="Montserrat" w:cs="Times New Roman"/>
          <w:color w:val="000000"/>
          <w:sz w:val="22"/>
          <w:szCs w:val="22"/>
        </w:rPr>
      </w:pPr>
      <w:r w:rsidRPr="008800BB">
        <w:rPr>
          <w:rFonts w:ascii="Montserrat" w:eastAsia="Calibri" w:hAnsi="Montserrat" w:cs="Times New Roman"/>
          <w:color w:val="000000"/>
          <w:sz w:val="22"/>
          <w:szCs w:val="22"/>
        </w:rPr>
        <w:t>Tabla 1. Avances en compromisos</w:t>
      </w:r>
    </w:p>
    <w:tbl>
      <w:tblPr>
        <w:tblStyle w:val="Tablaconcuadrcula"/>
        <w:tblW w:w="8931" w:type="dxa"/>
        <w:tblInd w:w="-5" w:type="dxa"/>
        <w:tblLook w:val="04A0" w:firstRow="1" w:lastRow="0" w:firstColumn="1" w:lastColumn="0" w:noHBand="0" w:noVBand="1"/>
      </w:tblPr>
      <w:tblGrid>
        <w:gridCol w:w="3583"/>
        <w:gridCol w:w="1767"/>
        <w:gridCol w:w="2343"/>
        <w:gridCol w:w="1238"/>
      </w:tblGrid>
      <w:tr w:rsidR="008800BB" w:rsidRPr="008800BB" w14:paraId="32EA7521" w14:textId="77777777" w:rsidTr="00896F91">
        <w:trPr>
          <w:trHeight w:val="1229"/>
        </w:trPr>
        <w:tc>
          <w:tcPr>
            <w:tcW w:w="3828" w:type="dxa"/>
            <w:tcBorders>
              <w:right w:val="double" w:sz="4" w:space="0" w:color="auto"/>
            </w:tcBorders>
          </w:tcPr>
          <w:bookmarkEnd w:id="0"/>
          <w:p w14:paraId="6E41BFC9" w14:textId="77777777" w:rsidR="008800BB" w:rsidRPr="008800BB" w:rsidRDefault="008800BB" w:rsidP="008800BB">
            <w:pPr>
              <w:spacing w:line="276" w:lineRule="auto"/>
              <w:rPr>
                <w:rFonts w:ascii="Montserrat" w:hAnsi="Montserrat"/>
                <w:bCs/>
                <w:sz w:val="22"/>
                <w:szCs w:val="22"/>
              </w:rPr>
            </w:pPr>
            <w:r w:rsidRPr="008800BB">
              <w:rPr>
                <w:rFonts w:ascii="Montserrat" w:hAnsi="Montserrat"/>
                <w:color w:val="000000"/>
                <w:sz w:val="22"/>
                <w:szCs w:val="22"/>
              </w:rPr>
              <w:t xml:space="preserve"> </w:t>
            </w:r>
            <w:r w:rsidRPr="008800BB">
              <w:rPr>
                <w:rFonts w:ascii="Montserrat" w:hAnsi="Montserrat"/>
                <w:bCs/>
                <w:sz w:val="22"/>
                <w:szCs w:val="22"/>
              </w:rPr>
              <w:t>Programas</w:t>
            </w:r>
          </w:p>
        </w:tc>
        <w:tc>
          <w:tcPr>
            <w:tcW w:w="1417" w:type="dxa"/>
            <w:tcBorders>
              <w:left w:val="double" w:sz="4" w:space="0" w:color="auto"/>
            </w:tcBorders>
            <w:shd w:val="clear" w:color="auto" w:fill="auto"/>
          </w:tcPr>
          <w:p w14:paraId="6B677EB3" w14:textId="77777777" w:rsidR="008800BB" w:rsidRPr="008800BB" w:rsidRDefault="008800BB" w:rsidP="008800BB">
            <w:pPr>
              <w:spacing w:line="276" w:lineRule="auto"/>
              <w:rPr>
                <w:rFonts w:ascii="Montserrat" w:hAnsi="Montserrat"/>
                <w:bCs/>
                <w:sz w:val="22"/>
                <w:szCs w:val="22"/>
              </w:rPr>
            </w:pPr>
            <w:r w:rsidRPr="008800BB">
              <w:rPr>
                <w:rFonts w:ascii="Montserrat" w:hAnsi="Montserrat"/>
                <w:bCs/>
                <w:sz w:val="22"/>
                <w:szCs w:val="22"/>
              </w:rPr>
              <w:t>Compromisos con acciones realizadas</w:t>
            </w:r>
          </w:p>
        </w:tc>
        <w:tc>
          <w:tcPr>
            <w:tcW w:w="2410" w:type="dxa"/>
            <w:tcBorders>
              <w:right w:val="double" w:sz="4" w:space="0" w:color="auto"/>
            </w:tcBorders>
          </w:tcPr>
          <w:p w14:paraId="7C747C74" w14:textId="77777777" w:rsidR="008800BB" w:rsidRPr="008800BB" w:rsidRDefault="008800BB" w:rsidP="008800BB">
            <w:pPr>
              <w:spacing w:line="276" w:lineRule="auto"/>
              <w:rPr>
                <w:rFonts w:ascii="Montserrat" w:hAnsi="Montserrat"/>
                <w:bCs/>
                <w:sz w:val="22"/>
                <w:szCs w:val="22"/>
              </w:rPr>
            </w:pPr>
            <w:r w:rsidRPr="008800BB">
              <w:rPr>
                <w:rFonts w:ascii="Montserrat" w:hAnsi="Montserrat"/>
                <w:bCs/>
                <w:sz w:val="22"/>
                <w:szCs w:val="22"/>
              </w:rPr>
              <w:t>Compromisos sin avances o no aplicables en el trimestre</w:t>
            </w:r>
          </w:p>
        </w:tc>
        <w:tc>
          <w:tcPr>
            <w:tcW w:w="1276" w:type="dxa"/>
            <w:tcBorders>
              <w:right w:val="double" w:sz="4" w:space="0" w:color="auto"/>
            </w:tcBorders>
          </w:tcPr>
          <w:p w14:paraId="1BD76FD8" w14:textId="77777777" w:rsidR="008800BB" w:rsidRPr="008800BB" w:rsidRDefault="008800BB" w:rsidP="008800BB">
            <w:pPr>
              <w:spacing w:line="276" w:lineRule="auto"/>
              <w:rPr>
                <w:rFonts w:ascii="Montserrat" w:hAnsi="Montserrat"/>
                <w:bCs/>
                <w:sz w:val="22"/>
                <w:szCs w:val="22"/>
              </w:rPr>
            </w:pPr>
            <w:r w:rsidRPr="008800BB">
              <w:rPr>
                <w:rFonts w:ascii="Montserrat" w:hAnsi="Montserrat"/>
                <w:bCs/>
                <w:sz w:val="22"/>
                <w:szCs w:val="22"/>
              </w:rPr>
              <w:t>Total</w:t>
            </w:r>
          </w:p>
        </w:tc>
      </w:tr>
      <w:tr w:rsidR="008800BB" w:rsidRPr="008800BB" w14:paraId="474194D6" w14:textId="77777777" w:rsidTr="00896F91">
        <w:tc>
          <w:tcPr>
            <w:tcW w:w="3828" w:type="dxa"/>
            <w:tcBorders>
              <w:right w:val="double" w:sz="4" w:space="0" w:color="auto"/>
            </w:tcBorders>
            <w:shd w:val="clear" w:color="auto" w:fill="D9D9D9"/>
          </w:tcPr>
          <w:p w14:paraId="679C4DA6"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Combate Corrupción (CC)</w:t>
            </w:r>
          </w:p>
        </w:tc>
        <w:tc>
          <w:tcPr>
            <w:tcW w:w="1417" w:type="dxa"/>
            <w:tcBorders>
              <w:left w:val="double" w:sz="4" w:space="0" w:color="auto"/>
            </w:tcBorders>
            <w:shd w:val="clear" w:color="auto" w:fill="D9D9D9"/>
          </w:tcPr>
          <w:p w14:paraId="725BD143"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6</w:t>
            </w:r>
          </w:p>
        </w:tc>
        <w:tc>
          <w:tcPr>
            <w:tcW w:w="2410" w:type="dxa"/>
            <w:tcBorders>
              <w:right w:val="double" w:sz="4" w:space="0" w:color="auto"/>
            </w:tcBorders>
            <w:shd w:val="clear" w:color="auto" w:fill="D9D9D9"/>
          </w:tcPr>
          <w:p w14:paraId="4777F020"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2</w:t>
            </w:r>
          </w:p>
        </w:tc>
        <w:tc>
          <w:tcPr>
            <w:tcW w:w="1276" w:type="dxa"/>
            <w:tcBorders>
              <w:right w:val="double" w:sz="4" w:space="0" w:color="auto"/>
            </w:tcBorders>
            <w:shd w:val="clear" w:color="auto" w:fill="D9D9D9"/>
          </w:tcPr>
          <w:p w14:paraId="5F43CDF8" w14:textId="77777777" w:rsidR="008800BB" w:rsidRPr="008800BB" w:rsidRDefault="008800BB" w:rsidP="008800BB">
            <w:pPr>
              <w:spacing w:line="276" w:lineRule="auto"/>
              <w:rPr>
                <w:rFonts w:ascii="Montserrat" w:hAnsi="Montserrat"/>
                <w:bCs/>
                <w:sz w:val="22"/>
                <w:szCs w:val="22"/>
              </w:rPr>
            </w:pPr>
            <w:r w:rsidRPr="008800BB">
              <w:rPr>
                <w:rFonts w:ascii="Montserrat" w:hAnsi="Montserrat"/>
                <w:bCs/>
                <w:sz w:val="22"/>
                <w:szCs w:val="22"/>
              </w:rPr>
              <w:t>8</w:t>
            </w:r>
          </w:p>
        </w:tc>
      </w:tr>
      <w:tr w:rsidR="008800BB" w:rsidRPr="008800BB" w14:paraId="3D9E614B" w14:textId="77777777" w:rsidTr="00896F91">
        <w:tc>
          <w:tcPr>
            <w:tcW w:w="3828" w:type="dxa"/>
            <w:tcBorders>
              <w:right w:val="double" w:sz="4" w:space="0" w:color="auto"/>
            </w:tcBorders>
          </w:tcPr>
          <w:p w14:paraId="39F7A53E"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Combate Impunidad (CI)</w:t>
            </w:r>
          </w:p>
        </w:tc>
        <w:tc>
          <w:tcPr>
            <w:tcW w:w="1417" w:type="dxa"/>
            <w:tcBorders>
              <w:left w:val="double" w:sz="4" w:space="0" w:color="auto"/>
            </w:tcBorders>
            <w:shd w:val="clear" w:color="auto" w:fill="auto"/>
          </w:tcPr>
          <w:p w14:paraId="6C8B0AA5"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7</w:t>
            </w:r>
          </w:p>
        </w:tc>
        <w:tc>
          <w:tcPr>
            <w:tcW w:w="2410" w:type="dxa"/>
            <w:tcBorders>
              <w:right w:val="double" w:sz="4" w:space="0" w:color="auto"/>
            </w:tcBorders>
          </w:tcPr>
          <w:p w14:paraId="2D2454F4"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3</w:t>
            </w:r>
          </w:p>
        </w:tc>
        <w:tc>
          <w:tcPr>
            <w:tcW w:w="1276" w:type="dxa"/>
            <w:tcBorders>
              <w:right w:val="double" w:sz="4" w:space="0" w:color="auto"/>
            </w:tcBorders>
          </w:tcPr>
          <w:p w14:paraId="65DBD59A" w14:textId="77777777" w:rsidR="008800BB" w:rsidRPr="008800BB" w:rsidRDefault="008800BB" w:rsidP="008800BB">
            <w:pPr>
              <w:spacing w:line="276" w:lineRule="auto"/>
              <w:rPr>
                <w:rFonts w:ascii="Montserrat" w:hAnsi="Montserrat"/>
                <w:bCs/>
                <w:sz w:val="22"/>
                <w:szCs w:val="22"/>
              </w:rPr>
            </w:pPr>
            <w:r w:rsidRPr="008800BB">
              <w:rPr>
                <w:rFonts w:ascii="Montserrat" w:hAnsi="Montserrat"/>
                <w:bCs/>
                <w:sz w:val="22"/>
                <w:szCs w:val="22"/>
              </w:rPr>
              <w:t>10</w:t>
            </w:r>
          </w:p>
        </w:tc>
      </w:tr>
      <w:tr w:rsidR="008800BB" w:rsidRPr="008800BB" w14:paraId="1D1A3771" w14:textId="77777777" w:rsidTr="00896F91">
        <w:tc>
          <w:tcPr>
            <w:tcW w:w="3828" w:type="dxa"/>
            <w:tcBorders>
              <w:right w:val="double" w:sz="4" w:space="0" w:color="auto"/>
            </w:tcBorders>
            <w:shd w:val="clear" w:color="auto" w:fill="D9D9D9"/>
          </w:tcPr>
          <w:p w14:paraId="000746C1"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Mejora Gestión Pública (MGP)</w:t>
            </w:r>
          </w:p>
        </w:tc>
        <w:tc>
          <w:tcPr>
            <w:tcW w:w="1417" w:type="dxa"/>
            <w:tcBorders>
              <w:left w:val="double" w:sz="4" w:space="0" w:color="auto"/>
            </w:tcBorders>
            <w:shd w:val="clear" w:color="auto" w:fill="D9D9D9"/>
          </w:tcPr>
          <w:p w14:paraId="3231F8AF"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12</w:t>
            </w:r>
          </w:p>
        </w:tc>
        <w:tc>
          <w:tcPr>
            <w:tcW w:w="2410" w:type="dxa"/>
            <w:tcBorders>
              <w:right w:val="double" w:sz="4" w:space="0" w:color="auto"/>
            </w:tcBorders>
            <w:shd w:val="clear" w:color="auto" w:fill="D9D9D9"/>
          </w:tcPr>
          <w:p w14:paraId="421E2F9C"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0</w:t>
            </w:r>
          </w:p>
        </w:tc>
        <w:tc>
          <w:tcPr>
            <w:tcW w:w="1276" w:type="dxa"/>
            <w:tcBorders>
              <w:right w:val="double" w:sz="4" w:space="0" w:color="auto"/>
            </w:tcBorders>
            <w:shd w:val="clear" w:color="auto" w:fill="D9D9D9"/>
          </w:tcPr>
          <w:p w14:paraId="1B155994" w14:textId="77777777" w:rsidR="008800BB" w:rsidRPr="008800BB" w:rsidRDefault="008800BB" w:rsidP="008800BB">
            <w:pPr>
              <w:spacing w:line="276" w:lineRule="auto"/>
              <w:rPr>
                <w:rFonts w:ascii="Montserrat" w:hAnsi="Montserrat"/>
                <w:bCs/>
                <w:sz w:val="22"/>
                <w:szCs w:val="22"/>
              </w:rPr>
            </w:pPr>
            <w:r w:rsidRPr="008800BB">
              <w:rPr>
                <w:rFonts w:ascii="Montserrat" w:hAnsi="Montserrat"/>
                <w:bCs/>
                <w:sz w:val="22"/>
                <w:szCs w:val="22"/>
              </w:rPr>
              <w:t>12</w:t>
            </w:r>
          </w:p>
        </w:tc>
      </w:tr>
      <w:tr w:rsidR="008800BB" w:rsidRPr="008800BB" w14:paraId="30FDE2E8" w14:textId="77777777" w:rsidTr="00896F91">
        <w:tc>
          <w:tcPr>
            <w:tcW w:w="3828" w:type="dxa"/>
            <w:tcBorders>
              <w:right w:val="double" w:sz="4" w:space="0" w:color="auto"/>
            </w:tcBorders>
          </w:tcPr>
          <w:p w14:paraId="11CDB821"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Recursos Humanos (PRH)</w:t>
            </w:r>
          </w:p>
        </w:tc>
        <w:tc>
          <w:tcPr>
            <w:tcW w:w="1417" w:type="dxa"/>
            <w:tcBorders>
              <w:left w:val="double" w:sz="4" w:space="0" w:color="auto"/>
            </w:tcBorders>
            <w:shd w:val="clear" w:color="auto" w:fill="auto"/>
          </w:tcPr>
          <w:p w14:paraId="1C1D87CF"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8</w:t>
            </w:r>
          </w:p>
        </w:tc>
        <w:tc>
          <w:tcPr>
            <w:tcW w:w="2410" w:type="dxa"/>
            <w:tcBorders>
              <w:right w:val="double" w:sz="4" w:space="0" w:color="auto"/>
            </w:tcBorders>
          </w:tcPr>
          <w:p w14:paraId="33EFBE0E"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2</w:t>
            </w:r>
          </w:p>
        </w:tc>
        <w:tc>
          <w:tcPr>
            <w:tcW w:w="1276" w:type="dxa"/>
            <w:tcBorders>
              <w:right w:val="double" w:sz="4" w:space="0" w:color="auto"/>
            </w:tcBorders>
          </w:tcPr>
          <w:p w14:paraId="0F5AFF39" w14:textId="77777777" w:rsidR="008800BB" w:rsidRPr="008800BB" w:rsidRDefault="008800BB" w:rsidP="008800BB">
            <w:pPr>
              <w:spacing w:line="276" w:lineRule="auto"/>
              <w:rPr>
                <w:rFonts w:ascii="Montserrat" w:hAnsi="Montserrat"/>
                <w:bCs/>
                <w:sz w:val="22"/>
                <w:szCs w:val="22"/>
              </w:rPr>
            </w:pPr>
            <w:r w:rsidRPr="008800BB">
              <w:rPr>
                <w:rFonts w:ascii="Montserrat" w:hAnsi="Montserrat"/>
                <w:bCs/>
                <w:sz w:val="22"/>
                <w:szCs w:val="22"/>
              </w:rPr>
              <w:t>10</w:t>
            </w:r>
          </w:p>
        </w:tc>
      </w:tr>
      <w:tr w:rsidR="008800BB" w:rsidRPr="008800BB" w14:paraId="27E5F45E" w14:textId="77777777" w:rsidTr="00896F91">
        <w:tc>
          <w:tcPr>
            <w:tcW w:w="3828" w:type="dxa"/>
            <w:tcBorders>
              <w:bottom w:val="double" w:sz="4" w:space="0" w:color="auto"/>
              <w:right w:val="double" w:sz="4" w:space="0" w:color="auto"/>
            </w:tcBorders>
            <w:shd w:val="clear" w:color="auto" w:fill="D9D9D9"/>
          </w:tcPr>
          <w:p w14:paraId="16F6B6C6"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Uso de Bienes (UB)</w:t>
            </w:r>
          </w:p>
        </w:tc>
        <w:tc>
          <w:tcPr>
            <w:tcW w:w="1417" w:type="dxa"/>
            <w:tcBorders>
              <w:left w:val="double" w:sz="4" w:space="0" w:color="auto"/>
              <w:bottom w:val="double" w:sz="4" w:space="0" w:color="auto"/>
            </w:tcBorders>
            <w:shd w:val="clear" w:color="auto" w:fill="D9D9D9"/>
          </w:tcPr>
          <w:p w14:paraId="11CE9144"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7</w:t>
            </w:r>
          </w:p>
        </w:tc>
        <w:tc>
          <w:tcPr>
            <w:tcW w:w="2410" w:type="dxa"/>
            <w:tcBorders>
              <w:bottom w:val="double" w:sz="4" w:space="0" w:color="auto"/>
              <w:right w:val="double" w:sz="4" w:space="0" w:color="auto"/>
            </w:tcBorders>
            <w:shd w:val="clear" w:color="auto" w:fill="D9D9D9"/>
          </w:tcPr>
          <w:p w14:paraId="3CA78E2F"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0</w:t>
            </w:r>
          </w:p>
        </w:tc>
        <w:tc>
          <w:tcPr>
            <w:tcW w:w="1276" w:type="dxa"/>
            <w:tcBorders>
              <w:bottom w:val="double" w:sz="4" w:space="0" w:color="auto"/>
              <w:right w:val="double" w:sz="4" w:space="0" w:color="auto"/>
            </w:tcBorders>
            <w:shd w:val="clear" w:color="auto" w:fill="D9D9D9"/>
          </w:tcPr>
          <w:p w14:paraId="0306688F" w14:textId="77777777" w:rsidR="008800BB" w:rsidRPr="008800BB" w:rsidRDefault="008800BB" w:rsidP="008800BB">
            <w:pPr>
              <w:spacing w:line="276" w:lineRule="auto"/>
              <w:rPr>
                <w:rFonts w:ascii="Montserrat" w:hAnsi="Montserrat"/>
                <w:bCs/>
                <w:sz w:val="22"/>
                <w:szCs w:val="22"/>
              </w:rPr>
            </w:pPr>
            <w:r w:rsidRPr="008800BB">
              <w:rPr>
                <w:rFonts w:ascii="Montserrat" w:hAnsi="Montserrat"/>
                <w:bCs/>
                <w:sz w:val="22"/>
                <w:szCs w:val="22"/>
              </w:rPr>
              <w:t>7</w:t>
            </w:r>
          </w:p>
        </w:tc>
      </w:tr>
      <w:tr w:rsidR="008800BB" w:rsidRPr="008800BB" w14:paraId="019003B5" w14:textId="77777777" w:rsidTr="00896F91">
        <w:trPr>
          <w:trHeight w:val="542"/>
        </w:trPr>
        <w:tc>
          <w:tcPr>
            <w:tcW w:w="3828" w:type="dxa"/>
            <w:tcBorders>
              <w:top w:val="double" w:sz="4" w:space="0" w:color="auto"/>
              <w:right w:val="double" w:sz="4" w:space="0" w:color="auto"/>
            </w:tcBorders>
          </w:tcPr>
          <w:p w14:paraId="38C13A99" w14:textId="77777777" w:rsidR="008800BB" w:rsidRDefault="008800BB" w:rsidP="008800BB">
            <w:pPr>
              <w:spacing w:line="276" w:lineRule="auto"/>
              <w:rPr>
                <w:rFonts w:ascii="Montserrat" w:hAnsi="Montserrat"/>
                <w:bCs/>
                <w:sz w:val="22"/>
                <w:szCs w:val="22"/>
              </w:rPr>
            </w:pPr>
            <w:r w:rsidRPr="008800BB">
              <w:rPr>
                <w:rFonts w:ascii="Montserrat" w:hAnsi="Montserrat"/>
                <w:bCs/>
                <w:sz w:val="22"/>
                <w:szCs w:val="22"/>
              </w:rPr>
              <w:t>Total</w:t>
            </w:r>
            <w:r>
              <w:rPr>
                <w:rFonts w:ascii="Montserrat" w:hAnsi="Montserrat"/>
                <w:bCs/>
                <w:sz w:val="22"/>
                <w:szCs w:val="22"/>
              </w:rPr>
              <w:t xml:space="preserve"> </w:t>
            </w:r>
          </w:p>
          <w:p w14:paraId="1429C780" w14:textId="254DE7C5" w:rsidR="008800BB" w:rsidRPr="008800BB" w:rsidRDefault="008800BB" w:rsidP="008800BB">
            <w:pPr>
              <w:spacing w:line="276" w:lineRule="auto"/>
              <w:rPr>
                <w:rFonts w:ascii="Montserrat" w:hAnsi="Montserrat"/>
                <w:bCs/>
                <w:sz w:val="22"/>
                <w:szCs w:val="22"/>
              </w:rPr>
            </w:pPr>
            <w:r w:rsidRPr="008800BB">
              <w:rPr>
                <w:rFonts w:ascii="Montserrat" w:hAnsi="Montserrat"/>
                <w:bCs/>
                <w:sz w:val="22"/>
                <w:szCs w:val="22"/>
              </w:rPr>
              <w:t>%</w:t>
            </w:r>
          </w:p>
        </w:tc>
        <w:tc>
          <w:tcPr>
            <w:tcW w:w="1417" w:type="dxa"/>
            <w:tcBorders>
              <w:top w:val="double" w:sz="4" w:space="0" w:color="auto"/>
              <w:left w:val="double" w:sz="4" w:space="0" w:color="auto"/>
            </w:tcBorders>
            <w:shd w:val="clear" w:color="auto" w:fill="auto"/>
          </w:tcPr>
          <w:p w14:paraId="21D728A2" w14:textId="77777777" w:rsidR="008800BB" w:rsidRPr="008800BB" w:rsidRDefault="008800BB" w:rsidP="008800BB">
            <w:pPr>
              <w:spacing w:line="276" w:lineRule="auto"/>
              <w:rPr>
                <w:rFonts w:ascii="Montserrat" w:hAnsi="Montserrat"/>
                <w:bCs/>
                <w:sz w:val="22"/>
                <w:szCs w:val="22"/>
              </w:rPr>
            </w:pPr>
            <w:r w:rsidRPr="008800BB">
              <w:rPr>
                <w:rFonts w:ascii="Montserrat" w:hAnsi="Montserrat"/>
                <w:bCs/>
                <w:sz w:val="22"/>
                <w:szCs w:val="22"/>
              </w:rPr>
              <w:t>40</w:t>
            </w:r>
          </w:p>
          <w:p w14:paraId="563E8BFE" w14:textId="77777777" w:rsidR="008800BB" w:rsidRPr="008800BB" w:rsidRDefault="008800BB" w:rsidP="008800BB">
            <w:pPr>
              <w:spacing w:line="276" w:lineRule="auto"/>
              <w:rPr>
                <w:rFonts w:ascii="Montserrat" w:hAnsi="Montserrat"/>
                <w:bCs/>
                <w:sz w:val="22"/>
                <w:szCs w:val="22"/>
              </w:rPr>
            </w:pPr>
            <w:r w:rsidRPr="008800BB">
              <w:rPr>
                <w:rFonts w:ascii="Montserrat" w:hAnsi="Montserrat"/>
                <w:bCs/>
                <w:sz w:val="22"/>
                <w:szCs w:val="22"/>
              </w:rPr>
              <w:t>(85%)</w:t>
            </w:r>
          </w:p>
        </w:tc>
        <w:tc>
          <w:tcPr>
            <w:tcW w:w="2410" w:type="dxa"/>
            <w:tcBorders>
              <w:top w:val="double" w:sz="4" w:space="0" w:color="auto"/>
              <w:right w:val="double" w:sz="4" w:space="0" w:color="auto"/>
            </w:tcBorders>
          </w:tcPr>
          <w:p w14:paraId="388D7181" w14:textId="77777777" w:rsidR="008800BB" w:rsidRPr="008800BB" w:rsidRDefault="008800BB" w:rsidP="008800BB">
            <w:pPr>
              <w:spacing w:line="276" w:lineRule="auto"/>
              <w:rPr>
                <w:rFonts w:ascii="Montserrat" w:hAnsi="Montserrat"/>
                <w:bCs/>
                <w:sz w:val="22"/>
                <w:szCs w:val="22"/>
              </w:rPr>
            </w:pPr>
            <w:r w:rsidRPr="008800BB">
              <w:rPr>
                <w:rFonts w:ascii="Montserrat" w:hAnsi="Montserrat"/>
                <w:bCs/>
                <w:sz w:val="22"/>
                <w:szCs w:val="22"/>
              </w:rPr>
              <w:t>7</w:t>
            </w:r>
          </w:p>
          <w:p w14:paraId="254840B9" w14:textId="77777777" w:rsidR="008800BB" w:rsidRPr="008800BB" w:rsidRDefault="008800BB" w:rsidP="008800BB">
            <w:pPr>
              <w:spacing w:line="276" w:lineRule="auto"/>
              <w:rPr>
                <w:rFonts w:ascii="Montserrat" w:hAnsi="Montserrat"/>
                <w:bCs/>
                <w:sz w:val="22"/>
                <w:szCs w:val="22"/>
              </w:rPr>
            </w:pPr>
            <w:r w:rsidRPr="008800BB">
              <w:rPr>
                <w:rFonts w:ascii="Montserrat" w:hAnsi="Montserrat"/>
                <w:bCs/>
                <w:sz w:val="22"/>
                <w:szCs w:val="22"/>
              </w:rPr>
              <w:t>(15%)</w:t>
            </w:r>
          </w:p>
        </w:tc>
        <w:tc>
          <w:tcPr>
            <w:tcW w:w="1276" w:type="dxa"/>
            <w:tcBorders>
              <w:top w:val="double" w:sz="4" w:space="0" w:color="auto"/>
              <w:right w:val="double" w:sz="4" w:space="0" w:color="auto"/>
            </w:tcBorders>
          </w:tcPr>
          <w:p w14:paraId="5FE7D165" w14:textId="77777777" w:rsidR="008800BB" w:rsidRPr="008800BB" w:rsidRDefault="008800BB" w:rsidP="008800BB">
            <w:pPr>
              <w:spacing w:line="276" w:lineRule="auto"/>
              <w:rPr>
                <w:rFonts w:ascii="Montserrat" w:hAnsi="Montserrat"/>
                <w:bCs/>
                <w:sz w:val="22"/>
                <w:szCs w:val="22"/>
              </w:rPr>
            </w:pPr>
            <w:r w:rsidRPr="008800BB">
              <w:rPr>
                <w:rFonts w:ascii="Montserrat" w:hAnsi="Montserrat"/>
                <w:bCs/>
                <w:sz w:val="22"/>
                <w:szCs w:val="22"/>
              </w:rPr>
              <w:t>47</w:t>
            </w:r>
          </w:p>
          <w:p w14:paraId="5B5907E0" w14:textId="77777777" w:rsidR="008800BB" w:rsidRPr="008800BB" w:rsidRDefault="008800BB" w:rsidP="008800BB">
            <w:pPr>
              <w:spacing w:line="276" w:lineRule="auto"/>
              <w:rPr>
                <w:rFonts w:ascii="Montserrat" w:hAnsi="Montserrat"/>
                <w:bCs/>
                <w:sz w:val="22"/>
                <w:szCs w:val="22"/>
              </w:rPr>
            </w:pPr>
            <w:r w:rsidRPr="008800BB">
              <w:rPr>
                <w:rFonts w:ascii="Montserrat" w:hAnsi="Montserrat"/>
                <w:bCs/>
                <w:sz w:val="22"/>
                <w:szCs w:val="22"/>
              </w:rPr>
              <w:t>(100%)</w:t>
            </w:r>
          </w:p>
        </w:tc>
      </w:tr>
    </w:tbl>
    <w:p w14:paraId="0CEAD661" w14:textId="77777777" w:rsidR="008800BB" w:rsidRPr="008800BB" w:rsidRDefault="008800BB" w:rsidP="008800BB">
      <w:pPr>
        <w:spacing w:line="276" w:lineRule="auto"/>
        <w:jc w:val="both"/>
        <w:rPr>
          <w:rFonts w:ascii="Montserrat" w:eastAsia="Calibri" w:hAnsi="Montserrat" w:cs="Times New Roman"/>
          <w:sz w:val="22"/>
          <w:szCs w:val="22"/>
        </w:rPr>
      </w:pPr>
    </w:p>
    <w:p w14:paraId="282EED61" w14:textId="77777777" w:rsidR="008800BB" w:rsidRPr="008800BB" w:rsidRDefault="008800BB" w:rsidP="008800BB">
      <w:pPr>
        <w:spacing w:after="160" w:line="276" w:lineRule="auto"/>
        <w:jc w:val="both"/>
        <w:rPr>
          <w:rFonts w:ascii="Montserrat" w:eastAsia="Calibri" w:hAnsi="Montserrat" w:cs="Times New Roman"/>
          <w:sz w:val="22"/>
          <w:szCs w:val="22"/>
        </w:rPr>
      </w:pPr>
      <w:r w:rsidRPr="008800BB">
        <w:rPr>
          <w:rFonts w:ascii="Montserrat" w:eastAsia="Calibri" w:hAnsi="Montserrat" w:cs="Times New Roman"/>
          <w:sz w:val="22"/>
          <w:szCs w:val="22"/>
        </w:rPr>
        <w:t xml:space="preserve">A continuación, se proporciona información sobre los compromisos sin acciones realizadas. </w:t>
      </w:r>
    </w:p>
    <w:p w14:paraId="2B5572AD" w14:textId="77777777" w:rsidR="008800BB" w:rsidRPr="008800BB" w:rsidRDefault="008800BB" w:rsidP="008800BB">
      <w:pPr>
        <w:spacing w:line="276" w:lineRule="auto"/>
        <w:jc w:val="both"/>
        <w:rPr>
          <w:rFonts w:ascii="Montserrat" w:eastAsia="Calibri" w:hAnsi="Montserrat" w:cs="Times New Roman"/>
          <w:sz w:val="22"/>
          <w:szCs w:val="22"/>
        </w:rPr>
      </w:pPr>
      <w:r w:rsidRPr="008800BB">
        <w:rPr>
          <w:rFonts w:ascii="Montserrat" w:eastAsia="Calibri" w:hAnsi="Montserrat" w:cs="Times New Roman"/>
          <w:sz w:val="22"/>
          <w:szCs w:val="22"/>
        </w:rPr>
        <w:lastRenderedPageBreak/>
        <w:t>Tabla 2. Justificación de los compromisos sin avances</w:t>
      </w:r>
    </w:p>
    <w:tbl>
      <w:tblPr>
        <w:tblStyle w:val="Tablaconcuadrcula"/>
        <w:tblW w:w="9356" w:type="dxa"/>
        <w:tblInd w:w="-5" w:type="dxa"/>
        <w:tblLook w:val="04A0" w:firstRow="1" w:lastRow="0" w:firstColumn="1" w:lastColumn="0" w:noHBand="0" w:noVBand="1"/>
      </w:tblPr>
      <w:tblGrid>
        <w:gridCol w:w="984"/>
        <w:gridCol w:w="4261"/>
        <w:gridCol w:w="4111"/>
      </w:tblGrid>
      <w:tr w:rsidR="008800BB" w:rsidRPr="008800BB" w14:paraId="12B11242" w14:textId="77777777" w:rsidTr="00896F91">
        <w:tc>
          <w:tcPr>
            <w:tcW w:w="984" w:type="dxa"/>
          </w:tcPr>
          <w:p w14:paraId="081D1D2C" w14:textId="77777777" w:rsidR="008800BB" w:rsidRPr="008800BB" w:rsidRDefault="008800BB" w:rsidP="008800BB">
            <w:pPr>
              <w:spacing w:line="276" w:lineRule="auto"/>
              <w:jc w:val="both"/>
              <w:rPr>
                <w:rFonts w:ascii="Montserrat" w:hAnsi="Montserrat"/>
                <w:sz w:val="22"/>
                <w:szCs w:val="22"/>
              </w:rPr>
            </w:pPr>
          </w:p>
        </w:tc>
        <w:tc>
          <w:tcPr>
            <w:tcW w:w="4261" w:type="dxa"/>
          </w:tcPr>
          <w:p w14:paraId="5FF4D34C" w14:textId="77777777" w:rsidR="008800BB" w:rsidRPr="008800BB" w:rsidRDefault="008800BB" w:rsidP="008800BB">
            <w:pPr>
              <w:spacing w:line="276" w:lineRule="auto"/>
              <w:rPr>
                <w:rFonts w:ascii="Montserrat" w:hAnsi="Montserrat"/>
                <w:bCs/>
                <w:sz w:val="22"/>
                <w:szCs w:val="22"/>
              </w:rPr>
            </w:pPr>
            <w:r w:rsidRPr="008800BB">
              <w:rPr>
                <w:rFonts w:ascii="Montserrat" w:hAnsi="Montserrat"/>
                <w:bCs/>
                <w:sz w:val="22"/>
                <w:szCs w:val="22"/>
              </w:rPr>
              <w:t xml:space="preserve">Compromisos sin avances </w:t>
            </w:r>
          </w:p>
        </w:tc>
        <w:tc>
          <w:tcPr>
            <w:tcW w:w="4111" w:type="dxa"/>
          </w:tcPr>
          <w:p w14:paraId="4E5AF68B" w14:textId="77777777" w:rsidR="008800BB" w:rsidRPr="008800BB" w:rsidRDefault="008800BB" w:rsidP="008800BB">
            <w:pPr>
              <w:spacing w:line="276" w:lineRule="auto"/>
              <w:rPr>
                <w:rFonts w:ascii="Montserrat" w:hAnsi="Montserrat"/>
                <w:bCs/>
                <w:sz w:val="22"/>
                <w:szCs w:val="22"/>
              </w:rPr>
            </w:pPr>
            <w:r w:rsidRPr="008800BB">
              <w:rPr>
                <w:rFonts w:ascii="Montserrat" w:hAnsi="Montserrat"/>
                <w:bCs/>
                <w:sz w:val="22"/>
                <w:szCs w:val="22"/>
              </w:rPr>
              <w:t>Justificación</w:t>
            </w:r>
          </w:p>
        </w:tc>
      </w:tr>
      <w:tr w:rsidR="008800BB" w:rsidRPr="008800BB" w14:paraId="7038710F" w14:textId="77777777" w:rsidTr="00896F91">
        <w:tc>
          <w:tcPr>
            <w:tcW w:w="984" w:type="dxa"/>
            <w:shd w:val="clear" w:color="auto" w:fill="D9D9D9"/>
          </w:tcPr>
          <w:p w14:paraId="2E1626B3"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CC.5</w:t>
            </w:r>
          </w:p>
        </w:tc>
        <w:tc>
          <w:tcPr>
            <w:tcW w:w="4261" w:type="dxa"/>
            <w:shd w:val="clear" w:color="auto" w:fill="D9D9D9"/>
          </w:tcPr>
          <w:p w14:paraId="22D767C3"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 xml:space="preserve">Registrar en la Bitácora Electrónica de Seguimiento de Adquisiciones, cada una de las etapas de la ejecución de los contratos de compras con recursos federales, desde su formalización hasta la recepción y pago de los bienes y servicios, para </w:t>
            </w:r>
            <w:proofErr w:type="spellStart"/>
            <w:r w:rsidRPr="008800BB">
              <w:rPr>
                <w:rFonts w:ascii="Montserrat" w:hAnsi="Montserrat"/>
                <w:sz w:val="22"/>
                <w:szCs w:val="22"/>
              </w:rPr>
              <w:t>eficientar</w:t>
            </w:r>
            <w:proofErr w:type="spellEnd"/>
            <w:r w:rsidRPr="008800BB">
              <w:rPr>
                <w:rFonts w:ascii="Montserrat" w:hAnsi="Montserrat"/>
                <w:sz w:val="22"/>
                <w:szCs w:val="22"/>
              </w:rPr>
              <w:t xml:space="preserve"> su seguimiento.</w:t>
            </w:r>
          </w:p>
        </w:tc>
        <w:tc>
          <w:tcPr>
            <w:tcW w:w="4111" w:type="dxa"/>
            <w:shd w:val="clear" w:color="auto" w:fill="D9D9D9"/>
          </w:tcPr>
          <w:p w14:paraId="3CB4694D"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Aún no hay información de que la Bitácora mencionada esté operando.</w:t>
            </w:r>
          </w:p>
        </w:tc>
      </w:tr>
      <w:tr w:rsidR="008800BB" w:rsidRPr="008800BB" w14:paraId="38A36A6E" w14:textId="77777777" w:rsidTr="00896F91">
        <w:tc>
          <w:tcPr>
            <w:tcW w:w="984" w:type="dxa"/>
            <w:shd w:val="clear" w:color="auto" w:fill="auto"/>
          </w:tcPr>
          <w:p w14:paraId="40562E3B"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CC.8</w:t>
            </w:r>
          </w:p>
        </w:tc>
        <w:tc>
          <w:tcPr>
            <w:tcW w:w="4261" w:type="dxa"/>
            <w:shd w:val="clear" w:color="auto" w:fill="auto"/>
          </w:tcPr>
          <w:p w14:paraId="453868EC"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Impulsar la implementación y el seguimiento de los compromisos derivados de Planes de Acción de la Alianza para el Gobierno Abierto que contribuyan al bienestar del pueblo de México.</w:t>
            </w:r>
          </w:p>
        </w:tc>
        <w:tc>
          <w:tcPr>
            <w:tcW w:w="4111" w:type="dxa"/>
            <w:shd w:val="clear" w:color="auto" w:fill="auto"/>
          </w:tcPr>
          <w:p w14:paraId="201DF742"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ECOSUR no tiene responsabilidades en el Plan de Acción vigente.</w:t>
            </w:r>
          </w:p>
        </w:tc>
      </w:tr>
      <w:tr w:rsidR="008800BB" w:rsidRPr="008800BB" w14:paraId="4567615A" w14:textId="77777777" w:rsidTr="00896F91">
        <w:tc>
          <w:tcPr>
            <w:tcW w:w="984" w:type="dxa"/>
            <w:shd w:val="clear" w:color="auto" w:fill="D9D9D9"/>
          </w:tcPr>
          <w:p w14:paraId="7036D46D"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CI.6</w:t>
            </w:r>
          </w:p>
        </w:tc>
        <w:tc>
          <w:tcPr>
            <w:tcW w:w="4261" w:type="dxa"/>
            <w:shd w:val="clear" w:color="auto" w:fill="D9D9D9"/>
          </w:tcPr>
          <w:p w14:paraId="02804AF8"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Difundir materiales de sensibilización sobre el tema de conflictos de intereses por medio de los Comités de Ética y Prevención de Conflictos de Intereses.</w:t>
            </w:r>
          </w:p>
        </w:tc>
        <w:tc>
          <w:tcPr>
            <w:tcW w:w="4111" w:type="dxa"/>
            <w:shd w:val="clear" w:color="auto" w:fill="D9D9D9"/>
          </w:tcPr>
          <w:p w14:paraId="0EC8B8D4"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Si bien se ha difundido el material enviado por la SFP relativo a conflictos de intereses, la institución no ha elaborado su propio material.</w:t>
            </w:r>
          </w:p>
        </w:tc>
      </w:tr>
      <w:tr w:rsidR="008800BB" w:rsidRPr="008800BB" w14:paraId="458515E2" w14:textId="77777777" w:rsidTr="00896F91">
        <w:tc>
          <w:tcPr>
            <w:tcW w:w="984" w:type="dxa"/>
            <w:shd w:val="clear" w:color="auto" w:fill="auto"/>
          </w:tcPr>
          <w:p w14:paraId="2A0E9D5A"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CI.9</w:t>
            </w:r>
          </w:p>
        </w:tc>
        <w:tc>
          <w:tcPr>
            <w:tcW w:w="4261" w:type="dxa"/>
            <w:shd w:val="clear" w:color="auto" w:fill="auto"/>
          </w:tcPr>
          <w:p w14:paraId="0DB74F81"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Denunciar o dar vista a la Secretaría de la Función Pública de los actos o hechos presuntamente constitutivos de infracciones a las disposiciones en materia de contrataciones públicas, que cometan los licitantes, proveedores o contratistas.</w:t>
            </w:r>
          </w:p>
        </w:tc>
        <w:tc>
          <w:tcPr>
            <w:tcW w:w="4111" w:type="dxa"/>
            <w:shd w:val="clear" w:color="auto" w:fill="auto"/>
          </w:tcPr>
          <w:p w14:paraId="4C71B81E"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No se presentaron actos o hechos presuntamente constitutivos de infracciones en este periodo</w:t>
            </w:r>
          </w:p>
          <w:p w14:paraId="41B12FD7" w14:textId="77777777" w:rsidR="008800BB" w:rsidRPr="008800BB" w:rsidRDefault="008800BB" w:rsidP="008800BB">
            <w:pPr>
              <w:spacing w:line="276" w:lineRule="auto"/>
              <w:rPr>
                <w:rFonts w:ascii="Montserrat" w:hAnsi="Montserrat"/>
                <w:sz w:val="22"/>
                <w:szCs w:val="22"/>
              </w:rPr>
            </w:pPr>
          </w:p>
        </w:tc>
      </w:tr>
      <w:tr w:rsidR="008800BB" w:rsidRPr="008800BB" w14:paraId="06DBBD2E" w14:textId="77777777" w:rsidTr="00896F91">
        <w:tc>
          <w:tcPr>
            <w:tcW w:w="984" w:type="dxa"/>
            <w:shd w:val="clear" w:color="auto" w:fill="D9D9D9"/>
          </w:tcPr>
          <w:p w14:paraId="1DA56395"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CI.10</w:t>
            </w:r>
          </w:p>
        </w:tc>
        <w:tc>
          <w:tcPr>
            <w:tcW w:w="4261" w:type="dxa"/>
            <w:shd w:val="clear" w:color="auto" w:fill="D9D9D9"/>
          </w:tcPr>
          <w:p w14:paraId="6CEA14DB"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 xml:space="preserve">Remitir a la Secretaría de la Función Pública la documentación comprobatoria de los hechos presumiblemente constitutivos de infracción, dentro de los 15 días naturales a la fecha en que tengan conocimiento de alguna infracción a </w:t>
            </w:r>
            <w:r w:rsidRPr="008800BB">
              <w:rPr>
                <w:rFonts w:ascii="Montserrat" w:hAnsi="Montserrat"/>
                <w:sz w:val="22"/>
                <w:szCs w:val="22"/>
              </w:rPr>
              <w:lastRenderedPageBreak/>
              <w:t>las disposiciones en materia de contrataciones públicas, conforme a lo establecido en la normatividad aplicable.</w:t>
            </w:r>
          </w:p>
        </w:tc>
        <w:tc>
          <w:tcPr>
            <w:tcW w:w="4111" w:type="dxa"/>
            <w:shd w:val="clear" w:color="auto" w:fill="D9D9D9"/>
          </w:tcPr>
          <w:p w14:paraId="6B2F0B91"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lastRenderedPageBreak/>
              <w:t>N/A</w:t>
            </w:r>
          </w:p>
        </w:tc>
      </w:tr>
      <w:tr w:rsidR="008800BB" w:rsidRPr="008800BB" w14:paraId="0D11EAE8" w14:textId="77777777" w:rsidTr="00896F91">
        <w:tc>
          <w:tcPr>
            <w:tcW w:w="984" w:type="dxa"/>
            <w:shd w:val="clear" w:color="auto" w:fill="auto"/>
          </w:tcPr>
          <w:p w14:paraId="36F538CC"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PRH.8</w:t>
            </w:r>
          </w:p>
        </w:tc>
        <w:tc>
          <w:tcPr>
            <w:tcW w:w="4261" w:type="dxa"/>
            <w:shd w:val="clear" w:color="auto" w:fill="auto"/>
          </w:tcPr>
          <w:p w14:paraId="7890AE97"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Analizar el impacto de las estructuras orgánicas en el cumplimiento de sus objetivos y resultados institucionales.</w:t>
            </w:r>
          </w:p>
        </w:tc>
        <w:tc>
          <w:tcPr>
            <w:tcW w:w="4111" w:type="dxa"/>
            <w:shd w:val="clear" w:color="auto" w:fill="auto"/>
          </w:tcPr>
          <w:p w14:paraId="6186D7CE"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Estas acciones son responsabilidad de la Coordinadora Sectorial. Se entregó a Conacyt, en diciembre pasado, un formato de “Elemento de análisis”, para que se defina el modelo de impacto organizacional de las estructuras orgánicas.</w:t>
            </w:r>
          </w:p>
        </w:tc>
      </w:tr>
      <w:tr w:rsidR="008800BB" w:rsidRPr="008800BB" w14:paraId="02F18654" w14:textId="77777777" w:rsidTr="00896F91">
        <w:tc>
          <w:tcPr>
            <w:tcW w:w="984" w:type="dxa"/>
            <w:shd w:val="clear" w:color="auto" w:fill="D9D9D9"/>
          </w:tcPr>
          <w:p w14:paraId="036D7D6F"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PRH.10</w:t>
            </w:r>
          </w:p>
        </w:tc>
        <w:tc>
          <w:tcPr>
            <w:tcW w:w="4261" w:type="dxa"/>
            <w:shd w:val="clear" w:color="auto" w:fill="D9D9D9"/>
          </w:tcPr>
          <w:p w14:paraId="1A71B2D0"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Proponer al Comité de Control y Desempeño Institucional los acuerdos que permitan dar cumplimiento a las disposiciones normativas en materia de funciones del servicio público.</w:t>
            </w:r>
          </w:p>
        </w:tc>
        <w:tc>
          <w:tcPr>
            <w:tcW w:w="4111" w:type="dxa"/>
            <w:shd w:val="clear" w:color="auto" w:fill="D9D9D9"/>
          </w:tcPr>
          <w:p w14:paraId="16E5A4D7"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Una vez que se tenga aprobado el Manual de Organización, se podrá identificar si permite cumplir con los objetivos y metas institucionales, y en caso de detectar insuficiencias proponer al COCODI acuerdos que permitan corregirlas.</w:t>
            </w:r>
          </w:p>
        </w:tc>
      </w:tr>
    </w:tbl>
    <w:p w14:paraId="06BAFD2A" w14:textId="77777777" w:rsidR="008800BB" w:rsidRPr="008800BB" w:rsidRDefault="008800BB" w:rsidP="008800BB">
      <w:pPr>
        <w:spacing w:line="276" w:lineRule="auto"/>
        <w:jc w:val="both"/>
        <w:rPr>
          <w:rFonts w:ascii="Montserrat" w:eastAsia="Calibri" w:hAnsi="Montserrat" w:cs="Times New Roman"/>
          <w:b/>
          <w:bCs/>
          <w:sz w:val="22"/>
          <w:szCs w:val="22"/>
        </w:rPr>
      </w:pPr>
    </w:p>
    <w:p w14:paraId="4E8EF406" w14:textId="29591207" w:rsidR="008800BB" w:rsidRDefault="008800BB" w:rsidP="008800BB">
      <w:pPr>
        <w:spacing w:line="276" w:lineRule="auto"/>
        <w:jc w:val="both"/>
        <w:rPr>
          <w:rFonts w:ascii="Montserrat" w:eastAsia="Calibri" w:hAnsi="Montserrat" w:cs="Times New Roman"/>
          <w:b/>
          <w:bCs/>
          <w:sz w:val="22"/>
          <w:szCs w:val="22"/>
        </w:rPr>
      </w:pPr>
      <w:r w:rsidRPr="008800BB">
        <w:rPr>
          <w:rFonts w:ascii="Montserrat" w:eastAsia="Calibri" w:hAnsi="Montserrat" w:cs="Times New Roman"/>
          <w:b/>
          <w:bCs/>
          <w:sz w:val="22"/>
          <w:szCs w:val="22"/>
        </w:rPr>
        <w:t>Indicadores</w:t>
      </w:r>
    </w:p>
    <w:p w14:paraId="59156BCF" w14:textId="77777777" w:rsidR="008800BB" w:rsidRPr="008800BB" w:rsidRDefault="008800BB" w:rsidP="008800BB">
      <w:pPr>
        <w:spacing w:line="276" w:lineRule="auto"/>
        <w:jc w:val="both"/>
        <w:rPr>
          <w:rFonts w:ascii="Montserrat" w:eastAsia="Calibri" w:hAnsi="Montserrat" w:cs="Times New Roman"/>
          <w:b/>
          <w:bCs/>
          <w:sz w:val="22"/>
          <w:szCs w:val="22"/>
        </w:rPr>
      </w:pPr>
    </w:p>
    <w:p w14:paraId="5D346AC0" w14:textId="77777777" w:rsidR="008800BB" w:rsidRPr="008800BB" w:rsidRDefault="008800BB" w:rsidP="008800BB">
      <w:pPr>
        <w:spacing w:after="160" w:line="276" w:lineRule="auto"/>
        <w:jc w:val="both"/>
        <w:rPr>
          <w:rFonts w:ascii="Montserrat" w:eastAsia="Calibri" w:hAnsi="Montserrat" w:cs="Times New Roman"/>
          <w:sz w:val="22"/>
          <w:szCs w:val="22"/>
        </w:rPr>
      </w:pPr>
      <w:r w:rsidRPr="008800BB">
        <w:rPr>
          <w:rFonts w:ascii="Montserrat" w:eastAsia="Calibri" w:hAnsi="Montserrat" w:cs="Times New Roman"/>
          <w:sz w:val="22"/>
          <w:szCs w:val="22"/>
        </w:rPr>
        <w:t xml:space="preserve">Sobre los 12 indicadores correspondientes a ECOSUR, cuatro de ellos tienen un reporte anual por lo que no se consideran en este periodo. De los ocho restantes, cuatro se reportan y cuatro están sin reporte, como lo muestra la Tabla 3. </w:t>
      </w:r>
    </w:p>
    <w:p w14:paraId="3EF03DD6" w14:textId="77777777" w:rsidR="008800BB" w:rsidRPr="008800BB" w:rsidRDefault="008800BB" w:rsidP="008800BB">
      <w:pPr>
        <w:spacing w:line="276" w:lineRule="auto"/>
        <w:jc w:val="both"/>
        <w:rPr>
          <w:rFonts w:ascii="Montserrat" w:eastAsia="Calibri" w:hAnsi="Montserrat" w:cs="Times New Roman"/>
          <w:sz w:val="22"/>
          <w:szCs w:val="22"/>
        </w:rPr>
      </w:pPr>
      <w:r w:rsidRPr="008800BB">
        <w:rPr>
          <w:rFonts w:ascii="Montserrat" w:eastAsia="Calibri" w:hAnsi="Montserrat" w:cs="Times New Roman"/>
          <w:sz w:val="22"/>
          <w:szCs w:val="22"/>
        </w:rPr>
        <w:t xml:space="preserve">Tabla 3. Avances en indicadores (%)- Segundo trimestre 2021- </w:t>
      </w:r>
    </w:p>
    <w:tbl>
      <w:tblPr>
        <w:tblStyle w:val="Tablaconcuadrcula"/>
        <w:tblW w:w="9214" w:type="dxa"/>
        <w:tblLayout w:type="fixed"/>
        <w:tblLook w:val="04A0" w:firstRow="1" w:lastRow="0" w:firstColumn="1" w:lastColumn="0" w:noHBand="0" w:noVBand="1"/>
      </w:tblPr>
      <w:tblGrid>
        <w:gridCol w:w="3542"/>
        <w:gridCol w:w="1698"/>
        <w:gridCol w:w="1282"/>
        <w:gridCol w:w="2692"/>
      </w:tblGrid>
      <w:tr w:rsidR="008800BB" w:rsidRPr="008800BB" w14:paraId="44935965" w14:textId="77777777" w:rsidTr="00896F91">
        <w:tc>
          <w:tcPr>
            <w:tcW w:w="3542" w:type="dxa"/>
          </w:tcPr>
          <w:p w14:paraId="21811EC6" w14:textId="77777777" w:rsidR="008800BB" w:rsidRPr="008800BB" w:rsidRDefault="008800BB" w:rsidP="008800BB">
            <w:pPr>
              <w:spacing w:line="276" w:lineRule="auto"/>
              <w:jc w:val="center"/>
              <w:rPr>
                <w:rFonts w:ascii="Montserrat" w:hAnsi="Montserrat"/>
                <w:bCs/>
                <w:sz w:val="22"/>
                <w:szCs w:val="22"/>
              </w:rPr>
            </w:pPr>
            <w:r w:rsidRPr="008800BB">
              <w:rPr>
                <w:rFonts w:ascii="Montserrat" w:hAnsi="Montserrat"/>
                <w:bCs/>
                <w:sz w:val="22"/>
                <w:szCs w:val="22"/>
              </w:rPr>
              <w:t>Indicador</w:t>
            </w:r>
          </w:p>
        </w:tc>
        <w:tc>
          <w:tcPr>
            <w:tcW w:w="1698" w:type="dxa"/>
          </w:tcPr>
          <w:p w14:paraId="71865836" w14:textId="77777777" w:rsidR="008800BB" w:rsidRPr="008800BB" w:rsidRDefault="008800BB" w:rsidP="008800BB">
            <w:pPr>
              <w:spacing w:line="276" w:lineRule="auto"/>
              <w:jc w:val="center"/>
              <w:rPr>
                <w:rFonts w:ascii="Montserrat" w:hAnsi="Montserrat"/>
                <w:bCs/>
                <w:sz w:val="22"/>
                <w:szCs w:val="22"/>
              </w:rPr>
            </w:pPr>
            <w:r w:rsidRPr="008800BB">
              <w:rPr>
                <w:rFonts w:ascii="Montserrat" w:hAnsi="Montserrat"/>
                <w:bCs/>
                <w:sz w:val="22"/>
                <w:szCs w:val="22"/>
              </w:rPr>
              <w:t>Periodicidad</w:t>
            </w:r>
          </w:p>
        </w:tc>
        <w:tc>
          <w:tcPr>
            <w:tcW w:w="1282" w:type="dxa"/>
          </w:tcPr>
          <w:p w14:paraId="49F2F7FE" w14:textId="77777777" w:rsidR="008800BB" w:rsidRPr="008800BB" w:rsidRDefault="008800BB" w:rsidP="008800BB">
            <w:pPr>
              <w:spacing w:line="276" w:lineRule="auto"/>
              <w:jc w:val="center"/>
              <w:rPr>
                <w:rFonts w:ascii="Montserrat" w:hAnsi="Montserrat"/>
                <w:bCs/>
                <w:sz w:val="22"/>
                <w:szCs w:val="22"/>
              </w:rPr>
            </w:pPr>
            <w:r w:rsidRPr="008800BB">
              <w:rPr>
                <w:rFonts w:ascii="Montserrat" w:hAnsi="Montserrat"/>
                <w:bCs/>
                <w:sz w:val="22"/>
                <w:szCs w:val="22"/>
              </w:rPr>
              <w:t>Situación trimestre</w:t>
            </w:r>
          </w:p>
        </w:tc>
        <w:tc>
          <w:tcPr>
            <w:tcW w:w="2692" w:type="dxa"/>
          </w:tcPr>
          <w:p w14:paraId="0920A62A" w14:textId="77777777" w:rsidR="008800BB" w:rsidRPr="008800BB" w:rsidRDefault="008800BB" w:rsidP="008800BB">
            <w:pPr>
              <w:spacing w:line="276" w:lineRule="auto"/>
              <w:jc w:val="center"/>
              <w:rPr>
                <w:rFonts w:ascii="Montserrat" w:hAnsi="Montserrat"/>
                <w:bCs/>
                <w:sz w:val="22"/>
                <w:szCs w:val="22"/>
              </w:rPr>
            </w:pPr>
          </w:p>
        </w:tc>
      </w:tr>
      <w:tr w:rsidR="008800BB" w:rsidRPr="008800BB" w14:paraId="355E3A3E" w14:textId="77777777" w:rsidTr="00896F91">
        <w:tc>
          <w:tcPr>
            <w:tcW w:w="3542" w:type="dxa"/>
            <w:shd w:val="clear" w:color="auto" w:fill="D9D9D9"/>
          </w:tcPr>
          <w:p w14:paraId="63D9641C"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ICC1. % contratos registrados en la bitácora electrónica de seguimiento de adquisiciones</w:t>
            </w:r>
          </w:p>
        </w:tc>
        <w:tc>
          <w:tcPr>
            <w:tcW w:w="1698" w:type="dxa"/>
            <w:shd w:val="clear" w:color="auto" w:fill="D9D9D9"/>
          </w:tcPr>
          <w:p w14:paraId="25E28002"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Trimestral</w:t>
            </w:r>
          </w:p>
        </w:tc>
        <w:tc>
          <w:tcPr>
            <w:tcW w:w="1282" w:type="dxa"/>
            <w:shd w:val="clear" w:color="auto" w:fill="D9D9D9"/>
          </w:tcPr>
          <w:p w14:paraId="7D558D89"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Sin reporte</w:t>
            </w:r>
          </w:p>
        </w:tc>
        <w:tc>
          <w:tcPr>
            <w:tcW w:w="2692" w:type="dxa"/>
            <w:shd w:val="clear" w:color="auto" w:fill="D9D9D9"/>
          </w:tcPr>
          <w:p w14:paraId="5623C58B"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Aún no existe la Bitácora mencionada</w:t>
            </w:r>
          </w:p>
        </w:tc>
      </w:tr>
      <w:tr w:rsidR="008800BB" w:rsidRPr="008800BB" w14:paraId="11B343C0" w14:textId="77777777" w:rsidTr="00896F91">
        <w:tc>
          <w:tcPr>
            <w:tcW w:w="3542" w:type="dxa"/>
          </w:tcPr>
          <w:p w14:paraId="7AED20B4"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ICC2. % de atención de acuerdos de los COCODI relacionados con el seguimiento de las metas de los programas presupuestarios</w:t>
            </w:r>
          </w:p>
        </w:tc>
        <w:tc>
          <w:tcPr>
            <w:tcW w:w="1698" w:type="dxa"/>
          </w:tcPr>
          <w:p w14:paraId="760CA4D4"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Trimestral</w:t>
            </w:r>
          </w:p>
        </w:tc>
        <w:tc>
          <w:tcPr>
            <w:tcW w:w="1282" w:type="dxa"/>
          </w:tcPr>
          <w:p w14:paraId="5E1C5A91"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Sin reporte</w:t>
            </w:r>
          </w:p>
        </w:tc>
        <w:tc>
          <w:tcPr>
            <w:tcW w:w="2692" w:type="dxa"/>
          </w:tcPr>
          <w:p w14:paraId="00CB48C4"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No hay acuerdos en COCODI</w:t>
            </w:r>
          </w:p>
        </w:tc>
      </w:tr>
      <w:tr w:rsidR="008800BB" w:rsidRPr="008800BB" w14:paraId="07CA4E18" w14:textId="77777777" w:rsidTr="00896F91">
        <w:tc>
          <w:tcPr>
            <w:tcW w:w="3542" w:type="dxa"/>
            <w:shd w:val="clear" w:color="auto" w:fill="D9D9D9"/>
          </w:tcPr>
          <w:p w14:paraId="253AC73D"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lastRenderedPageBreak/>
              <w:t>ICI1. % difusión de posibles faltas administrativas de las personas servidoras públicas y sanciones</w:t>
            </w:r>
          </w:p>
        </w:tc>
        <w:tc>
          <w:tcPr>
            <w:tcW w:w="1698" w:type="dxa"/>
            <w:shd w:val="clear" w:color="auto" w:fill="D9D9D9"/>
          </w:tcPr>
          <w:p w14:paraId="5AFA2DC3"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Trimestral</w:t>
            </w:r>
          </w:p>
        </w:tc>
        <w:tc>
          <w:tcPr>
            <w:tcW w:w="1282" w:type="dxa"/>
            <w:shd w:val="clear" w:color="auto" w:fill="D9D9D9"/>
          </w:tcPr>
          <w:p w14:paraId="4ABA75AE"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(3/3)</w:t>
            </w:r>
          </w:p>
          <w:p w14:paraId="6E4182A7"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 100%</w:t>
            </w:r>
          </w:p>
        </w:tc>
        <w:tc>
          <w:tcPr>
            <w:tcW w:w="2692" w:type="dxa"/>
            <w:shd w:val="clear" w:color="auto" w:fill="D9D9D9"/>
          </w:tcPr>
          <w:p w14:paraId="623E36D4" w14:textId="77777777" w:rsidR="008800BB" w:rsidRPr="008800BB" w:rsidRDefault="008800BB" w:rsidP="008800BB">
            <w:pPr>
              <w:spacing w:line="276" w:lineRule="auto"/>
              <w:jc w:val="both"/>
              <w:rPr>
                <w:rFonts w:ascii="Montserrat" w:hAnsi="Montserrat"/>
                <w:sz w:val="22"/>
                <w:szCs w:val="22"/>
              </w:rPr>
            </w:pPr>
          </w:p>
        </w:tc>
      </w:tr>
      <w:tr w:rsidR="008800BB" w:rsidRPr="008800BB" w14:paraId="79BCDD5B" w14:textId="77777777" w:rsidTr="00896F91">
        <w:tc>
          <w:tcPr>
            <w:tcW w:w="3542" w:type="dxa"/>
          </w:tcPr>
          <w:p w14:paraId="7722917C"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ICI2. Eficacia en asesorías y consultas brindadas en materia de conflictos de intereses</w:t>
            </w:r>
          </w:p>
        </w:tc>
        <w:tc>
          <w:tcPr>
            <w:tcW w:w="1698" w:type="dxa"/>
          </w:tcPr>
          <w:p w14:paraId="043426AE"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Trimestral</w:t>
            </w:r>
          </w:p>
        </w:tc>
        <w:tc>
          <w:tcPr>
            <w:tcW w:w="1282" w:type="dxa"/>
          </w:tcPr>
          <w:p w14:paraId="5FBC9296"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(1/1)</w:t>
            </w:r>
          </w:p>
          <w:p w14:paraId="6050793B"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 100%</w:t>
            </w:r>
          </w:p>
        </w:tc>
        <w:tc>
          <w:tcPr>
            <w:tcW w:w="2692" w:type="dxa"/>
          </w:tcPr>
          <w:p w14:paraId="0A47A620" w14:textId="77777777" w:rsidR="008800BB" w:rsidRPr="008800BB" w:rsidRDefault="008800BB" w:rsidP="008800BB">
            <w:pPr>
              <w:spacing w:line="276" w:lineRule="auto"/>
              <w:jc w:val="both"/>
              <w:rPr>
                <w:rFonts w:ascii="Montserrat" w:hAnsi="Montserrat"/>
                <w:sz w:val="22"/>
                <w:szCs w:val="22"/>
              </w:rPr>
            </w:pPr>
          </w:p>
        </w:tc>
      </w:tr>
      <w:tr w:rsidR="008800BB" w:rsidRPr="008800BB" w14:paraId="1B6BF4FA" w14:textId="77777777" w:rsidTr="00896F91">
        <w:tc>
          <w:tcPr>
            <w:tcW w:w="3542" w:type="dxa"/>
            <w:shd w:val="clear" w:color="auto" w:fill="D9D9D9"/>
          </w:tcPr>
          <w:p w14:paraId="5D84F40D"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ICI3. % Denuncias remitidas a titulares de áreas de queja de los OIC</w:t>
            </w:r>
          </w:p>
        </w:tc>
        <w:tc>
          <w:tcPr>
            <w:tcW w:w="1698" w:type="dxa"/>
            <w:shd w:val="clear" w:color="auto" w:fill="D9D9D9"/>
          </w:tcPr>
          <w:p w14:paraId="50938AA3"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Trimestral</w:t>
            </w:r>
          </w:p>
        </w:tc>
        <w:tc>
          <w:tcPr>
            <w:tcW w:w="1282" w:type="dxa"/>
            <w:shd w:val="clear" w:color="auto" w:fill="D9D9D9"/>
          </w:tcPr>
          <w:p w14:paraId="473A68FB"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Sin reporte</w:t>
            </w:r>
          </w:p>
        </w:tc>
        <w:tc>
          <w:tcPr>
            <w:tcW w:w="2692" w:type="dxa"/>
            <w:shd w:val="clear" w:color="auto" w:fill="D9D9D9"/>
          </w:tcPr>
          <w:p w14:paraId="26DA2FE4"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No hubo tales denuncias en el periodo</w:t>
            </w:r>
          </w:p>
        </w:tc>
      </w:tr>
      <w:tr w:rsidR="008800BB" w:rsidRPr="008800BB" w14:paraId="21EBC06F" w14:textId="77777777" w:rsidTr="00896F91">
        <w:tc>
          <w:tcPr>
            <w:tcW w:w="3542" w:type="dxa"/>
          </w:tcPr>
          <w:p w14:paraId="17A1E8AC"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IPRH2. Indicador de fomento a la nueva ética pública</w:t>
            </w:r>
          </w:p>
        </w:tc>
        <w:tc>
          <w:tcPr>
            <w:tcW w:w="1698" w:type="dxa"/>
          </w:tcPr>
          <w:p w14:paraId="3967DDC2"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Trimestral</w:t>
            </w:r>
          </w:p>
        </w:tc>
        <w:tc>
          <w:tcPr>
            <w:tcW w:w="1282" w:type="dxa"/>
          </w:tcPr>
          <w:p w14:paraId="60B33C0F"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8/9</w:t>
            </w:r>
          </w:p>
          <w:p w14:paraId="5713EA75"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=88.9%*</w:t>
            </w:r>
          </w:p>
        </w:tc>
        <w:tc>
          <w:tcPr>
            <w:tcW w:w="2692" w:type="dxa"/>
          </w:tcPr>
          <w:p w14:paraId="321670A2"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*Hubo un error en el sistema por lo que se registró un cumplimiento de 100%</w:t>
            </w:r>
          </w:p>
        </w:tc>
      </w:tr>
      <w:tr w:rsidR="008800BB" w:rsidRPr="008800BB" w14:paraId="5C8D6E2B" w14:textId="77777777" w:rsidTr="00896F91">
        <w:tc>
          <w:tcPr>
            <w:tcW w:w="3542" w:type="dxa"/>
            <w:shd w:val="clear" w:color="auto" w:fill="D9D9D9"/>
          </w:tcPr>
          <w:p w14:paraId="6C422409"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IPRH3. Índice de simplificación de procesos y normatividad interna</w:t>
            </w:r>
          </w:p>
        </w:tc>
        <w:tc>
          <w:tcPr>
            <w:tcW w:w="1698" w:type="dxa"/>
            <w:shd w:val="clear" w:color="auto" w:fill="D9D9D9"/>
          </w:tcPr>
          <w:p w14:paraId="406D5293"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Trimestral</w:t>
            </w:r>
          </w:p>
        </w:tc>
        <w:tc>
          <w:tcPr>
            <w:tcW w:w="1282" w:type="dxa"/>
            <w:shd w:val="clear" w:color="auto" w:fill="D9D9D9"/>
          </w:tcPr>
          <w:p w14:paraId="3D059B0F"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Sin reporte</w:t>
            </w:r>
          </w:p>
        </w:tc>
        <w:tc>
          <w:tcPr>
            <w:tcW w:w="2692" w:type="dxa"/>
            <w:shd w:val="clear" w:color="auto" w:fill="D9D9D9"/>
          </w:tcPr>
          <w:p w14:paraId="1B1A5722"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Se está en proceso de simplificación</w:t>
            </w:r>
          </w:p>
        </w:tc>
      </w:tr>
      <w:tr w:rsidR="008800BB" w:rsidRPr="008800BB" w14:paraId="6FD0B5DD" w14:textId="77777777" w:rsidTr="00896F91">
        <w:tc>
          <w:tcPr>
            <w:tcW w:w="3542" w:type="dxa"/>
          </w:tcPr>
          <w:p w14:paraId="38C85804" w14:textId="77777777" w:rsidR="008800BB" w:rsidRPr="008800BB" w:rsidRDefault="008800BB" w:rsidP="008800BB">
            <w:pPr>
              <w:spacing w:line="276" w:lineRule="auto"/>
              <w:jc w:val="both"/>
              <w:rPr>
                <w:rFonts w:ascii="Montserrat" w:hAnsi="Montserrat"/>
                <w:sz w:val="22"/>
                <w:szCs w:val="22"/>
              </w:rPr>
            </w:pPr>
            <w:r w:rsidRPr="008800BB">
              <w:rPr>
                <w:rFonts w:ascii="Montserrat" w:hAnsi="Montserrat"/>
                <w:sz w:val="22"/>
                <w:szCs w:val="22"/>
              </w:rPr>
              <w:t xml:space="preserve">IUB1. </w:t>
            </w:r>
            <w:proofErr w:type="gramStart"/>
            <w:r w:rsidRPr="008800BB">
              <w:rPr>
                <w:rFonts w:ascii="Montserrat" w:hAnsi="Montserrat"/>
                <w:sz w:val="22"/>
                <w:szCs w:val="22"/>
              </w:rPr>
              <w:t>Participación activa</w:t>
            </w:r>
            <w:proofErr w:type="gramEnd"/>
            <w:r w:rsidRPr="008800BB">
              <w:rPr>
                <w:rFonts w:ascii="Montserrat" w:hAnsi="Montserrat"/>
                <w:sz w:val="22"/>
                <w:szCs w:val="22"/>
              </w:rPr>
              <w:t xml:space="preserve"> para conducir eficientemente la política inmobiliaria</w:t>
            </w:r>
          </w:p>
        </w:tc>
        <w:tc>
          <w:tcPr>
            <w:tcW w:w="1698" w:type="dxa"/>
          </w:tcPr>
          <w:p w14:paraId="78E5569C"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Semestral</w:t>
            </w:r>
          </w:p>
        </w:tc>
        <w:tc>
          <w:tcPr>
            <w:tcW w:w="1282" w:type="dxa"/>
          </w:tcPr>
          <w:p w14:paraId="1138919D"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(7/7)</w:t>
            </w:r>
          </w:p>
          <w:p w14:paraId="42370016"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 100%</w:t>
            </w:r>
          </w:p>
        </w:tc>
        <w:tc>
          <w:tcPr>
            <w:tcW w:w="2692" w:type="dxa"/>
          </w:tcPr>
          <w:p w14:paraId="530B33D8" w14:textId="77777777" w:rsidR="008800BB" w:rsidRPr="008800BB" w:rsidRDefault="008800BB" w:rsidP="008800BB">
            <w:pPr>
              <w:spacing w:line="276" w:lineRule="auto"/>
              <w:jc w:val="both"/>
              <w:rPr>
                <w:rFonts w:ascii="Montserrat" w:hAnsi="Montserrat"/>
                <w:sz w:val="22"/>
                <w:szCs w:val="22"/>
              </w:rPr>
            </w:pPr>
          </w:p>
        </w:tc>
      </w:tr>
    </w:tbl>
    <w:p w14:paraId="34DDDBAB" w14:textId="77777777" w:rsidR="008800BB" w:rsidRPr="008800BB" w:rsidRDefault="008800BB" w:rsidP="008800BB">
      <w:pPr>
        <w:spacing w:line="360" w:lineRule="auto"/>
        <w:jc w:val="both"/>
        <w:rPr>
          <w:rFonts w:ascii="Montserrat" w:eastAsia="Calibri" w:hAnsi="Montserrat" w:cs="Times New Roman"/>
          <w:sz w:val="22"/>
          <w:szCs w:val="22"/>
        </w:rPr>
      </w:pPr>
    </w:p>
    <w:p w14:paraId="3E40F6AE" w14:textId="77777777" w:rsidR="008800BB" w:rsidRPr="008800BB" w:rsidRDefault="008800BB" w:rsidP="008800BB">
      <w:pPr>
        <w:spacing w:line="276" w:lineRule="auto"/>
        <w:jc w:val="both"/>
        <w:rPr>
          <w:rFonts w:ascii="Montserrat" w:eastAsia="Calibri" w:hAnsi="Montserrat" w:cs="Times New Roman"/>
          <w:sz w:val="22"/>
          <w:szCs w:val="22"/>
        </w:rPr>
      </w:pPr>
      <w:r w:rsidRPr="008800BB">
        <w:rPr>
          <w:rFonts w:ascii="Montserrat" w:eastAsia="Calibri" w:hAnsi="Montserrat" w:cs="Times New Roman"/>
          <w:sz w:val="22"/>
          <w:szCs w:val="22"/>
        </w:rPr>
        <w:t>Todas las evidencias correspondientes a las acciones realizadas se entregaron al Órgano Interno de Control, quien emitió su evaluación al Reporte el día 30 de julio mediante oficio OIC/11109/219/2021. La institución respondió a esta evaluación mediante oficio DG-O-233/21 de fecha 13 de agosto de 2021, adjuntando la información y evidencias solicitadas.</w:t>
      </w:r>
    </w:p>
    <w:p w14:paraId="5D443698" w14:textId="77777777" w:rsidR="008800BB" w:rsidRPr="008800BB" w:rsidRDefault="008800BB" w:rsidP="008800BB">
      <w:pPr>
        <w:spacing w:line="276" w:lineRule="auto"/>
        <w:jc w:val="both"/>
        <w:rPr>
          <w:rFonts w:ascii="Montserrat" w:eastAsia="Calibri" w:hAnsi="Montserrat" w:cs="Times New Roman"/>
          <w:sz w:val="22"/>
          <w:szCs w:val="22"/>
        </w:rPr>
      </w:pPr>
    </w:p>
    <w:p w14:paraId="1CEF46B4" w14:textId="77777777" w:rsidR="008800BB" w:rsidRPr="008800BB" w:rsidRDefault="008800BB" w:rsidP="008800BB">
      <w:pPr>
        <w:spacing w:line="276" w:lineRule="auto"/>
        <w:jc w:val="both"/>
        <w:rPr>
          <w:rFonts w:ascii="Montserrat" w:eastAsia="Calibri" w:hAnsi="Montserrat" w:cs="Times New Roman"/>
          <w:sz w:val="22"/>
          <w:szCs w:val="22"/>
        </w:rPr>
      </w:pPr>
      <w:r w:rsidRPr="008800BB">
        <w:rPr>
          <w:rFonts w:ascii="Montserrat" w:eastAsia="Calibri" w:hAnsi="Montserrat" w:cs="Times New Roman"/>
          <w:sz w:val="22"/>
          <w:szCs w:val="22"/>
        </w:rPr>
        <w:t xml:space="preserve">Para el segundo semestre 2021, se planea seguir con la política de austeridad y de fortalecimiento de los mecanismos de participación ciudadana y capacitaciones del personal. El acento se centrará prioritariamente sobre los compromisos (PRH4, PRH5 y PRH6) e indicador (IPRH3) relacionados con la simplificación de procesos y normatividad interna. Las personas involucradas en estos temas se han capacitado a través de las sesiones realizadas por la SFP en los meses de julio y agosto, para mejorar su actuación al respecto. </w:t>
      </w:r>
    </w:p>
    <w:p w14:paraId="227826EF" w14:textId="77777777" w:rsidR="008800BB" w:rsidRPr="008800BB" w:rsidRDefault="008800BB" w:rsidP="008800BB">
      <w:pPr>
        <w:spacing w:line="276" w:lineRule="auto"/>
        <w:jc w:val="both"/>
        <w:rPr>
          <w:rFonts w:ascii="Montserrat" w:eastAsia="Calibri" w:hAnsi="Montserrat" w:cs="Times New Roman"/>
          <w:sz w:val="22"/>
          <w:szCs w:val="22"/>
        </w:rPr>
      </w:pPr>
    </w:p>
    <w:p w14:paraId="767A537F" w14:textId="77777777" w:rsidR="008800BB" w:rsidRPr="008800BB" w:rsidRDefault="008800BB" w:rsidP="008800BB">
      <w:pPr>
        <w:spacing w:line="276" w:lineRule="auto"/>
        <w:jc w:val="both"/>
        <w:rPr>
          <w:rFonts w:ascii="Montserrat" w:eastAsia="Calibri" w:hAnsi="Montserrat" w:cs="Times New Roman"/>
          <w:sz w:val="22"/>
          <w:szCs w:val="22"/>
        </w:rPr>
      </w:pPr>
      <w:r w:rsidRPr="008800BB">
        <w:rPr>
          <w:rFonts w:ascii="Montserrat" w:eastAsia="Calibri" w:hAnsi="Montserrat" w:cs="Times New Roman"/>
          <w:sz w:val="22"/>
          <w:szCs w:val="22"/>
        </w:rPr>
        <w:lastRenderedPageBreak/>
        <w:t>En otro ámbito se ha avanzado hacia la reestructuración del Estatuto Orgánico y el Manual de Organización y se espera obtener en breve retroalimentación de las áreas jurídicas.</w:t>
      </w:r>
    </w:p>
    <w:p w14:paraId="4DE22393" w14:textId="77777777" w:rsidR="008800BB" w:rsidRPr="008800BB" w:rsidRDefault="008800BB" w:rsidP="008800BB">
      <w:pPr>
        <w:spacing w:line="276" w:lineRule="auto"/>
        <w:jc w:val="both"/>
        <w:rPr>
          <w:rFonts w:ascii="Montserrat" w:eastAsia="Calibri" w:hAnsi="Montserrat" w:cs="Times New Roman"/>
          <w:sz w:val="22"/>
          <w:szCs w:val="22"/>
        </w:rPr>
      </w:pPr>
    </w:p>
    <w:p w14:paraId="777BA2BA" w14:textId="77777777" w:rsidR="008800BB" w:rsidRPr="008800BB" w:rsidRDefault="008800BB" w:rsidP="008800BB">
      <w:pPr>
        <w:spacing w:line="276" w:lineRule="auto"/>
        <w:jc w:val="both"/>
        <w:rPr>
          <w:rFonts w:ascii="Montserrat" w:eastAsia="Calibri" w:hAnsi="Montserrat" w:cs="Times New Roman"/>
          <w:sz w:val="22"/>
          <w:szCs w:val="22"/>
        </w:rPr>
      </w:pPr>
      <w:r w:rsidRPr="008800BB">
        <w:rPr>
          <w:rFonts w:ascii="Montserrat" w:eastAsia="Calibri" w:hAnsi="Montserrat" w:cs="Times New Roman"/>
          <w:sz w:val="22"/>
          <w:szCs w:val="22"/>
        </w:rPr>
        <w:t>En cuanto a la preservación del patrimonio inmobiliario, se dará seguimiento al programa de mantenimiento emitido por cada unidad.</w:t>
      </w:r>
    </w:p>
    <w:p w14:paraId="5D1EC217" w14:textId="77777777" w:rsidR="008800BB" w:rsidRPr="008800BB" w:rsidRDefault="008800BB" w:rsidP="008800BB">
      <w:pPr>
        <w:spacing w:line="276" w:lineRule="auto"/>
        <w:jc w:val="both"/>
        <w:rPr>
          <w:rFonts w:ascii="Montserrat" w:eastAsia="Calibri" w:hAnsi="Montserrat" w:cs="Times New Roman"/>
          <w:sz w:val="22"/>
          <w:szCs w:val="22"/>
        </w:rPr>
      </w:pPr>
    </w:p>
    <w:p w14:paraId="0008C467" w14:textId="77777777" w:rsidR="008800BB" w:rsidRPr="008800BB" w:rsidRDefault="008800BB" w:rsidP="008800BB">
      <w:pPr>
        <w:numPr>
          <w:ilvl w:val="0"/>
          <w:numId w:val="2"/>
        </w:numPr>
        <w:autoSpaceDE w:val="0"/>
        <w:autoSpaceDN w:val="0"/>
        <w:spacing w:after="160" w:line="276" w:lineRule="auto"/>
        <w:ind w:left="284" w:hanging="284"/>
        <w:contextualSpacing/>
        <w:jc w:val="both"/>
        <w:rPr>
          <w:rFonts w:ascii="Montserrat" w:eastAsia="Calibri" w:hAnsi="Montserrat" w:cs="Times New Roman"/>
          <w:b/>
          <w:bCs/>
          <w:sz w:val="22"/>
          <w:szCs w:val="22"/>
        </w:rPr>
      </w:pPr>
      <w:r w:rsidRPr="008800BB">
        <w:rPr>
          <w:rFonts w:ascii="Montserrat" w:eastAsia="Calibri" w:hAnsi="Montserrat" w:cs="Times New Roman"/>
          <w:b/>
          <w:bCs/>
          <w:sz w:val="22"/>
          <w:szCs w:val="22"/>
        </w:rPr>
        <w:t>Actualización de datos de la persona funcionaria habilitada para dar seguimiento al programa</w:t>
      </w:r>
    </w:p>
    <w:p w14:paraId="6B6340F0" w14:textId="77777777" w:rsidR="008800BB" w:rsidRPr="008800BB" w:rsidRDefault="008800BB" w:rsidP="008800BB">
      <w:pPr>
        <w:spacing w:after="160" w:line="276" w:lineRule="auto"/>
        <w:contextualSpacing/>
        <w:jc w:val="both"/>
        <w:rPr>
          <w:rFonts w:ascii="Montserrat" w:eastAsia="Calibri" w:hAnsi="Montserrat" w:cs="Times New Roman"/>
          <w:b/>
          <w:bCs/>
          <w:sz w:val="22"/>
          <w:szCs w:val="22"/>
        </w:rPr>
      </w:pPr>
    </w:p>
    <w:tbl>
      <w:tblPr>
        <w:tblStyle w:val="Tablaconcuadrcula"/>
        <w:tblW w:w="9634" w:type="dxa"/>
        <w:tblLook w:val="04A0" w:firstRow="1" w:lastRow="0" w:firstColumn="1" w:lastColumn="0" w:noHBand="0" w:noVBand="1"/>
      </w:tblPr>
      <w:tblGrid>
        <w:gridCol w:w="2547"/>
        <w:gridCol w:w="2693"/>
        <w:gridCol w:w="1701"/>
        <w:gridCol w:w="2693"/>
      </w:tblGrid>
      <w:tr w:rsidR="008800BB" w:rsidRPr="008800BB" w14:paraId="6F4C5486" w14:textId="77777777" w:rsidTr="00896F91">
        <w:tc>
          <w:tcPr>
            <w:tcW w:w="2547" w:type="dxa"/>
          </w:tcPr>
          <w:p w14:paraId="59BF26C2" w14:textId="77777777" w:rsidR="008800BB" w:rsidRPr="008800BB" w:rsidRDefault="008800BB" w:rsidP="008800BB">
            <w:pPr>
              <w:spacing w:line="276" w:lineRule="auto"/>
              <w:rPr>
                <w:rFonts w:ascii="Montserrat" w:hAnsi="Montserrat"/>
                <w:bCs/>
                <w:sz w:val="22"/>
                <w:szCs w:val="22"/>
              </w:rPr>
            </w:pPr>
            <w:r w:rsidRPr="008800BB">
              <w:rPr>
                <w:rFonts w:ascii="Montserrat" w:hAnsi="Montserrat"/>
                <w:bCs/>
                <w:sz w:val="22"/>
                <w:szCs w:val="22"/>
              </w:rPr>
              <w:t>Nombre</w:t>
            </w:r>
          </w:p>
        </w:tc>
        <w:tc>
          <w:tcPr>
            <w:tcW w:w="2693" w:type="dxa"/>
          </w:tcPr>
          <w:p w14:paraId="153EB36D" w14:textId="77777777" w:rsidR="008800BB" w:rsidRPr="008800BB" w:rsidRDefault="008800BB" w:rsidP="008800BB">
            <w:pPr>
              <w:spacing w:line="276" w:lineRule="auto"/>
              <w:rPr>
                <w:rFonts w:ascii="Montserrat" w:hAnsi="Montserrat"/>
                <w:bCs/>
                <w:sz w:val="22"/>
                <w:szCs w:val="22"/>
              </w:rPr>
            </w:pPr>
            <w:r w:rsidRPr="008800BB">
              <w:rPr>
                <w:rFonts w:ascii="Montserrat" w:hAnsi="Montserrat"/>
                <w:bCs/>
                <w:sz w:val="22"/>
                <w:szCs w:val="22"/>
              </w:rPr>
              <w:t>Cargo</w:t>
            </w:r>
          </w:p>
        </w:tc>
        <w:tc>
          <w:tcPr>
            <w:tcW w:w="1701" w:type="dxa"/>
          </w:tcPr>
          <w:p w14:paraId="217612FF" w14:textId="77777777" w:rsidR="008800BB" w:rsidRPr="008800BB" w:rsidRDefault="008800BB" w:rsidP="008800BB">
            <w:pPr>
              <w:spacing w:line="276" w:lineRule="auto"/>
              <w:rPr>
                <w:rFonts w:ascii="Montserrat" w:hAnsi="Montserrat"/>
                <w:bCs/>
                <w:sz w:val="22"/>
                <w:szCs w:val="22"/>
              </w:rPr>
            </w:pPr>
            <w:r w:rsidRPr="008800BB">
              <w:rPr>
                <w:rFonts w:ascii="Montserrat" w:hAnsi="Montserrat"/>
                <w:bCs/>
                <w:sz w:val="22"/>
                <w:szCs w:val="22"/>
              </w:rPr>
              <w:t>Teléfono</w:t>
            </w:r>
          </w:p>
        </w:tc>
        <w:tc>
          <w:tcPr>
            <w:tcW w:w="2693" w:type="dxa"/>
          </w:tcPr>
          <w:p w14:paraId="49C39588" w14:textId="77777777" w:rsidR="008800BB" w:rsidRPr="008800BB" w:rsidRDefault="008800BB" w:rsidP="008800BB">
            <w:pPr>
              <w:spacing w:line="276" w:lineRule="auto"/>
              <w:rPr>
                <w:rFonts w:ascii="Montserrat" w:hAnsi="Montserrat"/>
                <w:bCs/>
                <w:sz w:val="22"/>
                <w:szCs w:val="22"/>
              </w:rPr>
            </w:pPr>
            <w:r w:rsidRPr="008800BB">
              <w:rPr>
                <w:rFonts w:ascii="Montserrat" w:hAnsi="Montserrat"/>
                <w:bCs/>
                <w:sz w:val="22"/>
                <w:szCs w:val="22"/>
              </w:rPr>
              <w:t>correo</w:t>
            </w:r>
          </w:p>
        </w:tc>
      </w:tr>
      <w:tr w:rsidR="008800BB" w:rsidRPr="008800BB" w14:paraId="373DC1DC" w14:textId="77777777" w:rsidTr="00896F91">
        <w:tc>
          <w:tcPr>
            <w:tcW w:w="2547" w:type="dxa"/>
          </w:tcPr>
          <w:p w14:paraId="5E539BE1"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M. A. Leticia Espinosa Cruz</w:t>
            </w:r>
          </w:p>
        </w:tc>
        <w:tc>
          <w:tcPr>
            <w:tcW w:w="2693" w:type="dxa"/>
          </w:tcPr>
          <w:p w14:paraId="488FE2AD"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Directora de Administración</w:t>
            </w:r>
          </w:p>
        </w:tc>
        <w:tc>
          <w:tcPr>
            <w:tcW w:w="1701" w:type="dxa"/>
          </w:tcPr>
          <w:p w14:paraId="52F7DBD1"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967 195 3149</w:t>
            </w:r>
          </w:p>
        </w:tc>
        <w:tc>
          <w:tcPr>
            <w:tcW w:w="2693" w:type="dxa"/>
          </w:tcPr>
          <w:p w14:paraId="09B8BA05" w14:textId="77777777" w:rsidR="008800BB" w:rsidRPr="008800BB" w:rsidRDefault="0067445C" w:rsidP="008800BB">
            <w:pPr>
              <w:spacing w:line="276" w:lineRule="auto"/>
              <w:rPr>
                <w:rFonts w:ascii="Montserrat" w:hAnsi="Montserrat"/>
                <w:sz w:val="22"/>
                <w:szCs w:val="22"/>
              </w:rPr>
            </w:pPr>
            <w:hyperlink r:id="rId7" w:history="1">
              <w:r w:rsidR="008800BB" w:rsidRPr="008800BB">
                <w:rPr>
                  <w:rFonts w:ascii="Montserrat" w:hAnsi="Montserrat"/>
                  <w:color w:val="0563C1"/>
                  <w:sz w:val="22"/>
                  <w:szCs w:val="22"/>
                  <w:u w:val="single"/>
                </w:rPr>
                <w:t>lespinos@ecosur.mx</w:t>
              </w:r>
            </w:hyperlink>
          </w:p>
          <w:p w14:paraId="0EC5042C" w14:textId="77777777" w:rsidR="008800BB" w:rsidRPr="008800BB" w:rsidRDefault="008800BB" w:rsidP="008800BB">
            <w:pPr>
              <w:spacing w:line="276" w:lineRule="auto"/>
              <w:rPr>
                <w:rFonts w:ascii="Montserrat" w:hAnsi="Montserrat"/>
                <w:sz w:val="22"/>
                <w:szCs w:val="22"/>
              </w:rPr>
            </w:pPr>
            <w:r w:rsidRPr="008800BB">
              <w:rPr>
                <w:rFonts w:ascii="Montserrat" w:hAnsi="Montserrat"/>
                <w:sz w:val="22"/>
                <w:szCs w:val="22"/>
              </w:rPr>
              <w:t>da@ecosur.mx</w:t>
            </w:r>
          </w:p>
        </w:tc>
      </w:tr>
    </w:tbl>
    <w:p w14:paraId="5742DF66" w14:textId="77777777" w:rsidR="008800BB" w:rsidRPr="008800BB" w:rsidRDefault="008800BB" w:rsidP="008800BB">
      <w:pPr>
        <w:spacing w:line="360" w:lineRule="auto"/>
        <w:jc w:val="both"/>
        <w:rPr>
          <w:rFonts w:ascii="Montserrat" w:eastAsia="Calibri" w:hAnsi="Montserrat" w:cs="Calibri"/>
          <w:b/>
          <w:bCs/>
          <w:sz w:val="22"/>
          <w:szCs w:val="22"/>
        </w:rPr>
      </w:pPr>
    </w:p>
    <w:p w14:paraId="67C22F64" w14:textId="77777777" w:rsidR="008800BB" w:rsidRPr="008800BB" w:rsidRDefault="008800BB" w:rsidP="008800BB">
      <w:pPr>
        <w:spacing w:line="276" w:lineRule="auto"/>
        <w:jc w:val="both"/>
        <w:rPr>
          <w:rFonts w:ascii="Montserrat" w:eastAsia="Calibri" w:hAnsi="Montserrat" w:cs="Calibri"/>
          <w:b/>
          <w:bCs/>
          <w:sz w:val="22"/>
          <w:szCs w:val="22"/>
        </w:rPr>
      </w:pPr>
      <w:r w:rsidRPr="008800BB">
        <w:rPr>
          <w:rFonts w:ascii="Montserrat" w:eastAsia="Calibri" w:hAnsi="Montserrat" w:cs="Calibri"/>
          <w:b/>
          <w:bCs/>
          <w:sz w:val="22"/>
          <w:szCs w:val="22"/>
        </w:rPr>
        <w:t>Adjuntos</w:t>
      </w:r>
    </w:p>
    <w:p w14:paraId="1FA103D8" w14:textId="77777777" w:rsidR="008800BB" w:rsidRPr="008800BB" w:rsidRDefault="008800BB" w:rsidP="008800BB">
      <w:pPr>
        <w:numPr>
          <w:ilvl w:val="0"/>
          <w:numId w:val="3"/>
        </w:numPr>
        <w:autoSpaceDE w:val="0"/>
        <w:autoSpaceDN w:val="0"/>
        <w:spacing w:line="276" w:lineRule="auto"/>
        <w:ind w:left="284" w:hanging="284"/>
        <w:contextualSpacing/>
        <w:jc w:val="both"/>
        <w:rPr>
          <w:rFonts w:ascii="Montserrat" w:eastAsia="Calibri" w:hAnsi="Montserrat" w:cs="Calibri"/>
          <w:sz w:val="22"/>
          <w:szCs w:val="22"/>
        </w:rPr>
      </w:pPr>
      <w:r w:rsidRPr="008800BB">
        <w:rPr>
          <w:rFonts w:ascii="Montserrat" w:eastAsia="Calibri" w:hAnsi="Montserrat" w:cs="Calibri"/>
          <w:sz w:val="22"/>
          <w:szCs w:val="22"/>
        </w:rPr>
        <w:t>Reporte de los compromisos registrados en el sistema habilitado</w:t>
      </w:r>
    </w:p>
    <w:p w14:paraId="7F1D3A40" w14:textId="77777777" w:rsidR="008800BB" w:rsidRPr="008800BB" w:rsidRDefault="008800BB" w:rsidP="008800BB">
      <w:pPr>
        <w:numPr>
          <w:ilvl w:val="0"/>
          <w:numId w:val="3"/>
        </w:numPr>
        <w:autoSpaceDE w:val="0"/>
        <w:autoSpaceDN w:val="0"/>
        <w:spacing w:line="276" w:lineRule="auto"/>
        <w:ind w:left="284" w:hanging="284"/>
        <w:contextualSpacing/>
        <w:jc w:val="both"/>
        <w:rPr>
          <w:rFonts w:ascii="Montserrat" w:eastAsia="Calibri" w:hAnsi="Montserrat" w:cs="Calibri"/>
          <w:sz w:val="22"/>
          <w:szCs w:val="22"/>
        </w:rPr>
      </w:pPr>
      <w:r w:rsidRPr="008800BB">
        <w:rPr>
          <w:rFonts w:ascii="Montserrat" w:eastAsia="Calibri" w:hAnsi="Montserrat" w:cs="Calibri"/>
          <w:sz w:val="22"/>
          <w:szCs w:val="22"/>
        </w:rPr>
        <w:t>Reporte de los indicadores registrados en el sistema habilitado</w:t>
      </w:r>
    </w:p>
    <w:p w14:paraId="440BF222" w14:textId="77777777" w:rsidR="000934AA" w:rsidRPr="00452284" w:rsidRDefault="000934AA" w:rsidP="008800BB">
      <w:pPr>
        <w:spacing w:line="276" w:lineRule="auto"/>
      </w:pPr>
    </w:p>
    <w:sectPr w:rsidR="000934AA" w:rsidRPr="00452284" w:rsidSect="00422F43">
      <w:headerReference w:type="default" r:id="rId8"/>
      <w:footerReference w:type="default" r:id="rId9"/>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EF131" w14:textId="77777777" w:rsidR="0067445C" w:rsidRDefault="0067445C">
      <w:r>
        <w:separator/>
      </w:r>
    </w:p>
  </w:endnote>
  <w:endnote w:type="continuationSeparator" w:id="0">
    <w:p w14:paraId="41C1D0B3" w14:textId="77777777" w:rsidR="0067445C" w:rsidRDefault="00674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2D45" w14:textId="77777777" w:rsidR="003A63EB" w:rsidRPr="008800BB" w:rsidRDefault="0067445C" w:rsidP="003A63EB">
    <w:pPr>
      <w:pStyle w:val="Piedepgina"/>
      <w:jc w:val="center"/>
      <w:rPr>
        <w:rFonts w:ascii="Montserrat" w:eastAsia="Batang" w:hAnsi="Montserrat"/>
        <w:b/>
        <w:i/>
        <w:color w:val="A6A6A6"/>
        <w:sz w:val="18"/>
        <w:szCs w:val="18"/>
      </w:rPr>
    </w:pPr>
  </w:p>
  <w:p w14:paraId="2E1DAB53" w14:textId="77777777" w:rsidR="003A63EB" w:rsidRPr="008800BB" w:rsidRDefault="00C96130" w:rsidP="003A63EB">
    <w:pPr>
      <w:pStyle w:val="Piedepgina"/>
      <w:jc w:val="center"/>
      <w:rPr>
        <w:rFonts w:ascii="Montserrat" w:eastAsia="Batang" w:hAnsi="Montserrat"/>
        <w:b/>
        <w:i/>
        <w:color w:val="A6A6A6"/>
        <w:sz w:val="18"/>
        <w:szCs w:val="18"/>
      </w:rPr>
    </w:pPr>
    <w:r w:rsidRPr="008800BB">
      <w:rPr>
        <w:rFonts w:ascii="Montserrat" w:eastAsia="Batang" w:hAnsi="Montserrat"/>
        <w:b/>
        <w:i/>
        <w:color w:val="A6A6A6"/>
        <w:sz w:val="18"/>
        <w:szCs w:val="18"/>
      </w:rPr>
      <w:t>Segunda Sesión Ordinaria de la Junta de Gobierno 2021</w:t>
    </w:r>
  </w:p>
  <w:p w14:paraId="43426146" w14:textId="77777777" w:rsidR="003A63EB" w:rsidRDefault="0067445C" w:rsidP="003A63EB">
    <w:pPr>
      <w:pStyle w:val="Piedepgina"/>
      <w:jc w:val="center"/>
    </w:pPr>
  </w:p>
  <w:sdt>
    <w:sdtPr>
      <w:id w:val="1156028607"/>
      <w:docPartObj>
        <w:docPartGallery w:val="Page Numbers (Bottom of Page)"/>
        <w:docPartUnique/>
      </w:docPartObj>
    </w:sdtPr>
    <w:sdtEndPr>
      <w:rPr>
        <w:rFonts w:ascii="Montserrat" w:hAnsi="Montserrat"/>
        <w:sz w:val="16"/>
        <w:szCs w:val="16"/>
      </w:rPr>
    </w:sdtEndPr>
    <w:sdtContent>
      <w:p w14:paraId="649A9744" w14:textId="77777777" w:rsidR="003A63EB" w:rsidRDefault="00C96130">
        <w:pPr>
          <w:pStyle w:val="Piedepgina"/>
          <w:jc w:val="right"/>
        </w:pPr>
        <w:r w:rsidRPr="00822148">
          <w:rPr>
            <w:rFonts w:ascii="Montserrat" w:hAnsi="Montserrat"/>
            <w:sz w:val="20"/>
            <w:szCs w:val="20"/>
          </w:rPr>
          <w:fldChar w:fldCharType="begin"/>
        </w:r>
        <w:r w:rsidRPr="00822148">
          <w:rPr>
            <w:rFonts w:ascii="Montserrat" w:hAnsi="Montserrat"/>
            <w:sz w:val="20"/>
            <w:szCs w:val="20"/>
          </w:rPr>
          <w:instrText>PAGE   \* MERGEFORMAT</w:instrText>
        </w:r>
        <w:r w:rsidRPr="00822148">
          <w:rPr>
            <w:rFonts w:ascii="Montserrat" w:hAnsi="Montserrat"/>
            <w:sz w:val="20"/>
            <w:szCs w:val="20"/>
          </w:rPr>
          <w:fldChar w:fldCharType="separate"/>
        </w:r>
        <w:r w:rsidRPr="00822148">
          <w:rPr>
            <w:rFonts w:ascii="Montserrat" w:hAnsi="Montserrat"/>
            <w:sz w:val="20"/>
            <w:szCs w:val="20"/>
            <w:lang w:val="es-ES"/>
          </w:rPr>
          <w:t>2</w:t>
        </w:r>
        <w:r w:rsidRPr="00822148">
          <w:rPr>
            <w:rFonts w:ascii="Montserrat" w:hAnsi="Montserrat"/>
            <w:sz w:val="20"/>
            <w:szCs w:val="20"/>
          </w:rPr>
          <w:fldChar w:fldCharType="end"/>
        </w:r>
      </w:p>
    </w:sdtContent>
  </w:sdt>
  <w:p w14:paraId="19A9E791" w14:textId="77777777" w:rsidR="00E57969" w:rsidRPr="008800BB" w:rsidRDefault="0067445C" w:rsidP="00E364CC">
    <w:pPr>
      <w:pStyle w:val="Piedepgina"/>
      <w:tabs>
        <w:tab w:val="left" w:pos="8624"/>
        <w:tab w:val="right" w:pos="9405"/>
      </w:tabs>
      <w:rPr>
        <w:rFonts w:ascii="Montserrat" w:hAnsi="Montserrat"/>
        <w:color w:val="A6A6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AB04C" w14:textId="77777777" w:rsidR="0067445C" w:rsidRDefault="0067445C">
      <w:r>
        <w:separator/>
      </w:r>
    </w:p>
  </w:footnote>
  <w:footnote w:type="continuationSeparator" w:id="0">
    <w:p w14:paraId="3320FFDB" w14:textId="77777777" w:rsidR="0067445C" w:rsidRDefault="006744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3D7D" w14:textId="77777777" w:rsidR="00EE1715" w:rsidRDefault="00C96130"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05D39110" wp14:editId="2070C4CB">
              <wp:simplePos x="0" y="0"/>
              <wp:positionH relativeFrom="margin">
                <wp:align>center</wp:align>
              </wp:positionH>
              <wp:positionV relativeFrom="paragraph">
                <wp:posOffset>-199390</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FED5F" id="Grupo 9" o:spid="_x0000_s1026" style="position:absolute;margin-left:0;margin-top:-15.7pt;width:435.1pt;height:75.7pt;z-index:251659264;mso-position-horizontal:center;mso-position-horizontal-relative:margin;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w10:wrap anchorx="margin"/>
            </v:group>
          </w:pict>
        </mc:Fallback>
      </mc:AlternateContent>
    </w:r>
  </w:p>
  <w:p w14:paraId="10FCC572" w14:textId="77777777" w:rsidR="00EE1715" w:rsidRDefault="0067445C" w:rsidP="00E364CC">
    <w:pPr>
      <w:pStyle w:val="Encabezado"/>
      <w:tabs>
        <w:tab w:val="left" w:pos="1134"/>
      </w:tabs>
    </w:pPr>
  </w:p>
  <w:p w14:paraId="4C2F6282" w14:textId="77777777" w:rsidR="00EE1715" w:rsidRDefault="0067445C" w:rsidP="00E364CC">
    <w:pPr>
      <w:pStyle w:val="Encabezado"/>
      <w:tabs>
        <w:tab w:val="left" w:pos="1134"/>
      </w:tabs>
    </w:pPr>
  </w:p>
  <w:p w14:paraId="50E2E2A0" w14:textId="77777777" w:rsidR="00EE1715" w:rsidRDefault="0067445C" w:rsidP="00E364CC">
    <w:pPr>
      <w:pStyle w:val="Encabezado"/>
      <w:tabs>
        <w:tab w:val="left" w:pos="1134"/>
      </w:tabs>
    </w:pPr>
  </w:p>
  <w:p w14:paraId="2B1D0651" w14:textId="77777777" w:rsidR="00AD79D9" w:rsidRDefault="0067445C" w:rsidP="00E364CC">
    <w:pPr>
      <w:pStyle w:val="Encabezado"/>
      <w:tabs>
        <w:tab w:val="left" w:pos="113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749C2"/>
    <w:multiLevelType w:val="hybridMultilevel"/>
    <w:tmpl w:val="1CE4B47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04A2484"/>
    <w:multiLevelType w:val="multilevel"/>
    <w:tmpl w:val="52B68958"/>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6EC4513"/>
    <w:multiLevelType w:val="hybridMultilevel"/>
    <w:tmpl w:val="4B94CC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E5720AC"/>
    <w:multiLevelType w:val="hybridMultilevel"/>
    <w:tmpl w:val="619057E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30"/>
    <w:rsid w:val="000934AA"/>
    <w:rsid w:val="00097DA7"/>
    <w:rsid w:val="001B7CC2"/>
    <w:rsid w:val="0024762E"/>
    <w:rsid w:val="00452284"/>
    <w:rsid w:val="004531C7"/>
    <w:rsid w:val="005E3C8A"/>
    <w:rsid w:val="0067445C"/>
    <w:rsid w:val="00822148"/>
    <w:rsid w:val="00842569"/>
    <w:rsid w:val="00864B4E"/>
    <w:rsid w:val="008800BB"/>
    <w:rsid w:val="00884C76"/>
    <w:rsid w:val="009B48AB"/>
    <w:rsid w:val="00B22DB7"/>
    <w:rsid w:val="00C96130"/>
    <w:rsid w:val="00DE05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A4B54"/>
  <w15:chartTrackingRefBased/>
  <w15:docId w15:val="{5D8E6732-76B5-4D99-B64D-4F793D36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13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6130"/>
    <w:pPr>
      <w:tabs>
        <w:tab w:val="center" w:pos="4419"/>
        <w:tab w:val="right" w:pos="8838"/>
      </w:tabs>
    </w:pPr>
  </w:style>
  <w:style w:type="character" w:customStyle="1" w:styleId="EncabezadoCar">
    <w:name w:val="Encabezado Car"/>
    <w:basedOn w:val="Fuentedeprrafopredeter"/>
    <w:link w:val="Encabezado"/>
    <w:uiPriority w:val="99"/>
    <w:rsid w:val="00C96130"/>
    <w:rPr>
      <w:sz w:val="24"/>
      <w:szCs w:val="24"/>
    </w:rPr>
  </w:style>
  <w:style w:type="paragraph" w:styleId="Piedepgina">
    <w:name w:val="footer"/>
    <w:basedOn w:val="Normal"/>
    <w:link w:val="PiedepginaCar"/>
    <w:uiPriority w:val="99"/>
    <w:unhideWhenUsed/>
    <w:rsid w:val="00C96130"/>
    <w:pPr>
      <w:tabs>
        <w:tab w:val="center" w:pos="4419"/>
        <w:tab w:val="right" w:pos="8838"/>
      </w:tabs>
    </w:pPr>
  </w:style>
  <w:style w:type="character" w:customStyle="1" w:styleId="PiedepginaCar">
    <w:name w:val="Pie de página Car"/>
    <w:basedOn w:val="Fuentedeprrafopredeter"/>
    <w:link w:val="Piedepgina"/>
    <w:uiPriority w:val="99"/>
    <w:rsid w:val="00C96130"/>
    <w:rPr>
      <w:sz w:val="24"/>
      <w:szCs w:val="24"/>
    </w:rPr>
  </w:style>
  <w:style w:type="paragraph" w:styleId="Sinespaciado">
    <w:name w:val="No Spacing"/>
    <w:uiPriority w:val="1"/>
    <w:qFormat/>
    <w:rsid w:val="00C96130"/>
    <w:pPr>
      <w:spacing w:after="0" w:line="240" w:lineRule="auto"/>
    </w:pPr>
    <w:rPr>
      <w:sz w:val="24"/>
      <w:szCs w:val="24"/>
    </w:rPr>
  </w:style>
  <w:style w:type="paragraph" w:styleId="Prrafodelista">
    <w:name w:val="List Paragraph"/>
    <w:basedOn w:val="Normal"/>
    <w:uiPriority w:val="34"/>
    <w:qFormat/>
    <w:rsid w:val="00C96130"/>
    <w:pPr>
      <w:ind w:left="720"/>
      <w:contextualSpacing/>
    </w:pPr>
  </w:style>
  <w:style w:type="table" w:customStyle="1" w:styleId="Tablanormal21">
    <w:name w:val="Tabla normal 21"/>
    <w:basedOn w:val="Tablanormal"/>
    <w:uiPriority w:val="42"/>
    <w:rsid w:val="00822148"/>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84256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espinos@ecosur.m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1073</Words>
  <Characters>5902</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 Gilberto Martínez Gómez</dc:creator>
  <cp:keywords/>
  <dc:description/>
  <cp:lastModifiedBy>Noé Gilberto Martínez Gómez</cp:lastModifiedBy>
  <cp:revision>5</cp:revision>
  <dcterms:created xsi:type="dcterms:W3CDTF">2021-09-21T17:08:00Z</dcterms:created>
  <dcterms:modified xsi:type="dcterms:W3CDTF">2021-09-21T19:50:00Z</dcterms:modified>
</cp:coreProperties>
</file>