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40CD6" w14:textId="22B7997E" w:rsidR="001F77AD" w:rsidRDefault="001F77AD" w:rsidP="00951F86">
      <w:pPr>
        <w:spacing w:line="276" w:lineRule="auto"/>
        <w:jc w:val="center"/>
        <w:rPr>
          <w:rFonts w:ascii="Montserrat" w:hAnsi="Montserrat"/>
          <w:b/>
          <w:bCs/>
          <w:i/>
          <w:iCs/>
          <w:lang w:val="es-ES"/>
        </w:rPr>
      </w:pPr>
      <w:r w:rsidRPr="0056128A">
        <w:rPr>
          <w:rFonts w:ascii="Montserrat" w:hAnsi="Montserrat"/>
          <w:b/>
          <w:bCs/>
          <w:i/>
          <w:iCs/>
        </w:rPr>
        <w:t>5. Informe</w:t>
      </w:r>
      <w:r w:rsidRPr="0056128A">
        <w:rPr>
          <w:rFonts w:ascii="Montserrat" w:hAnsi="Montserrat"/>
          <w:b/>
          <w:bCs/>
          <w:i/>
          <w:iCs/>
          <w:lang w:val="es-ES"/>
        </w:rPr>
        <w:t> </w:t>
      </w:r>
    </w:p>
    <w:p w14:paraId="788835A3" w14:textId="77777777" w:rsidR="00951F86" w:rsidRPr="00951F86" w:rsidRDefault="00951F86" w:rsidP="00951F86">
      <w:pPr>
        <w:spacing w:line="276" w:lineRule="auto"/>
        <w:jc w:val="center"/>
        <w:rPr>
          <w:rFonts w:ascii="Montserrat" w:hAnsi="Montserrat"/>
          <w:b/>
          <w:bCs/>
          <w:i/>
          <w:iCs/>
          <w:lang w:val="es-ES"/>
        </w:rPr>
      </w:pPr>
    </w:p>
    <w:p w14:paraId="0104B62B"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informe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que se presenta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describe las actividades sustantivas de las distintas áreas que conforman ECOSUR. Comprenden el periodo enero-junio 2021 afectado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aún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por</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 pandemia del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COVID-19. Sin embargo, los resultados, ponen de manifiesto la dedicación del personal para</w:t>
      </w:r>
      <w:r w:rsidRPr="007B2504">
        <w:rPr>
          <w:rStyle w:val="normaltextrun"/>
          <w:sz w:val="22"/>
          <w:szCs w:val="22"/>
          <w:lang w:val="es-ES"/>
        </w:rPr>
        <w:t> </w:t>
      </w:r>
      <w:r w:rsidRPr="007B2504">
        <w:rPr>
          <w:rStyle w:val="normaltextrun"/>
          <w:rFonts w:ascii="Montserrat" w:hAnsi="Montserrat" w:cs="Segoe UI"/>
          <w:sz w:val="22"/>
          <w:szCs w:val="22"/>
          <w:lang w:val="es-ES"/>
        </w:rPr>
        <w:t>la frontera sur y</w:t>
      </w:r>
      <w:r w:rsidRPr="007B2504">
        <w:rPr>
          <w:rStyle w:val="normaltextrun"/>
          <w:sz w:val="22"/>
          <w:szCs w:val="22"/>
          <w:lang w:val="es-ES"/>
        </w:rPr>
        <w:t> </w:t>
      </w:r>
      <w:r w:rsidRPr="007B2504">
        <w:rPr>
          <w:rStyle w:val="normaltextrun"/>
          <w:rFonts w:ascii="Montserrat" w:hAnsi="Montserrat" w:cs="Segoe UI"/>
          <w:sz w:val="22"/>
          <w:szCs w:val="22"/>
          <w:lang w:val="es-ES"/>
        </w:rPr>
        <w:t>su compromiso con la investigación, la formación de recursos humanos y la vinculación</w:t>
      </w:r>
      <w:r w:rsidRPr="007B2504">
        <w:rPr>
          <w:rStyle w:val="normaltextrun"/>
          <w:sz w:val="22"/>
          <w:szCs w:val="22"/>
          <w:lang w:val="es-ES"/>
        </w:rPr>
        <w:t> </w:t>
      </w:r>
      <w:r w:rsidRPr="007B2504">
        <w:rPr>
          <w:rStyle w:val="normaltextrun"/>
          <w:rFonts w:ascii="Montserrat" w:hAnsi="Montserrat" w:cs="Segoe UI"/>
          <w:sz w:val="22"/>
          <w:szCs w:val="22"/>
          <w:lang w:val="es-ES"/>
        </w:rPr>
        <w:t>para contribuir al bienestar de las poblaciones más vulnerables del sureste.</w:t>
      </w:r>
      <w:r w:rsidRPr="007B2504">
        <w:rPr>
          <w:rStyle w:val="eop"/>
          <w:rFonts w:ascii="Montserrat" w:hAnsi="Montserrat" w:cs="Cambria"/>
          <w:sz w:val="22"/>
          <w:szCs w:val="22"/>
        </w:rPr>
        <w:t> </w:t>
      </w:r>
    </w:p>
    <w:p w14:paraId="2CCD35C3"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57943EC6"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rPr>
        <w:t>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raíz de la llegada del COVID-19 a nuestro país y ante las recomendaciones a nivel nacional de quedarnos en casa y guardar una sana distancia, las tareas de seguridad se enfocaron a responder a ello y a desarrollar protocolos y estrategias buscando contener la pandemia y poder continuar con las actividades para cumplir con los objetivos institucionales. Desde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inicio de labores del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presente año, la Dirección General emitió</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un comunicado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 dos secciones: la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primera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sobre temas específicos 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COVID</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(número de casos por estado y los protocolos sanitarios)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y</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segunda informó</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noticias de interés general para la institución,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publicación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se realiza quincenalmente.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El trabajo del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Comité de COVID-19</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continua, el cual está integrado por la Dirección General, la Dirección de Administración, las Coordinaciones y Administraciones de las Unidades, la Jefatura del Departamento de Salud y la Coordinación de Desarrollo Organizacional.</w:t>
      </w:r>
      <w:r w:rsidRPr="007B2504">
        <w:rPr>
          <w:rStyle w:val="normaltextrun"/>
          <w:rFonts w:ascii="Montserrat" w:hAnsi="Montserrat" w:cs="Cambria"/>
          <w:sz w:val="22"/>
          <w:szCs w:val="22"/>
          <w:lang w:val="es-ES"/>
        </w:rPr>
        <w:t> </w:t>
      </w:r>
      <w:r w:rsidRPr="007B2504">
        <w:rPr>
          <w:rStyle w:val="eop"/>
          <w:rFonts w:ascii="Montserrat" w:hAnsi="Montserrat" w:cs="Cambria"/>
          <w:sz w:val="22"/>
          <w:szCs w:val="22"/>
        </w:rPr>
        <w:t> </w:t>
      </w:r>
    </w:p>
    <w:p w14:paraId="6D391B77"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42DF8B2F"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En el ámbito académico, en este primer semestre,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se alcanzó la tasa de 0.92 (147/156) publicaciones arbitradas por investigador la cual es similar a la tasa obtenida para el año 2019 (0.89), pero menor que la del 2020 (1.14). Se anticipa que se logrará la meta anual ya que en los años 2018-2020 el promedio la producción del primer semestre representó solo el 39% de la producción anual.</w:t>
      </w:r>
      <w:r w:rsidRPr="007B2504">
        <w:rPr>
          <w:rStyle w:val="eop"/>
          <w:rFonts w:ascii="Montserrat" w:hAnsi="Montserrat" w:cs="Cambria"/>
          <w:sz w:val="22"/>
          <w:szCs w:val="22"/>
        </w:rPr>
        <w:t> </w:t>
      </w:r>
    </w:p>
    <w:p w14:paraId="14EB53BB"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22F7F59E"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El indicador</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proyectos externos por investigador</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superó la meta anual con una tasa de 0.50 (80/160) proyectos externos de investigación por personal investigador, sobre la tasa propuesta de 0.31, presentándose un incremento de 56% respecto al primer semestre del 2020 (0.32, 50/156).</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Actualmente hay convenios en proceso de formalización, por lo que esta meta se superará aún más.</w:t>
      </w:r>
      <w:r w:rsidRPr="007B2504">
        <w:rPr>
          <w:rStyle w:val="eop"/>
          <w:rFonts w:ascii="Montserrat" w:hAnsi="Montserrat" w:cs="Cambria"/>
          <w:sz w:val="22"/>
          <w:szCs w:val="22"/>
        </w:rPr>
        <w:t> </w:t>
      </w:r>
    </w:p>
    <w:p w14:paraId="1D966938"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2E4F5360"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Entre algunos de los proyectos de investigación iniciados en el 2021 y financiados con fuentes internacionales, se menciona: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 xml:space="preserve">Impacto de la pandemia covid-19 en la </w:t>
      </w:r>
      <w:r w:rsidRPr="007B2504">
        <w:rPr>
          <w:rStyle w:val="normaltextrun"/>
          <w:rFonts w:ascii="Montserrat" w:hAnsi="Montserrat" w:cs="Segoe UI"/>
          <w:sz w:val="22"/>
          <w:szCs w:val="22"/>
          <w:lang w:val="es-ES"/>
        </w:rPr>
        <w:lastRenderedPageBreak/>
        <w:t>percepción de mamíferos, con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énfasis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murciélagos y plan de acción para su conservación en Oaxaca, México;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Fortalecimiento de plataformas de observación de la tierra en el sureste de México para apoyar metas de mitigación del cambio climático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y</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Efecto de la domesticación de insectos sobre el comportamiento de moscas de la fruta estériles. Entre los proyectos financiados por CONACYT que iniciaron este año se menciona: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Fortalecimiento de infraestructura y acreditación de métodos analíticos para evaluación de riesgos por exposición a contaminantes en escenarios rurales vulnerables del sureste de México.</w:t>
      </w:r>
      <w:r w:rsidRPr="007B2504">
        <w:rPr>
          <w:rStyle w:val="eop"/>
          <w:rFonts w:ascii="Montserrat" w:hAnsi="Montserrat" w:cs="Cambria"/>
          <w:sz w:val="22"/>
          <w:szCs w:val="22"/>
        </w:rPr>
        <w:t> </w:t>
      </w:r>
    </w:p>
    <w:p w14:paraId="343E4F09"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556AD8D8" w14:textId="5A64E070"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Un proyecto que culminó en 2021, denominado “Programa de salud ambiental para la disminución de las desigualdades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socioambi</w:t>
      </w:r>
      <w:r w:rsidR="00F066C8" w:rsidRPr="007B2504">
        <w:rPr>
          <w:rStyle w:val="normaltextrun"/>
          <w:rFonts w:ascii="Montserrat" w:hAnsi="Montserrat" w:cs="Segoe UI"/>
          <w:sz w:val="22"/>
          <w:szCs w:val="22"/>
          <w:lang w:val="es-ES"/>
        </w:rPr>
        <w:t>e</w:t>
      </w:r>
      <w:r w:rsidRPr="007B2504">
        <w:rPr>
          <w:rStyle w:val="normaltextrun"/>
          <w:rFonts w:ascii="Montserrat" w:hAnsi="Montserrat" w:cs="Segoe UI"/>
          <w:sz w:val="22"/>
          <w:szCs w:val="22"/>
          <w:lang w:val="es-ES"/>
        </w:rPr>
        <w:t>ntales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derivadas de la exposición a contaminantes en la región de Coatzacoalcos-</w:t>
      </w:r>
      <w:r w:rsidR="005A05F7" w:rsidRPr="007B2504">
        <w:rPr>
          <w:rStyle w:val="normaltextrun"/>
          <w:rFonts w:ascii="Montserrat" w:hAnsi="Montserrat" w:cs="Segoe UI"/>
          <w:sz w:val="22"/>
          <w:szCs w:val="22"/>
          <w:lang w:val="es-ES"/>
        </w:rPr>
        <w:t>Minatitlán</w:t>
      </w:r>
      <w:r w:rsidRPr="007B2504">
        <w:rPr>
          <w:rStyle w:val="normaltextrun"/>
          <w:rFonts w:ascii="Montserrat" w:hAnsi="Montserrat" w:cs="Segoe UI"/>
          <w:sz w:val="22"/>
          <w:szCs w:val="22"/>
          <w:lang w:val="es-ES"/>
        </w:rPr>
        <w:t>-</w:t>
      </w:r>
      <w:r w:rsidR="005A05F7" w:rsidRPr="007B2504">
        <w:rPr>
          <w:rStyle w:val="normaltextrun"/>
          <w:rFonts w:ascii="Montserrat" w:hAnsi="Montserrat" w:cs="Segoe UI"/>
          <w:sz w:val="22"/>
          <w:szCs w:val="22"/>
          <w:lang w:val="es-ES"/>
        </w:rPr>
        <w:t>Jáltipan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 Morelos, Veracruz” indica que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generó</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una propuesta de política pública nacional para atender los sitios impactados por la actividad petrolera.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Atendiendo las demandas de la temática sobre el apuntalamiento de programas federales como Sembrando Vida, se buscó detectar las debilidades del programa para consolidarlo dentro de todas las áreas dividiéndolas en dos partes: la social y</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productiva, las cuales dentro de cada una se desarrollaron aspectos primordiales para fortalecerlo y que alcance el éxito socioeconómico, ecológico y técnico esperado. La importancia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fue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concientizar y erradicar las prácticas de contaminación y mal manejo de recursos naturales, así como los usos y costumbres sociales y económicos que limitan la vida social de las comunidades e impiden el crecimiento personal de las y los beneficiarios, así como sus familias.</w:t>
      </w:r>
      <w:r w:rsidRPr="007B2504">
        <w:rPr>
          <w:rStyle w:val="eop"/>
          <w:rFonts w:ascii="Montserrat" w:hAnsi="Montserrat" w:cs="Cambria"/>
          <w:sz w:val="22"/>
          <w:szCs w:val="22"/>
        </w:rPr>
        <w:t> </w:t>
      </w:r>
    </w:p>
    <w:p w14:paraId="7F0DC8BB"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4EDAAE36"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El proyecto semilla “Factores sociales, económicos, ecológicos y técnicos que limitan la consolidación del programa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Sembrando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vida en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Tabasco” financiado por CONACYT recalca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 importancia y ambición del programa Sembrando Vida que busca enaltecer la vida campesina y la enseñanza de la sustentabilidad no sólo alimenticia sino económica y social. La salud pública, cultura ambiental, así como el manejo de los recursos económicos de las familias de las y los sembradores son indispensables para ver reflejada una mejor calidad de vida, pero también un mejor medio ambiente.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Otro aspecto que cubre este proyecto es la atención a las y los jóvenes involucrados en un cambio mental y disciplinario que puede ser alentador para el futuro ambiental no sólo del país sino del mundo.</w:t>
      </w:r>
      <w:r w:rsidRPr="007B2504">
        <w:rPr>
          <w:rStyle w:val="eop"/>
          <w:rFonts w:ascii="Montserrat" w:hAnsi="Montserrat" w:cs="Cambria"/>
          <w:sz w:val="22"/>
          <w:szCs w:val="22"/>
        </w:rPr>
        <w:t> </w:t>
      </w:r>
    </w:p>
    <w:p w14:paraId="365A2642"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3B7A873F"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lastRenderedPageBreak/>
        <w:t>En el ámbito de Posgrado nuestros tres programas de posgrado están reconocidos por su calidad conforme a los lineamientos establecidos por el Programa</w:t>
      </w:r>
      <w:r w:rsidRPr="007B2504">
        <w:rPr>
          <w:rStyle w:val="normaltextrun"/>
          <w:rFonts w:ascii="Montserrat" w:hAnsi="Montserrat" w:cs="Cambria"/>
          <w:sz w:val="22"/>
          <w:szCs w:val="22"/>
          <w:lang w:val="es-ES"/>
        </w:rPr>
        <w:t> </w:t>
      </w:r>
      <w:proofErr w:type="spellStart"/>
      <w:r w:rsidRPr="007B2504">
        <w:rPr>
          <w:rStyle w:val="normaltextrun"/>
          <w:rFonts w:ascii="Montserrat" w:hAnsi="Montserrat" w:cs="Segoe UI"/>
          <w:sz w:val="22"/>
          <w:szCs w:val="22"/>
          <w:lang w:val="es-ES"/>
        </w:rPr>
        <w:t>Naci</w:t>
      </w:r>
      <w:r w:rsidRPr="007B2504">
        <w:rPr>
          <w:rStyle w:val="normaltextrun"/>
          <w:rFonts w:ascii="Montserrat" w:hAnsi="Montserrat" w:cs="Segoe UI"/>
          <w:sz w:val="22"/>
          <w:szCs w:val="22"/>
        </w:rPr>
        <w:t>onal</w:t>
      </w:r>
      <w:proofErr w:type="spellEnd"/>
      <w:r w:rsidRPr="007B2504">
        <w:rPr>
          <w:rStyle w:val="normaltextrun"/>
          <w:rFonts w:ascii="Montserrat" w:hAnsi="Montserrat" w:cs="Cambria"/>
          <w:sz w:val="22"/>
          <w:szCs w:val="22"/>
        </w:rPr>
        <w:t> </w:t>
      </w:r>
      <w:r w:rsidRPr="007B2504">
        <w:rPr>
          <w:rStyle w:val="normaltextrun"/>
          <w:rFonts w:ascii="Montserrat" w:hAnsi="Montserrat" w:cs="Segoe UI"/>
          <w:sz w:val="22"/>
          <w:szCs w:val="22"/>
        </w:rPr>
        <w:t>de Posgrados de Calidad (PNPC).</w:t>
      </w:r>
      <w:r w:rsidRPr="007B2504">
        <w:rPr>
          <w:rStyle w:val="normaltextrun"/>
          <w:rFonts w:ascii="Montserrat" w:hAnsi="Montserrat" w:cs="Cambria"/>
          <w:sz w:val="22"/>
          <w:szCs w:val="22"/>
        </w:rPr>
        <w:t> </w:t>
      </w:r>
      <w:r w:rsidRPr="007B2504">
        <w:rPr>
          <w:rStyle w:val="normaltextrun"/>
          <w:rFonts w:ascii="Montserrat" w:hAnsi="Montserrat" w:cs="Segoe UI"/>
          <w:sz w:val="22"/>
          <w:szCs w:val="22"/>
          <w:lang w:val="es-ES"/>
        </w:rPr>
        <w:t>El semestre ha tenido una restricción a las actividades presenciales.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El trabajo de la Coordinación 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Posgrado en el primer semestre de 2021 estuvo marcado por un esfuerzo de revisión de nuestros programas académicos y las acciones para mantener la operación en un formato semipresencial que brinde las mejores condiciones educativas para nuestros estudiantes.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 xml:space="preserve"> Al respecto de los programas académicos, se abrió la primera convocatoria para ingresar a nuestra Maestría en Agroecología (MAE) en la modalidad 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profesionalizante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y el programa se presentó a evaluación para ingresar al PNPC. Otras dos convocatorias se abrieron en el primer semestre: la Maestría en Ecología Internacional (MEI) y el Doctorado en ciencias.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marzo de 2021 tuvimos de nuevo un examen presencial, después de habernos mudado por casi un año al formato de examen de grado no presencial. La mejora en la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meta de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graduaciones responde al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empuje de nuestra comunidad escolar.</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este primer semestre cerramos con 285 estudiantes regulares atendidos (174 mujeres y 111 hombres) y se gestionaron 45 becas de maestría y 71 de doctorado ante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Conacyt.</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Un gran avance en cuestiones de automatización es la emisión de los primeros 56 grados electrónicos y la adecuación digital de los formatos de evaluaciones de consejos tutelares, además del mantenimiento de bases de datos y un sistemático proceso de automatización de expedientes digitales de estudiantes</w:t>
      </w:r>
      <w:r w:rsidRPr="007B2504">
        <w:rPr>
          <w:rStyle w:val="eop"/>
          <w:rFonts w:ascii="Montserrat" w:hAnsi="Montserrat" w:cs="Cambria"/>
          <w:sz w:val="22"/>
          <w:szCs w:val="22"/>
        </w:rPr>
        <w:t> </w:t>
      </w:r>
    </w:p>
    <w:p w14:paraId="66A34A7C"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216D65A5"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A pesar de la pandemia no se paralizaron las actividades de difusión y divulgación de la ciencia, el personal de los diferentes departamentos participó en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322 actividades (superando las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197 actividades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del 2020) y cerca de la meta anual que es de 388. Destacan las pláticas de divulgación, la mayoría se transmitieron de manera virtual debido al distanciamiento, esto ha sido una oportunidad para que la sociedad conozca la diversidad de temas que se estudian en nuestra institución.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Sin embargo,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las 322 actividades fueron desarrolladas por 109 personas —62 investigadores y técnicos académicos y 47 investigadoras y técnicas académicas—, lo que significa que en promedio cada académica o académico realizó casi tres y que solo una tercera parte de la comunidad académica lleva a cabo actividades de divulgación.</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Debido a las medidas sanitarias por el COVID-19 aplicadas en el país, se observó la disminución del registro de convenios, aún así se lograron firmar en el primer semestre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17</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convenios generales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(superando los 9 del año anterior en el mismo periodo)</w:t>
      </w:r>
      <w:r w:rsidRPr="007B2504">
        <w:rPr>
          <w:rStyle w:val="normaltextrun"/>
          <w:rFonts w:ascii="Montserrat" w:hAnsi="Montserrat" w:cs="Segoe UI"/>
          <w:sz w:val="22"/>
          <w:szCs w:val="22"/>
        </w:rPr>
        <w:t>.</w:t>
      </w:r>
      <w:r w:rsidRPr="007B2504">
        <w:rPr>
          <w:rStyle w:val="eop"/>
          <w:rFonts w:ascii="Montserrat" w:hAnsi="Montserrat" w:cs="Cambria"/>
          <w:sz w:val="22"/>
          <w:szCs w:val="22"/>
        </w:rPr>
        <w:t> </w:t>
      </w:r>
    </w:p>
    <w:p w14:paraId="7CE1224F"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lastRenderedPageBreak/>
        <w:t> </w:t>
      </w:r>
    </w:p>
    <w:p w14:paraId="63EE39D1"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Como resultado de las medidas de austeridad instruidas desde la Presidencia de la República, se instrumentó una campaña de ahorro de energía eléctrica. La obsolescencia de infraestructura continúa, y el soporte técnico se ha enfocado en desarrollar plataformas de colaboración, para minimizar tiempos y costos en las interacciones del personal, así como para automatizar algunos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procesos clave.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Se llevó a cabo la contratación de enlaces de Internet y seguridad institucional, mediante una la licitación pública nacional para el período del 1 de mayo de 2021 al 30 de abril de 2024.</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Esta contratación permite el</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aumento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al menos 1,666% los servicios de navegación al pasar de un total de 150 Mbps a 2,500 Mbps y se fortalece el acceso a la red institucional con nuevos protocolos y modelos de seguridad de la información y navegación segura. El pago mensual tuvo un incremento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del 6%, dentro de los rangos establecidos en la Ley de Austeridad Republicana,</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por lo tanto,</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los beneficios son mayores a contratos anteriores</w:t>
      </w:r>
      <w:r w:rsidRPr="007B2504">
        <w:rPr>
          <w:rStyle w:val="eop"/>
          <w:rFonts w:ascii="Montserrat" w:hAnsi="Montserrat" w:cs="Cambria"/>
          <w:sz w:val="22"/>
          <w:szCs w:val="22"/>
        </w:rPr>
        <w:t> </w:t>
      </w:r>
    </w:p>
    <w:p w14:paraId="452CF05A" w14:textId="77777777" w:rsidR="00951F86"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eop"/>
          <w:rFonts w:ascii="Montserrat" w:hAnsi="Montserrat" w:cs="Cambria"/>
          <w:sz w:val="22"/>
          <w:szCs w:val="22"/>
        </w:rPr>
        <w:t> </w:t>
      </w:r>
    </w:p>
    <w:p w14:paraId="440BF222" w14:textId="444096DB" w:rsidR="000934AA" w:rsidRPr="007B2504" w:rsidRDefault="00951F86" w:rsidP="007B2504">
      <w:pPr>
        <w:pStyle w:val="paragraph"/>
        <w:spacing w:before="0" w:beforeAutospacing="0" w:after="0" w:afterAutospacing="0" w:line="276" w:lineRule="auto"/>
        <w:jc w:val="both"/>
        <w:textAlignment w:val="baseline"/>
        <w:rPr>
          <w:rFonts w:ascii="Montserrat" w:hAnsi="Montserrat" w:cs="Segoe UI"/>
          <w:sz w:val="22"/>
          <w:szCs w:val="22"/>
        </w:rPr>
      </w:pPr>
      <w:r w:rsidRPr="007B2504">
        <w:rPr>
          <w:rStyle w:val="normaltextrun"/>
          <w:rFonts w:ascii="Montserrat" w:hAnsi="Montserrat" w:cs="Segoe UI"/>
          <w:sz w:val="22"/>
          <w:szCs w:val="22"/>
          <w:lang w:val="es-ES"/>
        </w:rPr>
        <w:t>El teletrabajo no detuvo el desarrollo de los procesos sustantivos y administrativos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ECOSUR.</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En clases a distancia, teletrabajo, seminarios, diplomados, conferencias entre otras, se realizaron 16,500 sesiones</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(superando las 9889 reportadas en el primer trimestre del 2020)</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con 63,000 horas y poco más de 40,000 personas atendidas, logrando un nivel de adopción tecnológica superior al 80%</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(superando el 71% reportando en el semestre del 2020), compartiendo y almacenando poco más de 6.8 millones de archivos. El número de servicios de apoyo técnico en línea y presencial fue de 2,900 servicios, para Campeche 660, Chetumal 300, San Cristóbal 1,100, Tapachula 620 y Villahermosa con 230. En la sección de otras aportaciones, se</w:t>
      </w:r>
      <w:r w:rsidRPr="007B2504">
        <w:rPr>
          <w:rStyle w:val="normaltextrun"/>
          <w:rFonts w:ascii="Montserrat" w:hAnsi="Montserrat" w:cs="Cambria"/>
          <w:sz w:val="22"/>
          <w:szCs w:val="22"/>
          <w:lang w:val="es-ES"/>
        </w:rPr>
        <w:t> </w:t>
      </w:r>
      <w:r w:rsidRPr="007B2504">
        <w:rPr>
          <w:rStyle w:val="normaltextrun"/>
          <w:rFonts w:ascii="Montserrat" w:hAnsi="Montserrat" w:cs="Segoe UI"/>
          <w:sz w:val="22"/>
          <w:szCs w:val="22"/>
          <w:lang w:val="es-ES"/>
        </w:rPr>
        <w:t>describe en extenso el desempeño de las cinco Unidades de ECOSUR, el Parque Científico y Tecnológico, el Programa Ambiental y el fortalecimiento organizacional, entre otras actividades estratégicas que contribuyen al logro de los indicadores y las metas institucionales.</w:t>
      </w:r>
      <w:r w:rsidRPr="007B2504">
        <w:rPr>
          <w:rStyle w:val="eop"/>
          <w:rFonts w:ascii="Montserrat" w:hAnsi="Montserrat" w:cs="Cambria"/>
          <w:sz w:val="22"/>
          <w:szCs w:val="22"/>
        </w:rPr>
        <w:t> </w:t>
      </w:r>
    </w:p>
    <w:sectPr w:rsidR="000934AA" w:rsidRPr="007B2504"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89233" w14:textId="77777777" w:rsidR="006741BF" w:rsidRDefault="006741BF">
      <w:r>
        <w:separator/>
      </w:r>
    </w:p>
  </w:endnote>
  <w:endnote w:type="continuationSeparator" w:id="0">
    <w:p w14:paraId="383A9D96" w14:textId="77777777" w:rsidR="006741BF" w:rsidRDefault="0067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6741BF"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6741BF"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6741BF" w:rsidP="00E364CC">
    <w:pPr>
      <w:pStyle w:val="Piedepgina"/>
      <w:tabs>
        <w:tab w:val="left" w:pos="8624"/>
        <w:tab w:val="right" w:pos="9405"/>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18833" w14:textId="77777777" w:rsidR="006741BF" w:rsidRDefault="006741BF">
      <w:r>
        <w:separator/>
      </w:r>
    </w:p>
  </w:footnote>
  <w:footnote w:type="continuationSeparator" w:id="0">
    <w:p w14:paraId="55E898F0" w14:textId="77777777" w:rsidR="006741BF" w:rsidRDefault="0067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6741BF" w:rsidP="00E364CC">
    <w:pPr>
      <w:pStyle w:val="Encabezado"/>
      <w:tabs>
        <w:tab w:val="left" w:pos="1134"/>
      </w:tabs>
    </w:pPr>
  </w:p>
  <w:p w14:paraId="4C2F6282" w14:textId="77777777" w:rsidR="00EE1715" w:rsidRDefault="006741BF" w:rsidP="00E364CC">
    <w:pPr>
      <w:pStyle w:val="Encabezado"/>
      <w:tabs>
        <w:tab w:val="left" w:pos="1134"/>
      </w:tabs>
    </w:pPr>
  </w:p>
  <w:p w14:paraId="50E2E2A0" w14:textId="77777777" w:rsidR="00EE1715" w:rsidRDefault="006741BF" w:rsidP="00E364CC">
    <w:pPr>
      <w:pStyle w:val="Encabezado"/>
      <w:tabs>
        <w:tab w:val="left" w:pos="1134"/>
      </w:tabs>
    </w:pPr>
  </w:p>
  <w:p w14:paraId="2B1D0651" w14:textId="77777777" w:rsidR="00AD79D9" w:rsidRDefault="006741BF"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057CB"/>
    <w:rsid w:val="001F77AD"/>
    <w:rsid w:val="002B70A6"/>
    <w:rsid w:val="004531C7"/>
    <w:rsid w:val="0056128A"/>
    <w:rsid w:val="005A05F7"/>
    <w:rsid w:val="006741BF"/>
    <w:rsid w:val="006E4A05"/>
    <w:rsid w:val="007B2504"/>
    <w:rsid w:val="00822148"/>
    <w:rsid w:val="00951F86"/>
    <w:rsid w:val="00A178A4"/>
    <w:rsid w:val="00C96130"/>
    <w:rsid w:val="00E02ACD"/>
    <w:rsid w:val="00F066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951F86"/>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951F86"/>
  </w:style>
  <w:style w:type="character" w:customStyle="1" w:styleId="eop">
    <w:name w:val="eop"/>
    <w:basedOn w:val="Fuentedeprrafopredeter"/>
    <w:rsid w:val="00951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508904">
      <w:bodyDiv w:val="1"/>
      <w:marLeft w:val="0"/>
      <w:marRight w:val="0"/>
      <w:marTop w:val="0"/>
      <w:marBottom w:val="0"/>
      <w:divBdr>
        <w:top w:val="none" w:sz="0" w:space="0" w:color="auto"/>
        <w:left w:val="none" w:sz="0" w:space="0" w:color="auto"/>
        <w:bottom w:val="none" w:sz="0" w:space="0" w:color="auto"/>
        <w:right w:val="none" w:sz="0" w:space="0" w:color="auto"/>
      </w:divBdr>
      <w:divsChild>
        <w:div w:id="1916475533">
          <w:marLeft w:val="0"/>
          <w:marRight w:val="0"/>
          <w:marTop w:val="0"/>
          <w:marBottom w:val="0"/>
          <w:divBdr>
            <w:top w:val="none" w:sz="0" w:space="0" w:color="auto"/>
            <w:left w:val="none" w:sz="0" w:space="0" w:color="auto"/>
            <w:bottom w:val="none" w:sz="0" w:space="0" w:color="auto"/>
            <w:right w:val="none" w:sz="0" w:space="0" w:color="auto"/>
          </w:divBdr>
        </w:div>
        <w:div w:id="1451124932">
          <w:marLeft w:val="0"/>
          <w:marRight w:val="0"/>
          <w:marTop w:val="0"/>
          <w:marBottom w:val="0"/>
          <w:divBdr>
            <w:top w:val="none" w:sz="0" w:space="0" w:color="auto"/>
            <w:left w:val="none" w:sz="0" w:space="0" w:color="auto"/>
            <w:bottom w:val="none" w:sz="0" w:space="0" w:color="auto"/>
            <w:right w:val="none" w:sz="0" w:space="0" w:color="auto"/>
          </w:divBdr>
        </w:div>
        <w:div w:id="1455322119">
          <w:marLeft w:val="0"/>
          <w:marRight w:val="0"/>
          <w:marTop w:val="0"/>
          <w:marBottom w:val="0"/>
          <w:divBdr>
            <w:top w:val="none" w:sz="0" w:space="0" w:color="auto"/>
            <w:left w:val="none" w:sz="0" w:space="0" w:color="auto"/>
            <w:bottom w:val="none" w:sz="0" w:space="0" w:color="auto"/>
            <w:right w:val="none" w:sz="0" w:space="0" w:color="auto"/>
          </w:divBdr>
        </w:div>
        <w:div w:id="1261714953">
          <w:marLeft w:val="0"/>
          <w:marRight w:val="0"/>
          <w:marTop w:val="0"/>
          <w:marBottom w:val="0"/>
          <w:divBdr>
            <w:top w:val="none" w:sz="0" w:space="0" w:color="auto"/>
            <w:left w:val="none" w:sz="0" w:space="0" w:color="auto"/>
            <w:bottom w:val="none" w:sz="0" w:space="0" w:color="auto"/>
            <w:right w:val="none" w:sz="0" w:space="0" w:color="auto"/>
          </w:divBdr>
        </w:div>
        <w:div w:id="1784229468">
          <w:marLeft w:val="0"/>
          <w:marRight w:val="0"/>
          <w:marTop w:val="0"/>
          <w:marBottom w:val="0"/>
          <w:divBdr>
            <w:top w:val="none" w:sz="0" w:space="0" w:color="auto"/>
            <w:left w:val="none" w:sz="0" w:space="0" w:color="auto"/>
            <w:bottom w:val="none" w:sz="0" w:space="0" w:color="auto"/>
            <w:right w:val="none" w:sz="0" w:space="0" w:color="auto"/>
          </w:divBdr>
        </w:div>
        <w:div w:id="559485909">
          <w:marLeft w:val="0"/>
          <w:marRight w:val="0"/>
          <w:marTop w:val="0"/>
          <w:marBottom w:val="0"/>
          <w:divBdr>
            <w:top w:val="none" w:sz="0" w:space="0" w:color="auto"/>
            <w:left w:val="none" w:sz="0" w:space="0" w:color="auto"/>
            <w:bottom w:val="none" w:sz="0" w:space="0" w:color="auto"/>
            <w:right w:val="none" w:sz="0" w:space="0" w:color="auto"/>
          </w:divBdr>
        </w:div>
        <w:div w:id="1547133588">
          <w:marLeft w:val="0"/>
          <w:marRight w:val="0"/>
          <w:marTop w:val="0"/>
          <w:marBottom w:val="0"/>
          <w:divBdr>
            <w:top w:val="none" w:sz="0" w:space="0" w:color="auto"/>
            <w:left w:val="none" w:sz="0" w:space="0" w:color="auto"/>
            <w:bottom w:val="none" w:sz="0" w:space="0" w:color="auto"/>
            <w:right w:val="none" w:sz="0" w:space="0" w:color="auto"/>
          </w:divBdr>
        </w:div>
        <w:div w:id="1574050810">
          <w:marLeft w:val="0"/>
          <w:marRight w:val="0"/>
          <w:marTop w:val="0"/>
          <w:marBottom w:val="0"/>
          <w:divBdr>
            <w:top w:val="none" w:sz="0" w:space="0" w:color="auto"/>
            <w:left w:val="none" w:sz="0" w:space="0" w:color="auto"/>
            <w:bottom w:val="none" w:sz="0" w:space="0" w:color="auto"/>
            <w:right w:val="none" w:sz="0" w:space="0" w:color="auto"/>
          </w:divBdr>
        </w:div>
        <w:div w:id="1736391000">
          <w:marLeft w:val="0"/>
          <w:marRight w:val="0"/>
          <w:marTop w:val="0"/>
          <w:marBottom w:val="0"/>
          <w:divBdr>
            <w:top w:val="none" w:sz="0" w:space="0" w:color="auto"/>
            <w:left w:val="none" w:sz="0" w:space="0" w:color="auto"/>
            <w:bottom w:val="none" w:sz="0" w:space="0" w:color="auto"/>
            <w:right w:val="none" w:sz="0" w:space="0" w:color="auto"/>
          </w:divBdr>
        </w:div>
        <w:div w:id="5598496">
          <w:marLeft w:val="0"/>
          <w:marRight w:val="0"/>
          <w:marTop w:val="0"/>
          <w:marBottom w:val="0"/>
          <w:divBdr>
            <w:top w:val="none" w:sz="0" w:space="0" w:color="auto"/>
            <w:left w:val="none" w:sz="0" w:space="0" w:color="auto"/>
            <w:bottom w:val="none" w:sz="0" w:space="0" w:color="auto"/>
            <w:right w:val="none" w:sz="0" w:space="0" w:color="auto"/>
          </w:divBdr>
        </w:div>
        <w:div w:id="2112780533">
          <w:marLeft w:val="0"/>
          <w:marRight w:val="0"/>
          <w:marTop w:val="0"/>
          <w:marBottom w:val="0"/>
          <w:divBdr>
            <w:top w:val="none" w:sz="0" w:space="0" w:color="auto"/>
            <w:left w:val="none" w:sz="0" w:space="0" w:color="auto"/>
            <w:bottom w:val="none" w:sz="0" w:space="0" w:color="auto"/>
            <w:right w:val="none" w:sz="0" w:space="0" w:color="auto"/>
          </w:divBdr>
        </w:div>
        <w:div w:id="1756508788">
          <w:marLeft w:val="0"/>
          <w:marRight w:val="0"/>
          <w:marTop w:val="0"/>
          <w:marBottom w:val="0"/>
          <w:divBdr>
            <w:top w:val="none" w:sz="0" w:space="0" w:color="auto"/>
            <w:left w:val="none" w:sz="0" w:space="0" w:color="auto"/>
            <w:bottom w:val="none" w:sz="0" w:space="0" w:color="auto"/>
            <w:right w:val="none" w:sz="0" w:space="0" w:color="auto"/>
          </w:divBdr>
        </w:div>
        <w:div w:id="301424781">
          <w:marLeft w:val="0"/>
          <w:marRight w:val="0"/>
          <w:marTop w:val="0"/>
          <w:marBottom w:val="0"/>
          <w:divBdr>
            <w:top w:val="none" w:sz="0" w:space="0" w:color="auto"/>
            <w:left w:val="none" w:sz="0" w:space="0" w:color="auto"/>
            <w:bottom w:val="none" w:sz="0" w:space="0" w:color="auto"/>
            <w:right w:val="none" w:sz="0" w:space="0" w:color="auto"/>
          </w:divBdr>
        </w:div>
        <w:div w:id="868176462">
          <w:marLeft w:val="0"/>
          <w:marRight w:val="0"/>
          <w:marTop w:val="0"/>
          <w:marBottom w:val="0"/>
          <w:divBdr>
            <w:top w:val="none" w:sz="0" w:space="0" w:color="auto"/>
            <w:left w:val="none" w:sz="0" w:space="0" w:color="auto"/>
            <w:bottom w:val="none" w:sz="0" w:space="0" w:color="auto"/>
            <w:right w:val="none" w:sz="0" w:space="0" w:color="auto"/>
          </w:divBdr>
        </w:div>
        <w:div w:id="341514150">
          <w:marLeft w:val="0"/>
          <w:marRight w:val="0"/>
          <w:marTop w:val="0"/>
          <w:marBottom w:val="0"/>
          <w:divBdr>
            <w:top w:val="none" w:sz="0" w:space="0" w:color="auto"/>
            <w:left w:val="none" w:sz="0" w:space="0" w:color="auto"/>
            <w:bottom w:val="none" w:sz="0" w:space="0" w:color="auto"/>
            <w:right w:val="none" w:sz="0" w:space="0" w:color="auto"/>
          </w:divBdr>
        </w:div>
        <w:div w:id="1243838013">
          <w:marLeft w:val="0"/>
          <w:marRight w:val="0"/>
          <w:marTop w:val="0"/>
          <w:marBottom w:val="0"/>
          <w:divBdr>
            <w:top w:val="none" w:sz="0" w:space="0" w:color="auto"/>
            <w:left w:val="none" w:sz="0" w:space="0" w:color="auto"/>
            <w:bottom w:val="none" w:sz="0" w:space="0" w:color="auto"/>
            <w:right w:val="none" w:sz="0" w:space="0" w:color="auto"/>
          </w:divBdr>
        </w:div>
        <w:div w:id="503278124">
          <w:marLeft w:val="0"/>
          <w:marRight w:val="0"/>
          <w:marTop w:val="0"/>
          <w:marBottom w:val="0"/>
          <w:divBdr>
            <w:top w:val="none" w:sz="0" w:space="0" w:color="auto"/>
            <w:left w:val="none" w:sz="0" w:space="0" w:color="auto"/>
            <w:bottom w:val="none" w:sz="0" w:space="0" w:color="auto"/>
            <w:right w:val="none" w:sz="0" w:space="0" w:color="auto"/>
          </w:divBdr>
        </w:div>
        <w:div w:id="803621864">
          <w:marLeft w:val="0"/>
          <w:marRight w:val="0"/>
          <w:marTop w:val="0"/>
          <w:marBottom w:val="0"/>
          <w:divBdr>
            <w:top w:val="none" w:sz="0" w:space="0" w:color="auto"/>
            <w:left w:val="none" w:sz="0" w:space="0" w:color="auto"/>
            <w:bottom w:val="none" w:sz="0" w:space="0" w:color="auto"/>
            <w:right w:val="none" w:sz="0" w:space="0" w:color="auto"/>
          </w:divBdr>
        </w:div>
        <w:div w:id="636643423">
          <w:marLeft w:val="0"/>
          <w:marRight w:val="0"/>
          <w:marTop w:val="0"/>
          <w:marBottom w:val="0"/>
          <w:divBdr>
            <w:top w:val="none" w:sz="0" w:space="0" w:color="auto"/>
            <w:left w:val="none" w:sz="0" w:space="0" w:color="auto"/>
            <w:bottom w:val="none" w:sz="0" w:space="0" w:color="auto"/>
            <w:right w:val="none" w:sz="0" w:space="0" w:color="auto"/>
          </w:divBdr>
        </w:div>
        <w:div w:id="481167669">
          <w:marLeft w:val="0"/>
          <w:marRight w:val="0"/>
          <w:marTop w:val="0"/>
          <w:marBottom w:val="0"/>
          <w:divBdr>
            <w:top w:val="none" w:sz="0" w:space="0" w:color="auto"/>
            <w:left w:val="none" w:sz="0" w:space="0" w:color="auto"/>
            <w:bottom w:val="none" w:sz="0" w:space="0" w:color="auto"/>
            <w:right w:val="none" w:sz="0" w:space="0" w:color="auto"/>
          </w:divBdr>
        </w:div>
        <w:div w:id="984549365">
          <w:marLeft w:val="0"/>
          <w:marRight w:val="0"/>
          <w:marTop w:val="0"/>
          <w:marBottom w:val="0"/>
          <w:divBdr>
            <w:top w:val="none" w:sz="0" w:space="0" w:color="auto"/>
            <w:left w:val="none" w:sz="0" w:space="0" w:color="auto"/>
            <w:bottom w:val="none" w:sz="0" w:space="0" w:color="auto"/>
            <w:right w:val="none" w:sz="0" w:space="0" w:color="auto"/>
          </w:divBdr>
        </w:div>
        <w:div w:id="1063795531">
          <w:marLeft w:val="0"/>
          <w:marRight w:val="0"/>
          <w:marTop w:val="0"/>
          <w:marBottom w:val="0"/>
          <w:divBdr>
            <w:top w:val="none" w:sz="0" w:space="0" w:color="auto"/>
            <w:left w:val="none" w:sz="0" w:space="0" w:color="auto"/>
            <w:bottom w:val="none" w:sz="0" w:space="0" w:color="auto"/>
            <w:right w:val="none" w:sz="0" w:space="0" w:color="auto"/>
          </w:divBdr>
        </w:div>
        <w:div w:id="1046176071">
          <w:marLeft w:val="0"/>
          <w:marRight w:val="0"/>
          <w:marTop w:val="0"/>
          <w:marBottom w:val="0"/>
          <w:divBdr>
            <w:top w:val="none" w:sz="0" w:space="0" w:color="auto"/>
            <w:left w:val="none" w:sz="0" w:space="0" w:color="auto"/>
            <w:bottom w:val="none" w:sz="0" w:space="0" w:color="auto"/>
            <w:right w:val="none" w:sz="0" w:space="0" w:color="auto"/>
          </w:divBdr>
        </w:div>
        <w:div w:id="238441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1469</Words>
  <Characters>8081</Characters>
  <Application>Microsoft Office Word</Application>
  <DocSecurity>0</DocSecurity>
  <Lines>67</Lines>
  <Paragraphs>19</Paragraphs>
  <ScaleCrop>false</ScaleCrop>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5</cp:revision>
  <dcterms:created xsi:type="dcterms:W3CDTF">2021-09-22T13:44:00Z</dcterms:created>
  <dcterms:modified xsi:type="dcterms:W3CDTF">2021-09-22T14:55:00Z</dcterms:modified>
</cp:coreProperties>
</file>