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633B6" w14:textId="33133B65" w:rsidR="00DD4A73" w:rsidRPr="00AE1B99" w:rsidRDefault="00DD4A73" w:rsidP="00543714">
      <w:pPr>
        <w:autoSpaceDE w:val="0"/>
        <w:autoSpaceDN w:val="0"/>
        <w:adjustRightInd w:val="0"/>
        <w:jc w:val="center"/>
        <w:rPr>
          <w:rFonts w:ascii="Monserrat" w:hAnsi="Monserrat"/>
          <w:b/>
          <w:i/>
        </w:rPr>
      </w:pPr>
      <w:r w:rsidRPr="00AE1B99">
        <w:rPr>
          <w:rFonts w:ascii="Monserrat" w:hAnsi="Monserrat"/>
          <w:b/>
          <w:i/>
        </w:rPr>
        <w:t>5.18</w:t>
      </w:r>
      <w:r w:rsidR="00543714">
        <w:rPr>
          <w:rFonts w:ascii="Monserrat" w:hAnsi="Monserrat"/>
          <w:b/>
          <w:i/>
        </w:rPr>
        <w:t xml:space="preserve">. </w:t>
      </w:r>
      <w:r w:rsidRPr="00AE1B99">
        <w:rPr>
          <w:rFonts w:ascii="Monserrat" w:hAnsi="Monserrat"/>
          <w:b/>
          <w:i/>
        </w:rPr>
        <w:t>Ley Federal de Transparencia y Acceso a la Información Pública.</w:t>
      </w:r>
    </w:p>
    <w:p w14:paraId="634ABB43" w14:textId="77777777" w:rsidR="00DD4A73" w:rsidRPr="00AE1B99" w:rsidRDefault="00DD4A73" w:rsidP="00DD4A73">
      <w:pPr>
        <w:autoSpaceDE w:val="0"/>
        <w:autoSpaceDN w:val="0"/>
        <w:adjustRightInd w:val="0"/>
        <w:jc w:val="both"/>
        <w:rPr>
          <w:rFonts w:ascii="Monserrat" w:hAnsi="Monserrat" w:cs="Arial-BoldMT"/>
          <w:b/>
          <w:bCs/>
        </w:rPr>
      </w:pPr>
    </w:p>
    <w:p w14:paraId="44FED3C7" w14:textId="77777777" w:rsidR="00DD4A73" w:rsidRPr="00767B8E" w:rsidRDefault="00DD4A73" w:rsidP="00DD4A73">
      <w:pPr>
        <w:widowControl w:val="0"/>
        <w:suppressAutoHyphens/>
        <w:jc w:val="both"/>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 xml:space="preserve">De acuerdo a las disposiciones establecidas en la Ley Federal de Transparencia y Acceso a la Información Pública y demás ordenamientos relativos, la Unidad de Transparencia de El Colegio de la Frontera Sur durante el ejercicio </w:t>
      </w:r>
      <w:bookmarkStart w:id="0" w:name="_GoBack"/>
      <w:bookmarkEnd w:id="0"/>
      <w:r w:rsidRPr="00767B8E">
        <w:rPr>
          <w:rFonts w:ascii="Monserrat" w:eastAsia="SimSun" w:hAnsi="Monserrat" w:cs="Arial"/>
          <w:kern w:val="1"/>
          <w:sz w:val="22"/>
          <w:szCs w:val="22"/>
          <w:lang w:eastAsia="hi-IN" w:bidi="hi-IN"/>
        </w:rPr>
        <w:t>2020 llevó a cabo las siguientes actividades:</w:t>
      </w:r>
    </w:p>
    <w:p w14:paraId="7F0F5C58" w14:textId="77777777" w:rsidR="00DD4A73" w:rsidRPr="00767B8E" w:rsidRDefault="00DD4A73" w:rsidP="00DD4A73">
      <w:pPr>
        <w:widowControl w:val="0"/>
        <w:suppressAutoHyphens/>
        <w:jc w:val="both"/>
        <w:rPr>
          <w:rFonts w:ascii="Monserrat" w:eastAsia="SimSun" w:hAnsi="Monserrat" w:cs="Arial" w:hint="eastAsia"/>
          <w:kern w:val="1"/>
          <w:sz w:val="22"/>
          <w:szCs w:val="22"/>
          <w:lang w:eastAsia="hi-IN" w:bidi="hi-IN"/>
        </w:rPr>
      </w:pPr>
    </w:p>
    <w:p w14:paraId="0B56A11F" w14:textId="77777777" w:rsidR="00DD4A73" w:rsidRPr="00767B8E" w:rsidRDefault="00DD4A73" w:rsidP="00DD4A73">
      <w:pPr>
        <w:widowControl w:val="0"/>
        <w:numPr>
          <w:ilvl w:val="0"/>
          <w:numId w:val="1"/>
        </w:numPr>
        <w:suppressAutoHyphens/>
        <w:autoSpaceDE w:val="0"/>
        <w:autoSpaceDN w:val="0"/>
        <w:adjustRightInd w:val="0"/>
        <w:spacing w:after="120"/>
        <w:ind w:left="714" w:hanging="357"/>
        <w:jc w:val="both"/>
        <w:rPr>
          <w:rFonts w:ascii="Monserrat" w:eastAsia="Calibri" w:hAnsi="Monserrat" w:cs="Arial"/>
          <w:b/>
          <w:sz w:val="22"/>
          <w:szCs w:val="22"/>
          <w:u w:val="single"/>
          <w:lang w:val="es-ES" w:eastAsia="es-ES"/>
        </w:rPr>
      </w:pPr>
      <w:r w:rsidRPr="00767B8E">
        <w:rPr>
          <w:rFonts w:ascii="Monserrat" w:eastAsia="Calibri" w:hAnsi="Monserrat" w:cs="Arial"/>
          <w:b/>
          <w:sz w:val="22"/>
          <w:szCs w:val="22"/>
          <w:u w:val="single"/>
          <w:lang w:val="es-ES" w:eastAsia="es-ES"/>
        </w:rPr>
        <w:t>Atención a Solicitudes de Información:</w:t>
      </w:r>
    </w:p>
    <w:p w14:paraId="156FCD33" w14:textId="77777777" w:rsidR="00DD4A73" w:rsidRPr="00767B8E" w:rsidRDefault="00DD4A73" w:rsidP="00DD4A73">
      <w:pPr>
        <w:widowControl w:val="0"/>
        <w:suppressAutoHyphens/>
        <w:jc w:val="both"/>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A través de la Plataforma Nacional de Transparencia, la Unidad de Transparencia de El Colegio de la Frontera Sur atendió un total de 54 solicitudes de acceso a la información, las cuales fueron atendidas en tiempo y forma de conformidad con la Ley, como se detalla a continuación:</w:t>
      </w:r>
    </w:p>
    <w:p w14:paraId="7D1FD412" w14:textId="77777777" w:rsidR="00DD4A73" w:rsidRPr="00767B8E" w:rsidRDefault="00DD4A73" w:rsidP="00DD4A73">
      <w:pPr>
        <w:widowControl w:val="0"/>
        <w:suppressAutoHyphens/>
        <w:jc w:val="both"/>
        <w:rPr>
          <w:rFonts w:ascii="Monserrat" w:eastAsia="SimSun" w:hAnsi="Monserrat" w:cs="Arial" w:hint="eastAsia"/>
          <w:kern w:val="1"/>
          <w:sz w:val="22"/>
          <w:szCs w:val="22"/>
          <w:lang w:eastAsia="hi-IN" w:bidi="hi-IN"/>
        </w:rPr>
      </w:pPr>
    </w:p>
    <w:tbl>
      <w:tblPr>
        <w:tblStyle w:val="Tablaconcuadrcula"/>
        <w:tblW w:w="0" w:type="auto"/>
        <w:jc w:val="center"/>
        <w:tblLook w:val="04A0" w:firstRow="1" w:lastRow="0" w:firstColumn="1" w:lastColumn="0" w:noHBand="0" w:noVBand="1"/>
      </w:tblPr>
      <w:tblGrid>
        <w:gridCol w:w="1544"/>
        <w:gridCol w:w="1757"/>
        <w:gridCol w:w="1757"/>
        <w:gridCol w:w="1757"/>
        <w:gridCol w:w="1969"/>
      </w:tblGrid>
      <w:tr w:rsidR="00DD4A73" w:rsidRPr="00767B8E" w14:paraId="5C3ABEEA" w14:textId="77777777" w:rsidTr="00767B8E">
        <w:trPr>
          <w:trHeight w:val="57"/>
          <w:jc w:val="center"/>
        </w:trPr>
        <w:tc>
          <w:tcPr>
            <w:tcW w:w="1544" w:type="dxa"/>
            <w:shd w:val="clear" w:color="auto" w:fill="D9D9D9" w:themeFill="background1" w:themeFillShade="D9"/>
            <w:vAlign w:val="center"/>
          </w:tcPr>
          <w:p w14:paraId="4917BFBC" w14:textId="77777777" w:rsidR="00DD4A73" w:rsidRPr="00767B8E" w:rsidRDefault="00DD4A73" w:rsidP="003D3758">
            <w:pPr>
              <w:jc w:val="center"/>
              <w:rPr>
                <w:rFonts w:ascii="Monserrat" w:hAnsi="Monserrat" w:cs="Arial"/>
                <w:b/>
                <w:color w:val="000000" w:themeColor="text1"/>
              </w:rPr>
            </w:pPr>
            <w:r w:rsidRPr="00767B8E">
              <w:rPr>
                <w:rFonts w:ascii="Monserrat" w:hAnsi="Monserrat" w:cs="Arial"/>
                <w:b/>
                <w:color w:val="000000" w:themeColor="text1"/>
              </w:rPr>
              <w:t>Sujeto Obligado</w:t>
            </w:r>
          </w:p>
        </w:tc>
        <w:tc>
          <w:tcPr>
            <w:tcW w:w="1757" w:type="dxa"/>
            <w:shd w:val="clear" w:color="auto" w:fill="D9D9D9" w:themeFill="background1" w:themeFillShade="D9"/>
            <w:vAlign w:val="center"/>
            <w:hideMark/>
          </w:tcPr>
          <w:p w14:paraId="2F235941" w14:textId="77777777" w:rsidR="00DD4A73" w:rsidRPr="00767B8E" w:rsidRDefault="00DD4A73" w:rsidP="003D3758">
            <w:pPr>
              <w:jc w:val="center"/>
              <w:rPr>
                <w:rFonts w:ascii="Monserrat" w:hAnsi="Monserrat" w:cs="Arial"/>
                <w:b/>
                <w:color w:val="000000" w:themeColor="text1"/>
              </w:rPr>
            </w:pPr>
            <w:r w:rsidRPr="00767B8E">
              <w:rPr>
                <w:rFonts w:ascii="Monserrat" w:hAnsi="Monserrat" w:cs="Arial"/>
                <w:b/>
                <w:color w:val="000000" w:themeColor="text1"/>
              </w:rPr>
              <w:t>Solicitudes de acceso a la información recibidas en el periodo</w:t>
            </w:r>
          </w:p>
        </w:tc>
        <w:tc>
          <w:tcPr>
            <w:tcW w:w="1757" w:type="dxa"/>
            <w:shd w:val="clear" w:color="auto" w:fill="D9D9D9" w:themeFill="background1" w:themeFillShade="D9"/>
            <w:vAlign w:val="center"/>
            <w:hideMark/>
          </w:tcPr>
          <w:p w14:paraId="7A23D0CD" w14:textId="77777777" w:rsidR="00DD4A73" w:rsidRPr="00767B8E" w:rsidRDefault="00DD4A73" w:rsidP="003D3758">
            <w:pPr>
              <w:jc w:val="center"/>
              <w:rPr>
                <w:rFonts w:ascii="Monserrat" w:hAnsi="Monserrat" w:cs="Arial"/>
                <w:b/>
                <w:color w:val="000000" w:themeColor="text1"/>
              </w:rPr>
            </w:pPr>
            <w:r w:rsidRPr="00767B8E">
              <w:rPr>
                <w:rFonts w:ascii="Monserrat" w:hAnsi="Monserrat" w:cs="Arial"/>
                <w:b/>
                <w:color w:val="000000" w:themeColor="text1"/>
              </w:rPr>
              <w:t>Solicitudes de acceso a la información atendidas</w:t>
            </w:r>
          </w:p>
        </w:tc>
        <w:tc>
          <w:tcPr>
            <w:tcW w:w="1757" w:type="dxa"/>
            <w:shd w:val="clear" w:color="auto" w:fill="D9D9D9" w:themeFill="background1" w:themeFillShade="D9"/>
            <w:vAlign w:val="center"/>
            <w:hideMark/>
          </w:tcPr>
          <w:p w14:paraId="4B0E3F89" w14:textId="77777777" w:rsidR="00DD4A73" w:rsidRPr="00767B8E" w:rsidRDefault="00DD4A73" w:rsidP="003D3758">
            <w:pPr>
              <w:jc w:val="center"/>
              <w:rPr>
                <w:rFonts w:ascii="Monserrat" w:hAnsi="Monserrat" w:cs="Arial"/>
                <w:b/>
                <w:color w:val="000000" w:themeColor="text1"/>
              </w:rPr>
            </w:pPr>
            <w:r w:rsidRPr="00767B8E">
              <w:rPr>
                <w:rFonts w:ascii="Monserrat" w:hAnsi="Monserrat" w:cs="Arial"/>
                <w:b/>
                <w:color w:val="000000" w:themeColor="text1"/>
              </w:rPr>
              <w:t>Recursos de revisión interpuestos en contra ante el INAI</w:t>
            </w:r>
          </w:p>
        </w:tc>
        <w:tc>
          <w:tcPr>
            <w:tcW w:w="1969" w:type="dxa"/>
            <w:shd w:val="clear" w:color="auto" w:fill="D9D9D9" w:themeFill="background1" w:themeFillShade="D9"/>
            <w:vAlign w:val="center"/>
            <w:hideMark/>
          </w:tcPr>
          <w:p w14:paraId="7CA8365E" w14:textId="77777777" w:rsidR="00DD4A73" w:rsidRPr="00767B8E" w:rsidRDefault="00DD4A73" w:rsidP="003D3758">
            <w:pPr>
              <w:jc w:val="center"/>
              <w:rPr>
                <w:rFonts w:ascii="Monserrat" w:hAnsi="Monserrat" w:cs="Arial"/>
                <w:b/>
                <w:color w:val="000000" w:themeColor="text1"/>
              </w:rPr>
            </w:pPr>
            <w:r w:rsidRPr="00767B8E">
              <w:rPr>
                <w:rFonts w:ascii="Monserrat" w:hAnsi="Monserrat" w:cs="Arial"/>
                <w:b/>
                <w:color w:val="000000" w:themeColor="text1"/>
              </w:rPr>
              <w:t>Resoluciones emitidas por el INAI</w:t>
            </w:r>
          </w:p>
        </w:tc>
      </w:tr>
      <w:tr w:rsidR="00DD4A73" w:rsidRPr="00767B8E" w14:paraId="770AFCF1" w14:textId="77777777" w:rsidTr="00767B8E">
        <w:trPr>
          <w:trHeight w:val="1084"/>
          <w:jc w:val="center"/>
        </w:trPr>
        <w:tc>
          <w:tcPr>
            <w:tcW w:w="1544" w:type="dxa"/>
            <w:vAlign w:val="center"/>
          </w:tcPr>
          <w:p w14:paraId="54BB0022" w14:textId="77777777" w:rsidR="00DD4A73" w:rsidRPr="00767B8E" w:rsidRDefault="00DD4A73" w:rsidP="003D3758">
            <w:pPr>
              <w:spacing w:before="120" w:after="120"/>
              <w:jc w:val="center"/>
              <w:rPr>
                <w:rFonts w:ascii="Monserrat" w:hAnsi="Monserrat" w:cs="Arial"/>
              </w:rPr>
            </w:pPr>
            <w:r w:rsidRPr="00767B8E">
              <w:rPr>
                <w:rFonts w:ascii="Monserrat" w:hAnsi="Monserrat" w:cs="Arial"/>
              </w:rPr>
              <w:t>ECOSUR</w:t>
            </w:r>
          </w:p>
        </w:tc>
        <w:tc>
          <w:tcPr>
            <w:tcW w:w="1757" w:type="dxa"/>
            <w:vAlign w:val="center"/>
          </w:tcPr>
          <w:p w14:paraId="2500EC20" w14:textId="77777777" w:rsidR="00DD4A73" w:rsidRPr="00767B8E" w:rsidRDefault="00DD4A73" w:rsidP="003D3758">
            <w:pPr>
              <w:spacing w:before="120" w:after="120"/>
              <w:jc w:val="center"/>
              <w:rPr>
                <w:rFonts w:ascii="Monserrat" w:hAnsi="Monserrat" w:cs="Arial"/>
              </w:rPr>
            </w:pPr>
            <w:r w:rsidRPr="00767B8E">
              <w:rPr>
                <w:rFonts w:ascii="Monserrat" w:hAnsi="Monserrat" w:cs="Arial"/>
              </w:rPr>
              <w:t>42</w:t>
            </w:r>
          </w:p>
        </w:tc>
        <w:tc>
          <w:tcPr>
            <w:tcW w:w="1757" w:type="dxa"/>
            <w:vAlign w:val="center"/>
          </w:tcPr>
          <w:p w14:paraId="2F6F3DF3" w14:textId="77777777" w:rsidR="00DD4A73" w:rsidRPr="00767B8E" w:rsidRDefault="00DD4A73" w:rsidP="003D3758">
            <w:pPr>
              <w:spacing w:before="120" w:after="120"/>
              <w:jc w:val="center"/>
              <w:rPr>
                <w:rFonts w:ascii="Monserrat" w:hAnsi="Monserrat" w:cs="Arial"/>
              </w:rPr>
            </w:pPr>
            <w:r w:rsidRPr="00767B8E">
              <w:rPr>
                <w:rFonts w:ascii="Monserrat" w:hAnsi="Monserrat" w:cs="Arial"/>
              </w:rPr>
              <w:t>42</w:t>
            </w:r>
          </w:p>
        </w:tc>
        <w:tc>
          <w:tcPr>
            <w:tcW w:w="1757" w:type="dxa"/>
            <w:vAlign w:val="center"/>
          </w:tcPr>
          <w:p w14:paraId="59A86134" w14:textId="77777777" w:rsidR="00DD4A73" w:rsidRPr="00767B8E" w:rsidRDefault="00DD4A73" w:rsidP="003D3758">
            <w:pPr>
              <w:spacing w:before="120" w:after="120"/>
              <w:jc w:val="center"/>
              <w:rPr>
                <w:rFonts w:ascii="Monserrat" w:hAnsi="Monserrat" w:cs="Arial"/>
              </w:rPr>
            </w:pPr>
            <w:r w:rsidRPr="00767B8E">
              <w:rPr>
                <w:rFonts w:ascii="Monserrat" w:hAnsi="Monserrat" w:cs="Arial"/>
              </w:rPr>
              <w:t>4</w:t>
            </w:r>
          </w:p>
        </w:tc>
        <w:tc>
          <w:tcPr>
            <w:tcW w:w="1969" w:type="dxa"/>
            <w:vAlign w:val="center"/>
          </w:tcPr>
          <w:p w14:paraId="2BA5DE22" w14:textId="77777777" w:rsidR="00DD4A73" w:rsidRPr="00767B8E" w:rsidRDefault="00DD4A73" w:rsidP="003D3758">
            <w:pPr>
              <w:spacing w:before="120" w:after="120"/>
              <w:rPr>
                <w:rFonts w:ascii="Monserrat" w:hAnsi="Monserrat" w:cs="Arial"/>
              </w:rPr>
            </w:pPr>
            <w:r w:rsidRPr="00767B8E">
              <w:rPr>
                <w:rFonts w:ascii="Monserrat" w:hAnsi="Monserrat" w:cs="Arial"/>
              </w:rPr>
              <w:t>3 Modificar la respuesta emitida por el sujeto obligado</w:t>
            </w:r>
          </w:p>
          <w:p w14:paraId="15479AD1" w14:textId="77777777" w:rsidR="00DD4A73" w:rsidRPr="00767B8E" w:rsidRDefault="00DD4A73" w:rsidP="003D3758">
            <w:pPr>
              <w:spacing w:before="120" w:after="120"/>
              <w:rPr>
                <w:rFonts w:ascii="Monserrat" w:hAnsi="Monserrat" w:cs="Arial"/>
              </w:rPr>
            </w:pPr>
            <w:r w:rsidRPr="00767B8E">
              <w:rPr>
                <w:rFonts w:ascii="Monserrat" w:hAnsi="Monserrat" w:cs="Arial"/>
              </w:rPr>
              <w:t>1 Confirma la respuesta emitida por el sujeto obligado</w:t>
            </w:r>
          </w:p>
        </w:tc>
      </w:tr>
      <w:tr w:rsidR="00DD4A73" w:rsidRPr="00767B8E" w14:paraId="68BD7CC0" w14:textId="77777777" w:rsidTr="00767B8E">
        <w:trPr>
          <w:trHeight w:val="57"/>
          <w:jc w:val="center"/>
        </w:trPr>
        <w:tc>
          <w:tcPr>
            <w:tcW w:w="1544" w:type="dxa"/>
            <w:vAlign w:val="center"/>
          </w:tcPr>
          <w:p w14:paraId="7B96B284" w14:textId="77777777" w:rsidR="00DD4A73" w:rsidRPr="00767B8E" w:rsidRDefault="00DD4A73" w:rsidP="003D3758">
            <w:pPr>
              <w:spacing w:before="120" w:after="120"/>
              <w:jc w:val="center"/>
              <w:rPr>
                <w:rFonts w:ascii="Monserrat" w:hAnsi="Monserrat" w:cs="Arial"/>
              </w:rPr>
            </w:pPr>
            <w:r w:rsidRPr="00767B8E">
              <w:rPr>
                <w:rFonts w:ascii="Monserrat" w:hAnsi="Monserrat" w:cs="Arial"/>
              </w:rPr>
              <w:t>FID. 784</w:t>
            </w:r>
          </w:p>
        </w:tc>
        <w:tc>
          <w:tcPr>
            <w:tcW w:w="1757" w:type="dxa"/>
            <w:vAlign w:val="center"/>
          </w:tcPr>
          <w:p w14:paraId="5F4B73A7" w14:textId="77777777" w:rsidR="00DD4A73" w:rsidRPr="00767B8E" w:rsidRDefault="00DD4A73" w:rsidP="003D3758">
            <w:pPr>
              <w:spacing w:before="120" w:after="120"/>
              <w:jc w:val="center"/>
              <w:rPr>
                <w:rFonts w:ascii="Monserrat" w:hAnsi="Monserrat" w:cs="Arial"/>
              </w:rPr>
            </w:pPr>
            <w:r w:rsidRPr="00767B8E">
              <w:rPr>
                <w:rFonts w:ascii="Monserrat" w:hAnsi="Monserrat" w:cs="Arial"/>
              </w:rPr>
              <w:t>12</w:t>
            </w:r>
          </w:p>
        </w:tc>
        <w:tc>
          <w:tcPr>
            <w:tcW w:w="1757" w:type="dxa"/>
            <w:vAlign w:val="center"/>
          </w:tcPr>
          <w:p w14:paraId="6CA0B7B0" w14:textId="77777777" w:rsidR="00DD4A73" w:rsidRPr="00767B8E" w:rsidRDefault="00DD4A73" w:rsidP="003D3758">
            <w:pPr>
              <w:spacing w:before="120" w:after="120"/>
              <w:jc w:val="center"/>
              <w:rPr>
                <w:rFonts w:ascii="Monserrat" w:hAnsi="Monserrat" w:cs="Arial"/>
              </w:rPr>
            </w:pPr>
            <w:r w:rsidRPr="00767B8E">
              <w:rPr>
                <w:rFonts w:ascii="Monserrat" w:hAnsi="Monserrat" w:cs="Arial"/>
              </w:rPr>
              <w:t>12</w:t>
            </w:r>
          </w:p>
        </w:tc>
        <w:tc>
          <w:tcPr>
            <w:tcW w:w="1757" w:type="dxa"/>
            <w:vAlign w:val="center"/>
          </w:tcPr>
          <w:p w14:paraId="6CB3DBF6" w14:textId="77777777" w:rsidR="00DD4A73" w:rsidRPr="00767B8E" w:rsidRDefault="00DD4A73" w:rsidP="003D3758">
            <w:pPr>
              <w:spacing w:before="120" w:after="120"/>
              <w:jc w:val="center"/>
              <w:rPr>
                <w:rFonts w:ascii="Monserrat" w:hAnsi="Monserrat" w:cs="Arial"/>
              </w:rPr>
            </w:pPr>
            <w:r w:rsidRPr="00767B8E">
              <w:rPr>
                <w:rFonts w:ascii="Monserrat" w:hAnsi="Monserrat" w:cs="Arial"/>
              </w:rPr>
              <w:t>0</w:t>
            </w:r>
          </w:p>
        </w:tc>
        <w:tc>
          <w:tcPr>
            <w:tcW w:w="1969" w:type="dxa"/>
            <w:vAlign w:val="center"/>
          </w:tcPr>
          <w:p w14:paraId="4B0A647A" w14:textId="77777777" w:rsidR="00DD4A73" w:rsidRPr="00767B8E" w:rsidRDefault="00DD4A73" w:rsidP="003D3758">
            <w:pPr>
              <w:spacing w:before="120" w:after="120"/>
              <w:jc w:val="center"/>
              <w:rPr>
                <w:rFonts w:ascii="Monserrat" w:hAnsi="Monserrat" w:cs="Arial"/>
              </w:rPr>
            </w:pPr>
            <w:r w:rsidRPr="00767B8E">
              <w:rPr>
                <w:rFonts w:ascii="Monserrat" w:hAnsi="Monserrat" w:cs="Arial"/>
              </w:rPr>
              <w:t>-</w:t>
            </w:r>
          </w:p>
        </w:tc>
      </w:tr>
    </w:tbl>
    <w:p w14:paraId="4867C92F" w14:textId="77777777" w:rsidR="00DD4A73" w:rsidRPr="00767B8E" w:rsidRDefault="00DD4A73" w:rsidP="00DD4A73">
      <w:pPr>
        <w:widowControl w:val="0"/>
        <w:autoSpaceDE w:val="0"/>
        <w:autoSpaceDN w:val="0"/>
        <w:adjustRightInd w:val="0"/>
        <w:jc w:val="both"/>
        <w:rPr>
          <w:rFonts w:ascii="Monserrat" w:eastAsia="Calibri" w:hAnsi="Monserrat" w:cs="Arial"/>
          <w:b/>
          <w:sz w:val="22"/>
          <w:szCs w:val="22"/>
          <w:u w:val="single"/>
          <w:lang w:val="es-ES" w:eastAsia="es-ES"/>
        </w:rPr>
      </w:pPr>
    </w:p>
    <w:p w14:paraId="509DFE71" w14:textId="77777777" w:rsidR="00DD4A73" w:rsidRPr="00767B8E" w:rsidRDefault="00DD4A73" w:rsidP="00DD4A73">
      <w:pPr>
        <w:widowControl w:val="0"/>
        <w:autoSpaceDE w:val="0"/>
        <w:autoSpaceDN w:val="0"/>
        <w:adjustRightInd w:val="0"/>
        <w:jc w:val="both"/>
        <w:rPr>
          <w:rFonts w:ascii="Monserrat" w:eastAsia="Calibri" w:hAnsi="Monserrat" w:cs="Arial"/>
          <w:b/>
          <w:sz w:val="22"/>
          <w:szCs w:val="22"/>
          <w:u w:val="single"/>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1134"/>
        <w:gridCol w:w="1134"/>
      </w:tblGrid>
      <w:tr w:rsidR="00DD4A73" w:rsidRPr="00767B8E" w14:paraId="34C3EFD8" w14:textId="77777777" w:rsidTr="003D3758">
        <w:trPr>
          <w:jc w:val="center"/>
        </w:trPr>
        <w:tc>
          <w:tcPr>
            <w:tcW w:w="5244" w:type="dxa"/>
            <w:shd w:val="clear" w:color="auto" w:fill="D9D9D9" w:themeFill="background1" w:themeFillShade="D9"/>
          </w:tcPr>
          <w:p w14:paraId="5837243E" w14:textId="77777777" w:rsidR="00DD4A73" w:rsidRPr="00767B8E" w:rsidRDefault="00DD4A73" w:rsidP="003D3758">
            <w:pPr>
              <w:widowControl w:val="0"/>
              <w:suppressAutoHyphens/>
              <w:jc w:val="center"/>
              <w:rPr>
                <w:rFonts w:ascii="Monserrat" w:eastAsia="SimSun" w:hAnsi="Monserrat" w:cs="Arial" w:hint="eastAsia"/>
                <w:b/>
                <w:kern w:val="1"/>
                <w:sz w:val="22"/>
                <w:szCs w:val="22"/>
                <w:lang w:eastAsia="hi-IN" w:bidi="hi-IN"/>
              </w:rPr>
            </w:pPr>
            <w:r w:rsidRPr="00767B8E">
              <w:rPr>
                <w:rFonts w:ascii="Monserrat" w:eastAsia="Calibri" w:hAnsi="Monserrat" w:cs="Arial"/>
                <w:b/>
                <w:sz w:val="22"/>
                <w:szCs w:val="22"/>
                <w:lang w:val="es-ES" w:eastAsia="es-ES"/>
              </w:rPr>
              <w:t>Modalidad de respuestas</w:t>
            </w:r>
          </w:p>
        </w:tc>
        <w:tc>
          <w:tcPr>
            <w:tcW w:w="1134" w:type="dxa"/>
            <w:shd w:val="clear" w:color="auto" w:fill="D9D9D9" w:themeFill="background1" w:themeFillShade="D9"/>
          </w:tcPr>
          <w:p w14:paraId="56764DA4" w14:textId="77777777" w:rsidR="00DD4A73" w:rsidRPr="00767B8E" w:rsidRDefault="00DD4A73" w:rsidP="003D3758">
            <w:pPr>
              <w:widowControl w:val="0"/>
              <w:suppressAutoHyphens/>
              <w:jc w:val="center"/>
              <w:rPr>
                <w:rFonts w:ascii="Monserrat" w:eastAsia="SimSun" w:hAnsi="Monserrat" w:cs="Arial" w:hint="eastAsia"/>
                <w:b/>
                <w:kern w:val="1"/>
                <w:sz w:val="22"/>
                <w:szCs w:val="22"/>
                <w:lang w:eastAsia="hi-IN" w:bidi="hi-IN"/>
              </w:rPr>
            </w:pPr>
            <w:r w:rsidRPr="00767B8E">
              <w:rPr>
                <w:rFonts w:ascii="Monserrat" w:eastAsia="SimSun" w:hAnsi="Monserrat" w:cs="Arial"/>
                <w:b/>
                <w:kern w:val="1"/>
                <w:sz w:val="22"/>
                <w:szCs w:val="22"/>
                <w:lang w:eastAsia="hi-IN" w:bidi="hi-IN"/>
              </w:rPr>
              <w:t>ECOSUR</w:t>
            </w:r>
          </w:p>
        </w:tc>
        <w:tc>
          <w:tcPr>
            <w:tcW w:w="1134" w:type="dxa"/>
            <w:shd w:val="clear" w:color="auto" w:fill="D9D9D9" w:themeFill="background1" w:themeFillShade="D9"/>
          </w:tcPr>
          <w:p w14:paraId="138D74BB" w14:textId="77777777" w:rsidR="00DD4A73" w:rsidRPr="00767B8E" w:rsidRDefault="00DD4A73" w:rsidP="003D3758">
            <w:pPr>
              <w:widowControl w:val="0"/>
              <w:suppressAutoHyphens/>
              <w:jc w:val="center"/>
              <w:rPr>
                <w:rFonts w:ascii="Monserrat" w:eastAsia="SimSun" w:hAnsi="Monserrat" w:cs="Arial" w:hint="eastAsia"/>
                <w:b/>
                <w:kern w:val="1"/>
                <w:sz w:val="22"/>
                <w:szCs w:val="22"/>
                <w:lang w:eastAsia="hi-IN" w:bidi="hi-IN"/>
              </w:rPr>
            </w:pPr>
            <w:proofErr w:type="spellStart"/>
            <w:r w:rsidRPr="00767B8E">
              <w:rPr>
                <w:rFonts w:ascii="Monserrat" w:eastAsia="SimSun" w:hAnsi="Monserrat" w:cs="Arial"/>
                <w:b/>
                <w:kern w:val="1"/>
                <w:sz w:val="22"/>
                <w:szCs w:val="22"/>
                <w:lang w:eastAsia="hi-IN" w:bidi="hi-IN"/>
              </w:rPr>
              <w:t>FID.784</w:t>
            </w:r>
            <w:proofErr w:type="spellEnd"/>
          </w:p>
        </w:tc>
      </w:tr>
      <w:tr w:rsidR="00DD4A73" w:rsidRPr="00767B8E" w14:paraId="1A804532" w14:textId="77777777" w:rsidTr="003D3758">
        <w:trPr>
          <w:jc w:val="center"/>
        </w:trPr>
        <w:tc>
          <w:tcPr>
            <w:tcW w:w="5244" w:type="dxa"/>
          </w:tcPr>
          <w:p w14:paraId="5BD4F700" w14:textId="77777777" w:rsidR="00DD4A73" w:rsidRPr="00767B8E" w:rsidRDefault="00DD4A73" w:rsidP="003D3758">
            <w:pPr>
              <w:widowControl w:val="0"/>
              <w:suppressAutoHyphens/>
              <w:jc w:val="both"/>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Entrega de información en medio electrónico</w:t>
            </w:r>
          </w:p>
        </w:tc>
        <w:tc>
          <w:tcPr>
            <w:tcW w:w="1134" w:type="dxa"/>
          </w:tcPr>
          <w:p w14:paraId="1414AA6C" w14:textId="77777777" w:rsidR="00DD4A73" w:rsidRPr="00767B8E" w:rsidRDefault="00DD4A73" w:rsidP="003D3758">
            <w:pPr>
              <w:widowControl w:val="0"/>
              <w:suppressAutoHyphens/>
              <w:jc w:val="center"/>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37</w:t>
            </w:r>
          </w:p>
        </w:tc>
        <w:tc>
          <w:tcPr>
            <w:tcW w:w="1134" w:type="dxa"/>
          </w:tcPr>
          <w:p w14:paraId="77DAA887" w14:textId="77777777" w:rsidR="00DD4A73" w:rsidRPr="00767B8E" w:rsidRDefault="00DD4A73" w:rsidP="003D3758">
            <w:pPr>
              <w:widowControl w:val="0"/>
              <w:suppressAutoHyphens/>
              <w:jc w:val="center"/>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11</w:t>
            </w:r>
          </w:p>
        </w:tc>
      </w:tr>
      <w:tr w:rsidR="00DD4A73" w:rsidRPr="00767B8E" w14:paraId="7D1BBE00" w14:textId="77777777" w:rsidTr="003D3758">
        <w:trPr>
          <w:jc w:val="center"/>
        </w:trPr>
        <w:tc>
          <w:tcPr>
            <w:tcW w:w="5244" w:type="dxa"/>
          </w:tcPr>
          <w:p w14:paraId="45EB5645" w14:textId="77777777" w:rsidR="00DD4A73" w:rsidRPr="00767B8E" w:rsidRDefault="00DD4A73" w:rsidP="003D3758">
            <w:pPr>
              <w:widowControl w:val="0"/>
              <w:suppressAutoHyphens/>
              <w:jc w:val="both"/>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Inexistencia de la información</w:t>
            </w:r>
          </w:p>
        </w:tc>
        <w:tc>
          <w:tcPr>
            <w:tcW w:w="1134" w:type="dxa"/>
          </w:tcPr>
          <w:p w14:paraId="70597D5D" w14:textId="77777777" w:rsidR="00DD4A73" w:rsidRPr="00767B8E" w:rsidRDefault="00DD4A73" w:rsidP="003D3758">
            <w:pPr>
              <w:widowControl w:val="0"/>
              <w:suppressAutoHyphens/>
              <w:jc w:val="center"/>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0</w:t>
            </w:r>
          </w:p>
        </w:tc>
        <w:tc>
          <w:tcPr>
            <w:tcW w:w="1134" w:type="dxa"/>
          </w:tcPr>
          <w:p w14:paraId="342B52FF" w14:textId="77777777" w:rsidR="00DD4A73" w:rsidRPr="00767B8E" w:rsidRDefault="00DD4A73" w:rsidP="003D3758">
            <w:pPr>
              <w:widowControl w:val="0"/>
              <w:suppressAutoHyphens/>
              <w:jc w:val="center"/>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1</w:t>
            </w:r>
          </w:p>
        </w:tc>
      </w:tr>
      <w:tr w:rsidR="00DD4A73" w:rsidRPr="00767B8E" w14:paraId="7B05E5DC" w14:textId="77777777" w:rsidTr="003D3758">
        <w:trPr>
          <w:jc w:val="center"/>
        </w:trPr>
        <w:tc>
          <w:tcPr>
            <w:tcW w:w="5244" w:type="dxa"/>
          </w:tcPr>
          <w:p w14:paraId="2C54FD23" w14:textId="77777777" w:rsidR="00DD4A73" w:rsidRPr="00767B8E" w:rsidRDefault="00DD4A73" w:rsidP="003D3758">
            <w:pPr>
              <w:widowControl w:val="0"/>
              <w:suppressAutoHyphens/>
              <w:jc w:val="both"/>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No es competencia de la Unidad de Transparencia</w:t>
            </w:r>
          </w:p>
        </w:tc>
        <w:tc>
          <w:tcPr>
            <w:tcW w:w="1134" w:type="dxa"/>
          </w:tcPr>
          <w:p w14:paraId="537FFA5C" w14:textId="77777777" w:rsidR="00DD4A73" w:rsidRPr="00767B8E" w:rsidRDefault="00DD4A73" w:rsidP="003D3758">
            <w:pPr>
              <w:widowControl w:val="0"/>
              <w:suppressAutoHyphens/>
              <w:jc w:val="center"/>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5</w:t>
            </w:r>
          </w:p>
        </w:tc>
        <w:tc>
          <w:tcPr>
            <w:tcW w:w="1134" w:type="dxa"/>
          </w:tcPr>
          <w:p w14:paraId="6FB482AC" w14:textId="77777777" w:rsidR="00DD4A73" w:rsidRPr="00767B8E" w:rsidRDefault="00DD4A73" w:rsidP="003D3758">
            <w:pPr>
              <w:widowControl w:val="0"/>
              <w:suppressAutoHyphens/>
              <w:jc w:val="center"/>
              <w:rPr>
                <w:rFonts w:ascii="Monserrat" w:eastAsia="SimSun" w:hAnsi="Monserrat" w:cs="Arial" w:hint="eastAsia"/>
                <w:kern w:val="1"/>
                <w:sz w:val="22"/>
                <w:szCs w:val="22"/>
                <w:lang w:eastAsia="hi-IN" w:bidi="hi-IN"/>
              </w:rPr>
            </w:pPr>
            <w:r w:rsidRPr="00767B8E">
              <w:rPr>
                <w:rFonts w:ascii="Monserrat" w:eastAsia="SimSun" w:hAnsi="Monserrat" w:cs="Arial"/>
                <w:kern w:val="1"/>
                <w:sz w:val="22"/>
                <w:szCs w:val="22"/>
                <w:lang w:eastAsia="hi-IN" w:bidi="hi-IN"/>
              </w:rPr>
              <w:t>0</w:t>
            </w:r>
          </w:p>
        </w:tc>
      </w:tr>
      <w:tr w:rsidR="00DD4A73" w:rsidRPr="00767B8E" w14:paraId="15273A62" w14:textId="77777777" w:rsidTr="003D3758">
        <w:trPr>
          <w:jc w:val="center"/>
        </w:trPr>
        <w:tc>
          <w:tcPr>
            <w:tcW w:w="5244" w:type="dxa"/>
          </w:tcPr>
          <w:p w14:paraId="2C501FFC" w14:textId="77777777" w:rsidR="00DD4A73" w:rsidRPr="00767B8E" w:rsidRDefault="00DD4A73" w:rsidP="003D3758">
            <w:pPr>
              <w:widowControl w:val="0"/>
              <w:suppressAutoHyphens/>
              <w:jc w:val="right"/>
              <w:rPr>
                <w:rFonts w:ascii="Monserrat" w:eastAsia="SimSun" w:hAnsi="Monserrat" w:cs="Arial" w:hint="eastAsia"/>
                <w:b/>
                <w:kern w:val="1"/>
                <w:sz w:val="22"/>
                <w:szCs w:val="22"/>
                <w:lang w:eastAsia="hi-IN" w:bidi="hi-IN"/>
              </w:rPr>
            </w:pPr>
            <w:r w:rsidRPr="00767B8E">
              <w:rPr>
                <w:rFonts w:ascii="Monserrat" w:eastAsia="SimSun" w:hAnsi="Monserrat" w:cs="Arial"/>
                <w:b/>
                <w:kern w:val="1"/>
                <w:sz w:val="22"/>
                <w:szCs w:val="22"/>
                <w:lang w:eastAsia="hi-IN" w:bidi="hi-IN"/>
              </w:rPr>
              <w:t>Totales:</w:t>
            </w:r>
          </w:p>
        </w:tc>
        <w:tc>
          <w:tcPr>
            <w:tcW w:w="1134" w:type="dxa"/>
          </w:tcPr>
          <w:p w14:paraId="18E7D227" w14:textId="77777777" w:rsidR="00DD4A73" w:rsidRPr="00767B8E" w:rsidRDefault="00DD4A73" w:rsidP="003D3758">
            <w:pPr>
              <w:widowControl w:val="0"/>
              <w:suppressAutoHyphens/>
              <w:jc w:val="center"/>
              <w:rPr>
                <w:rFonts w:ascii="Monserrat" w:eastAsia="SimSun" w:hAnsi="Monserrat" w:cs="Arial" w:hint="eastAsia"/>
                <w:b/>
                <w:kern w:val="1"/>
                <w:sz w:val="22"/>
                <w:szCs w:val="22"/>
                <w:lang w:eastAsia="hi-IN" w:bidi="hi-IN"/>
              </w:rPr>
            </w:pPr>
            <w:r w:rsidRPr="00767B8E">
              <w:rPr>
                <w:rFonts w:ascii="Monserrat" w:eastAsia="SimSun" w:hAnsi="Monserrat" w:cs="Arial"/>
                <w:b/>
                <w:kern w:val="1"/>
                <w:sz w:val="22"/>
                <w:szCs w:val="22"/>
                <w:lang w:eastAsia="hi-IN" w:bidi="hi-IN"/>
              </w:rPr>
              <w:t>42</w:t>
            </w:r>
          </w:p>
        </w:tc>
        <w:tc>
          <w:tcPr>
            <w:tcW w:w="1134" w:type="dxa"/>
          </w:tcPr>
          <w:p w14:paraId="1075E036" w14:textId="77777777" w:rsidR="00DD4A73" w:rsidRPr="00767B8E" w:rsidRDefault="00DD4A73" w:rsidP="003D3758">
            <w:pPr>
              <w:widowControl w:val="0"/>
              <w:suppressAutoHyphens/>
              <w:jc w:val="center"/>
              <w:rPr>
                <w:rFonts w:ascii="Monserrat" w:eastAsia="SimSun" w:hAnsi="Monserrat" w:cs="Arial" w:hint="eastAsia"/>
                <w:b/>
                <w:kern w:val="1"/>
                <w:sz w:val="22"/>
                <w:szCs w:val="22"/>
                <w:lang w:eastAsia="hi-IN" w:bidi="hi-IN"/>
              </w:rPr>
            </w:pPr>
            <w:r w:rsidRPr="00767B8E">
              <w:rPr>
                <w:rFonts w:ascii="Monserrat" w:eastAsia="SimSun" w:hAnsi="Monserrat" w:cs="Arial"/>
                <w:b/>
                <w:kern w:val="1"/>
                <w:sz w:val="22"/>
                <w:szCs w:val="22"/>
                <w:lang w:eastAsia="hi-IN" w:bidi="hi-IN"/>
              </w:rPr>
              <w:t>12</w:t>
            </w:r>
          </w:p>
        </w:tc>
      </w:tr>
    </w:tbl>
    <w:p w14:paraId="1CF76F03" w14:textId="77777777" w:rsidR="00DD4A73" w:rsidRPr="00767B8E" w:rsidRDefault="00DD4A73" w:rsidP="00DD4A73">
      <w:pPr>
        <w:widowControl w:val="0"/>
        <w:suppressAutoHyphens/>
        <w:jc w:val="both"/>
        <w:rPr>
          <w:rFonts w:ascii="Monserrat" w:eastAsia="SimSun" w:hAnsi="Monserrat" w:cs="Arial" w:hint="eastAsia"/>
          <w:kern w:val="1"/>
          <w:sz w:val="22"/>
          <w:szCs w:val="22"/>
          <w:lang w:eastAsia="hi-IN" w:bidi="hi-IN"/>
        </w:rPr>
      </w:pPr>
    </w:p>
    <w:p w14:paraId="5B6A7C69" w14:textId="77777777" w:rsidR="00DD4A73" w:rsidRPr="00767B8E" w:rsidRDefault="00DD4A73" w:rsidP="00DD4A73">
      <w:pPr>
        <w:widowControl w:val="0"/>
        <w:suppressAutoHyphens/>
        <w:jc w:val="both"/>
        <w:rPr>
          <w:rFonts w:ascii="Monserrat" w:eastAsia="SimSun" w:hAnsi="Monserrat" w:cs="Arial" w:hint="eastAsia"/>
          <w:kern w:val="1"/>
          <w:sz w:val="22"/>
          <w:szCs w:val="22"/>
          <w:lang w:eastAsia="hi-IN" w:bidi="hi-IN"/>
        </w:rPr>
      </w:pPr>
    </w:p>
    <w:p w14:paraId="1F33BC70" w14:textId="77777777" w:rsidR="00DD4A73" w:rsidRPr="00767B8E" w:rsidRDefault="00DD4A73" w:rsidP="00DD4A73">
      <w:pPr>
        <w:widowControl w:val="0"/>
        <w:numPr>
          <w:ilvl w:val="0"/>
          <w:numId w:val="1"/>
        </w:numPr>
        <w:suppressAutoHyphens/>
        <w:autoSpaceDE w:val="0"/>
        <w:autoSpaceDN w:val="0"/>
        <w:adjustRightInd w:val="0"/>
        <w:jc w:val="both"/>
        <w:rPr>
          <w:rFonts w:ascii="Monserrat" w:eastAsia="Calibri" w:hAnsi="Monserrat" w:cs="Arial"/>
          <w:b/>
          <w:sz w:val="22"/>
          <w:szCs w:val="22"/>
          <w:u w:val="single"/>
          <w:lang w:val="es-ES" w:eastAsia="es-ES"/>
        </w:rPr>
      </w:pPr>
      <w:r w:rsidRPr="00767B8E">
        <w:rPr>
          <w:rFonts w:ascii="Monserrat" w:eastAsia="Calibri" w:hAnsi="Monserrat" w:cs="Arial"/>
          <w:b/>
          <w:sz w:val="22"/>
          <w:szCs w:val="22"/>
          <w:u w:val="single"/>
          <w:lang w:val="es-ES" w:eastAsia="es-ES"/>
        </w:rPr>
        <w:t>Calificaciones del INAI al cierre del periodo, comparadas con las del año anterior.</w:t>
      </w:r>
    </w:p>
    <w:p w14:paraId="1ED0C492" w14:textId="77777777" w:rsidR="00DD4A73" w:rsidRPr="00767B8E" w:rsidRDefault="00DD4A73" w:rsidP="00DD4A73">
      <w:pPr>
        <w:widowControl w:val="0"/>
        <w:suppressAutoHyphens/>
        <w:autoSpaceDE w:val="0"/>
        <w:autoSpaceDN w:val="0"/>
        <w:adjustRightInd w:val="0"/>
        <w:jc w:val="both"/>
        <w:rPr>
          <w:rFonts w:ascii="Monserrat" w:eastAsia="Calibri" w:hAnsi="Monserrat" w:cs="Arial"/>
          <w:sz w:val="22"/>
          <w:szCs w:val="22"/>
          <w:u w:val="single"/>
          <w:lang w:val="es-ES" w:eastAsia="es-ES"/>
        </w:rPr>
      </w:pPr>
    </w:p>
    <w:p w14:paraId="4A11CB23" w14:textId="77777777" w:rsidR="00DD4A73" w:rsidRPr="00767B8E" w:rsidRDefault="00DD4A73" w:rsidP="00DD4A73">
      <w:pPr>
        <w:pStyle w:val="Default"/>
        <w:jc w:val="both"/>
        <w:rPr>
          <w:rFonts w:ascii="Monserrat" w:hAnsi="Monserrat"/>
          <w:sz w:val="22"/>
          <w:szCs w:val="22"/>
        </w:rPr>
      </w:pPr>
      <w:r w:rsidRPr="00767B8E">
        <w:rPr>
          <w:rFonts w:ascii="Monserrat" w:hAnsi="Monserrat"/>
          <w:sz w:val="22"/>
          <w:szCs w:val="22"/>
        </w:rPr>
        <w:t>Se informa que El Colegio de la Frontera Sur, así como el Fondo de Investigación Científica y Desarrollo Tecnológico de El Colegio de la Frontera Sur (FID. 784), no fueron evaluados durante el ejercicio 2020:</w:t>
      </w:r>
    </w:p>
    <w:p w14:paraId="32C6ACEF" w14:textId="77777777" w:rsidR="00DD4A73" w:rsidRPr="00767B8E" w:rsidRDefault="00DD4A73" w:rsidP="00DD4A73">
      <w:pPr>
        <w:pStyle w:val="Default"/>
        <w:jc w:val="both"/>
        <w:rPr>
          <w:rFonts w:ascii="Monserrat" w:hAnsi="Monserrat"/>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3197"/>
        <w:gridCol w:w="3231"/>
      </w:tblGrid>
      <w:tr w:rsidR="00DD4A73" w:rsidRPr="00767B8E" w14:paraId="0B00AA5E" w14:textId="77777777" w:rsidTr="003D3758">
        <w:trPr>
          <w:trHeight w:val="300"/>
          <w:jc w:val="center"/>
        </w:trPr>
        <w:tc>
          <w:tcPr>
            <w:tcW w:w="2400" w:type="dxa"/>
            <w:vMerge w:val="restart"/>
            <w:shd w:val="clear" w:color="auto" w:fill="D9D9D9" w:themeFill="background1" w:themeFillShade="D9"/>
            <w:noWrap/>
            <w:vAlign w:val="center"/>
          </w:tcPr>
          <w:p w14:paraId="0AE5228C" w14:textId="77777777" w:rsidR="00DD4A73" w:rsidRPr="00767B8E" w:rsidRDefault="00DD4A73" w:rsidP="003D3758">
            <w:pPr>
              <w:jc w:val="center"/>
              <w:rPr>
                <w:rFonts w:ascii="Monserrat" w:eastAsia="Times New Roman" w:hAnsi="Monserrat" w:cs="Times New Roman"/>
                <w:b/>
                <w:sz w:val="22"/>
                <w:szCs w:val="22"/>
              </w:rPr>
            </w:pPr>
            <w:r w:rsidRPr="00767B8E">
              <w:rPr>
                <w:rFonts w:ascii="Monserrat" w:eastAsia="Times New Roman" w:hAnsi="Monserrat" w:cs="Times New Roman"/>
                <w:b/>
                <w:sz w:val="22"/>
                <w:szCs w:val="22"/>
              </w:rPr>
              <w:t>Sujeto obligado</w:t>
            </w:r>
          </w:p>
        </w:tc>
        <w:tc>
          <w:tcPr>
            <w:tcW w:w="6462" w:type="dxa"/>
            <w:gridSpan w:val="2"/>
            <w:shd w:val="clear" w:color="auto" w:fill="D9D9D9" w:themeFill="background1" w:themeFillShade="D9"/>
            <w:vAlign w:val="center"/>
          </w:tcPr>
          <w:p w14:paraId="136B008C" w14:textId="77777777" w:rsidR="00DD4A73" w:rsidRPr="00767B8E" w:rsidRDefault="00DD4A73" w:rsidP="003D3758">
            <w:pPr>
              <w:jc w:val="center"/>
              <w:rPr>
                <w:rFonts w:ascii="Monserrat" w:eastAsia="Times New Roman" w:hAnsi="Monserrat" w:cs="Times New Roman"/>
                <w:b/>
                <w:sz w:val="22"/>
                <w:szCs w:val="22"/>
              </w:rPr>
            </w:pPr>
            <w:r w:rsidRPr="00767B8E">
              <w:rPr>
                <w:rFonts w:ascii="Monserrat" w:eastAsia="Times New Roman" w:hAnsi="Monserrat" w:cs="Times New Roman"/>
                <w:b/>
                <w:sz w:val="22"/>
                <w:szCs w:val="22"/>
              </w:rPr>
              <w:t>Índice Global de Cumplimiento en Portales de Transparencia</w:t>
            </w:r>
          </w:p>
        </w:tc>
      </w:tr>
      <w:tr w:rsidR="00DD4A73" w:rsidRPr="00767B8E" w14:paraId="087AA65B" w14:textId="77777777" w:rsidTr="003D3758">
        <w:trPr>
          <w:trHeight w:val="300"/>
          <w:jc w:val="center"/>
        </w:trPr>
        <w:tc>
          <w:tcPr>
            <w:tcW w:w="2400" w:type="dxa"/>
            <w:vMerge/>
            <w:shd w:val="clear" w:color="auto" w:fill="D9D9D9" w:themeFill="background1" w:themeFillShade="D9"/>
            <w:noWrap/>
            <w:vAlign w:val="center"/>
            <w:hideMark/>
          </w:tcPr>
          <w:p w14:paraId="339491C5" w14:textId="77777777" w:rsidR="00DD4A73" w:rsidRPr="00767B8E" w:rsidRDefault="00DD4A73" w:rsidP="003D3758">
            <w:pPr>
              <w:jc w:val="center"/>
              <w:rPr>
                <w:rFonts w:ascii="Monserrat" w:eastAsia="Times New Roman" w:hAnsi="Monserrat" w:cs="Times New Roman"/>
                <w:b/>
                <w:sz w:val="22"/>
                <w:szCs w:val="22"/>
              </w:rPr>
            </w:pPr>
          </w:p>
        </w:tc>
        <w:tc>
          <w:tcPr>
            <w:tcW w:w="3231" w:type="dxa"/>
            <w:shd w:val="clear" w:color="auto" w:fill="D9D9D9" w:themeFill="background1" w:themeFillShade="D9"/>
            <w:vAlign w:val="center"/>
          </w:tcPr>
          <w:p w14:paraId="65A90031" w14:textId="77777777" w:rsidR="00DD4A73" w:rsidRPr="00767B8E" w:rsidRDefault="00DD4A73" w:rsidP="003D3758">
            <w:pPr>
              <w:jc w:val="center"/>
              <w:rPr>
                <w:rFonts w:ascii="Monserrat" w:eastAsia="Times New Roman" w:hAnsi="Monserrat" w:cs="Times New Roman"/>
                <w:b/>
                <w:sz w:val="22"/>
                <w:szCs w:val="22"/>
              </w:rPr>
            </w:pPr>
            <w:r w:rsidRPr="00767B8E">
              <w:rPr>
                <w:rFonts w:ascii="Monserrat" w:eastAsia="Times New Roman" w:hAnsi="Monserrat" w:cs="Times New Roman"/>
                <w:b/>
                <w:sz w:val="22"/>
                <w:szCs w:val="22"/>
              </w:rPr>
              <w:t>2019</w:t>
            </w:r>
          </w:p>
        </w:tc>
        <w:tc>
          <w:tcPr>
            <w:tcW w:w="3231" w:type="dxa"/>
            <w:shd w:val="clear" w:color="auto" w:fill="D9D9D9" w:themeFill="background1" w:themeFillShade="D9"/>
            <w:noWrap/>
            <w:vAlign w:val="center"/>
          </w:tcPr>
          <w:p w14:paraId="1F793889" w14:textId="77777777" w:rsidR="00DD4A73" w:rsidRPr="00767B8E" w:rsidRDefault="00DD4A73" w:rsidP="003D3758">
            <w:pPr>
              <w:jc w:val="center"/>
              <w:rPr>
                <w:rFonts w:ascii="Monserrat" w:eastAsia="Times New Roman" w:hAnsi="Monserrat" w:cs="Times New Roman"/>
                <w:b/>
                <w:sz w:val="22"/>
                <w:szCs w:val="22"/>
              </w:rPr>
            </w:pPr>
            <w:r w:rsidRPr="00767B8E">
              <w:rPr>
                <w:rFonts w:ascii="Monserrat" w:eastAsia="Times New Roman" w:hAnsi="Monserrat" w:cs="Times New Roman"/>
                <w:b/>
                <w:sz w:val="22"/>
                <w:szCs w:val="22"/>
              </w:rPr>
              <w:t>2020</w:t>
            </w:r>
          </w:p>
        </w:tc>
      </w:tr>
      <w:tr w:rsidR="00DD4A73" w:rsidRPr="00767B8E" w14:paraId="673B654C" w14:textId="77777777" w:rsidTr="003D3758">
        <w:trPr>
          <w:trHeight w:val="300"/>
          <w:jc w:val="center"/>
        </w:trPr>
        <w:tc>
          <w:tcPr>
            <w:tcW w:w="2400" w:type="dxa"/>
            <w:noWrap/>
            <w:hideMark/>
          </w:tcPr>
          <w:p w14:paraId="644CA894" w14:textId="77777777" w:rsidR="00DD4A73" w:rsidRPr="00767B8E" w:rsidRDefault="00DD4A73" w:rsidP="003D3758">
            <w:pPr>
              <w:jc w:val="center"/>
              <w:rPr>
                <w:rFonts w:ascii="Monserrat" w:eastAsia="Times New Roman" w:hAnsi="Monserrat" w:cs="Times New Roman"/>
                <w:b/>
                <w:sz w:val="22"/>
                <w:szCs w:val="22"/>
              </w:rPr>
            </w:pPr>
            <w:r w:rsidRPr="00767B8E">
              <w:rPr>
                <w:rFonts w:ascii="Monserrat" w:eastAsia="Times New Roman" w:hAnsi="Monserrat" w:cs="Times New Roman"/>
                <w:b/>
                <w:sz w:val="22"/>
                <w:szCs w:val="22"/>
              </w:rPr>
              <w:lastRenderedPageBreak/>
              <w:t>ECOSUR</w:t>
            </w:r>
          </w:p>
        </w:tc>
        <w:tc>
          <w:tcPr>
            <w:tcW w:w="3231" w:type="dxa"/>
          </w:tcPr>
          <w:p w14:paraId="6BEC2675" w14:textId="77777777" w:rsidR="00DD4A73" w:rsidRPr="00767B8E" w:rsidRDefault="00DD4A73" w:rsidP="003D3758">
            <w:pPr>
              <w:jc w:val="center"/>
              <w:rPr>
                <w:rFonts w:ascii="Monserrat" w:eastAsia="Times New Roman" w:hAnsi="Monserrat" w:cs="Times New Roman"/>
                <w:sz w:val="22"/>
                <w:szCs w:val="22"/>
              </w:rPr>
            </w:pPr>
            <w:r w:rsidRPr="00767B8E">
              <w:rPr>
                <w:rFonts w:ascii="Monserrat" w:eastAsia="Times New Roman" w:hAnsi="Monserrat" w:cs="Times New Roman"/>
                <w:sz w:val="22"/>
                <w:szCs w:val="22"/>
              </w:rPr>
              <w:t>100%</w:t>
            </w:r>
          </w:p>
        </w:tc>
        <w:tc>
          <w:tcPr>
            <w:tcW w:w="3231" w:type="dxa"/>
            <w:noWrap/>
          </w:tcPr>
          <w:p w14:paraId="5D8C3789" w14:textId="77777777" w:rsidR="00DD4A73" w:rsidRPr="00767B8E" w:rsidRDefault="00DD4A73" w:rsidP="003D3758">
            <w:pPr>
              <w:jc w:val="center"/>
              <w:rPr>
                <w:rFonts w:ascii="Monserrat" w:eastAsia="Times New Roman" w:hAnsi="Monserrat" w:cs="Times New Roman"/>
                <w:sz w:val="22"/>
                <w:szCs w:val="22"/>
              </w:rPr>
            </w:pPr>
            <w:r w:rsidRPr="00767B8E">
              <w:rPr>
                <w:rFonts w:ascii="Monserrat" w:eastAsia="Times New Roman" w:hAnsi="Monserrat" w:cs="Times New Roman"/>
                <w:sz w:val="22"/>
                <w:szCs w:val="22"/>
              </w:rPr>
              <w:t>No fue evaluado</w:t>
            </w:r>
          </w:p>
        </w:tc>
      </w:tr>
      <w:tr w:rsidR="00DD4A73" w:rsidRPr="00767B8E" w14:paraId="4C7224BB" w14:textId="77777777" w:rsidTr="003D3758">
        <w:trPr>
          <w:trHeight w:val="300"/>
          <w:jc w:val="center"/>
        </w:trPr>
        <w:tc>
          <w:tcPr>
            <w:tcW w:w="2400" w:type="dxa"/>
            <w:noWrap/>
          </w:tcPr>
          <w:p w14:paraId="6CAA0F57" w14:textId="77777777" w:rsidR="00DD4A73" w:rsidRPr="00767B8E" w:rsidRDefault="00DD4A73" w:rsidP="003D3758">
            <w:pPr>
              <w:jc w:val="center"/>
              <w:rPr>
                <w:rFonts w:ascii="Monserrat" w:eastAsia="Times New Roman" w:hAnsi="Monserrat" w:cs="Times New Roman"/>
                <w:b/>
                <w:sz w:val="22"/>
                <w:szCs w:val="22"/>
              </w:rPr>
            </w:pPr>
            <w:r w:rsidRPr="00767B8E">
              <w:rPr>
                <w:rFonts w:ascii="Monserrat" w:eastAsia="Times New Roman" w:hAnsi="Monserrat" w:cs="Times New Roman"/>
                <w:b/>
                <w:sz w:val="22"/>
                <w:szCs w:val="22"/>
              </w:rPr>
              <w:t>FID. 784</w:t>
            </w:r>
          </w:p>
        </w:tc>
        <w:tc>
          <w:tcPr>
            <w:tcW w:w="3231" w:type="dxa"/>
          </w:tcPr>
          <w:p w14:paraId="531B6AAD" w14:textId="77777777" w:rsidR="00DD4A73" w:rsidRPr="00767B8E" w:rsidRDefault="00DD4A73" w:rsidP="003D3758">
            <w:pPr>
              <w:jc w:val="center"/>
              <w:rPr>
                <w:rFonts w:ascii="Monserrat" w:eastAsia="Times New Roman" w:hAnsi="Monserrat" w:cs="Times New Roman"/>
                <w:sz w:val="22"/>
                <w:szCs w:val="22"/>
              </w:rPr>
            </w:pPr>
            <w:r w:rsidRPr="00767B8E">
              <w:rPr>
                <w:rFonts w:ascii="Monserrat" w:eastAsia="Times New Roman" w:hAnsi="Monserrat" w:cs="Times New Roman"/>
                <w:sz w:val="22"/>
                <w:szCs w:val="22"/>
              </w:rPr>
              <w:t>100%</w:t>
            </w:r>
          </w:p>
        </w:tc>
        <w:tc>
          <w:tcPr>
            <w:tcW w:w="3231" w:type="dxa"/>
            <w:noWrap/>
          </w:tcPr>
          <w:p w14:paraId="5DD8423E" w14:textId="77777777" w:rsidR="00DD4A73" w:rsidRPr="00767B8E" w:rsidRDefault="00DD4A73" w:rsidP="003D3758">
            <w:pPr>
              <w:jc w:val="center"/>
              <w:rPr>
                <w:rFonts w:ascii="Monserrat" w:eastAsia="Times New Roman" w:hAnsi="Monserrat" w:cs="Times New Roman"/>
                <w:sz w:val="22"/>
                <w:szCs w:val="22"/>
              </w:rPr>
            </w:pPr>
            <w:r w:rsidRPr="00767B8E">
              <w:rPr>
                <w:rFonts w:ascii="Monserrat" w:eastAsia="Times New Roman" w:hAnsi="Monserrat" w:cs="Times New Roman"/>
                <w:sz w:val="22"/>
                <w:szCs w:val="22"/>
              </w:rPr>
              <w:t>No fue evaluado</w:t>
            </w:r>
          </w:p>
        </w:tc>
      </w:tr>
    </w:tbl>
    <w:p w14:paraId="51F7FC77" w14:textId="77777777" w:rsidR="00DD4A73" w:rsidRPr="00767B8E" w:rsidRDefault="00DD4A73" w:rsidP="00DD4A73">
      <w:pPr>
        <w:pStyle w:val="Default"/>
        <w:jc w:val="both"/>
        <w:rPr>
          <w:rFonts w:ascii="Monserrat" w:hAnsi="Monserrat"/>
          <w:sz w:val="22"/>
          <w:szCs w:val="22"/>
        </w:rPr>
      </w:pPr>
    </w:p>
    <w:p w14:paraId="593E05FD" w14:textId="77777777" w:rsidR="00DD4A73" w:rsidRPr="00767B8E" w:rsidRDefault="00DD4A73" w:rsidP="00DD4A73">
      <w:pPr>
        <w:widowControl w:val="0"/>
        <w:suppressAutoHyphens/>
        <w:jc w:val="both"/>
        <w:rPr>
          <w:rFonts w:ascii="Monserrat" w:eastAsia="SimSun" w:hAnsi="Monserrat" w:cs="Arial" w:hint="eastAsia"/>
          <w:kern w:val="1"/>
          <w:sz w:val="22"/>
          <w:szCs w:val="22"/>
          <w:lang w:eastAsia="hi-IN" w:bidi="hi-IN"/>
        </w:rPr>
      </w:pPr>
    </w:p>
    <w:p w14:paraId="1BD85C75" w14:textId="77777777" w:rsidR="00DD4A73" w:rsidRPr="00767B8E" w:rsidRDefault="00DD4A73" w:rsidP="00DD4A73">
      <w:pPr>
        <w:widowControl w:val="0"/>
        <w:numPr>
          <w:ilvl w:val="0"/>
          <w:numId w:val="1"/>
        </w:numPr>
        <w:suppressAutoHyphens/>
        <w:autoSpaceDE w:val="0"/>
        <w:autoSpaceDN w:val="0"/>
        <w:adjustRightInd w:val="0"/>
        <w:jc w:val="both"/>
        <w:rPr>
          <w:rFonts w:ascii="Monserrat" w:eastAsia="Calibri" w:hAnsi="Monserrat" w:cs="Arial"/>
          <w:b/>
          <w:sz w:val="22"/>
          <w:szCs w:val="22"/>
          <w:lang w:val="es-ES" w:eastAsia="es-ES"/>
        </w:rPr>
      </w:pPr>
      <w:r w:rsidRPr="00767B8E">
        <w:rPr>
          <w:rFonts w:ascii="Monserrat" w:eastAsia="Calibri" w:hAnsi="Monserrat" w:cs="Arial"/>
          <w:b/>
          <w:sz w:val="22"/>
          <w:szCs w:val="22"/>
          <w:lang w:val="es-ES" w:eastAsia="es-ES"/>
        </w:rPr>
        <w:t>Cumplimiento a la actualización de Índices de Expedientes Reservados y Sistema de Datos Personales</w:t>
      </w:r>
    </w:p>
    <w:p w14:paraId="565FC87F" w14:textId="77777777" w:rsidR="00DD4A73" w:rsidRPr="00767B8E" w:rsidRDefault="00DD4A73" w:rsidP="00DD4A73">
      <w:pPr>
        <w:widowControl w:val="0"/>
        <w:suppressAutoHyphens/>
        <w:autoSpaceDE w:val="0"/>
        <w:autoSpaceDN w:val="0"/>
        <w:adjustRightInd w:val="0"/>
        <w:jc w:val="both"/>
        <w:rPr>
          <w:rFonts w:ascii="Monserrat" w:eastAsia="SimSun" w:hAnsi="Monserrat" w:cs="Arial" w:hint="eastAsia"/>
          <w:kern w:val="1"/>
          <w:sz w:val="22"/>
          <w:szCs w:val="22"/>
          <w:lang w:eastAsia="hi-IN" w:bidi="hi-IN"/>
        </w:rPr>
      </w:pPr>
    </w:p>
    <w:p w14:paraId="339BA1BB" w14:textId="77777777" w:rsidR="00DD4A73" w:rsidRPr="00767B8E" w:rsidRDefault="00DD4A73" w:rsidP="00DD4A73">
      <w:pPr>
        <w:tabs>
          <w:tab w:val="left" w:pos="927"/>
        </w:tabs>
        <w:autoSpaceDE w:val="0"/>
        <w:autoSpaceDN w:val="0"/>
        <w:adjustRightInd w:val="0"/>
        <w:jc w:val="both"/>
        <w:rPr>
          <w:rFonts w:ascii="Monserrat" w:hAnsi="Monserrat" w:cs="Arial"/>
          <w:sz w:val="22"/>
          <w:szCs w:val="22"/>
          <w:lang w:eastAsia="es-MX"/>
        </w:rPr>
      </w:pPr>
      <w:r w:rsidRPr="00767B8E">
        <w:rPr>
          <w:rFonts w:ascii="Monserrat" w:eastAsia="SimSun" w:hAnsi="Monserrat" w:cs="Arial"/>
          <w:kern w:val="1"/>
          <w:sz w:val="22"/>
          <w:szCs w:val="22"/>
          <w:lang w:eastAsia="hi-IN" w:bidi="hi-IN"/>
        </w:rPr>
        <w:t xml:space="preserve">Durante el ejercicio 2020 el Comité de Transparencia de </w:t>
      </w:r>
      <w:r w:rsidRPr="00767B8E">
        <w:rPr>
          <w:rFonts w:ascii="Monserrat" w:hAnsi="Monserrat" w:cs="Arial"/>
          <w:sz w:val="22"/>
          <w:szCs w:val="22"/>
          <w:lang w:eastAsia="es-MX"/>
        </w:rPr>
        <w:t>El Colegio de la Frontera Sur,</w:t>
      </w:r>
      <w:r w:rsidRPr="00767B8E">
        <w:rPr>
          <w:rFonts w:ascii="Monserrat" w:hAnsi="Monserrat"/>
          <w:sz w:val="22"/>
          <w:szCs w:val="22"/>
        </w:rPr>
        <w:t xml:space="preserve"> y el Fondo de Investigación Científica y Desarrollo Tecnológico de El Colegio de la Frontera Sur (FID. 784), no clasificó ningún documento como reservados, y </w:t>
      </w:r>
      <w:r w:rsidRPr="00767B8E">
        <w:rPr>
          <w:rFonts w:ascii="Monserrat" w:eastAsia="SimSun" w:hAnsi="Monserrat" w:cs="Arial"/>
          <w:kern w:val="1"/>
          <w:sz w:val="22"/>
          <w:szCs w:val="22"/>
          <w:lang w:eastAsia="hi-IN" w:bidi="hi-IN"/>
        </w:rPr>
        <w:t xml:space="preserve">de conformidad con los </w:t>
      </w:r>
      <w:r w:rsidRPr="00767B8E">
        <w:rPr>
          <w:rFonts w:ascii="Monserrat" w:hAnsi="Monserrat" w:cs="Arial"/>
          <w:sz w:val="22"/>
          <w:szCs w:val="22"/>
          <w:lang w:eastAsia="es-MX"/>
        </w:rPr>
        <w:t>“</w:t>
      </w:r>
      <w:r w:rsidRPr="00767B8E">
        <w:rPr>
          <w:rFonts w:ascii="Monserrat" w:hAnsi="Monserrat" w:cs="Arial"/>
          <w:i/>
          <w:sz w:val="22"/>
          <w:szCs w:val="22"/>
          <w:lang w:eastAsia="es-MX"/>
        </w:rPr>
        <w:t>Lineamientos generales en materia de clasificación de la información, así como la elaboración de versiones públicas</w:t>
      </w:r>
      <w:r w:rsidRPr="00767B8E">
        <w:rPr>
          <w:rFonts w:ascii="Monserrat" w:hAnsi="Monserrat" w:cs="Arial"/>
          <w:sz w:val="22"/>
          <w:szCs w:val="22"/>
          <w:lang w:eastAsia="es-MX"/>
        </w:rPr>
        <w:t>” a través del portal institucional se difunde dicha leyenda.</w:t>
      </w:r>
    </w:p>
    <w:p w14:paraId="5509280C" w14:textId="77777777" w:rsidR="00DD4A73" w:rsidRPr="00767B8E" w:rsidRDefault="00DD4A73" w:rsidP="00DD4A73">
      <w:pPr>
        <w:tabs>
          <w:tab w:val="left" w:pos="927"/>
        </w:tabs>
        <w:autoSpaceDE w:val="0"/>
        <w:autoSpaceDN w:val="0"/>
        <w:adjustRightInd w:val="0"/>
        <w:jc w:val="both"/>
        <w:rPr>
          <w:rFonts w:ascii="Monserrat" w:hAnsi="Monserrat" w:cs="Arial"/>
          <w:sz w:val="22"/>
          <w:szCs w:val="22"/>
          <w:lang w:eastAsia="es-MX"/>
        </w:rPr>
      </w:pPr>
    </w:p>
    <w:p w14:paraId="0E025E43" w14:textId="00D17084" w:rsidR="00F74509" w:rsidRDefault="00DD4A73" w:rsidP="00F74509">
      <w:pPr>
        <w:tabs>
          <w:tab w:val="left" w:pos="927"/>
        </w:tabs>
        <w:autoSpaceDE w:val="0"/>
        <w:autoSpaceDN w:val="0"/>
        <w:adjustRightInd w:val="0"/>
        <w:jc w:val="both"/>
        <w:rPr>
          <w:rFonts w:ascii="Monserrat" w:hAnsi="Monserrat" w:cs="Arial"/>
          <w:sz w:val="22"/>
          <w:szCs w:val="22"/>
          <w:lang w:eastAsia="es-MX"/>
        </w:rPr>
      </w:pPr>
      <w:r w:rsidRPr="00767B8E">
        <w:rPr>
          <w:rFonts w:ascii="Monserrat" w:hAnsi="Monserrat" w:cs="Arial"/>
          <w:sz w:val="22"/>
          <w:szCs w:val="22"/>
          <w:lang w:eastAsia="es-MX"/>
        </w:rPr>
        <w:t>Se ha promovido la capacitación y actualización de los servidores públicos que recaban datos personales, a fin de que exista una cultura de protección de datos personales; además se continúa apoyando a las áreas para la elaboración de los avisos de privacidad, así como su ac</w:t>
      </w:r>
      <w:r w:rsidR="00F74509">
        <w:rPr>
          <w:rFonts w:ascii="Monserrat" w:hAnsi="Monserrat" w:cs="Arial"/>
          <w:sz w:val="22"/>
          <w:szCs w:val="22"/>
          <w:lang w:eastAsia="es-MX"/>
        </w:rPr>
        <w:t>tualización periódica del mismo.</w:t>
      </w:r>
    </w:p>
    <w:p w14:paraId="346E26C0" w14:textId="77777777" w:rsidR="00F74509" w:rsidRDefault="00F74509" w:rsidP="00F74509">
      <w:pPr>
        <w:tabs>
          <w:tab w:val="left" w:pos="927"/>
        </w:tabs>
        <w:autoSpaceDE w:val="0"/>
        <w:autoSpaceDN w:val="0"/>
        <w:adjustRightInd w:val="0"/>
        <w:jc w:val="both"/>
        <w:rPr>
          <w:rFonts w:ascii="Monserrat" w:hAnsi="Monserrat" w:cs="Arial"/>
          <w:sz w:val="22"/>
          <w:szCs w:val="22"/>
          <w:lang w:eastAsia="es-MX"/>
        </w:rPr>
      </w:pPr>
    </w:p>
    <w:p w14:paraId="7DD6267B" w14:textId="5C22ACD8" w:rsidR="00F74509" w:rsidRPr="006726E2" w:rsidRDefault="00F74509" w:rsidP="00F74509">
      <w:pPr>
        <w:pStyle w:val="Prrafodelista"/>
        <w:numPr>
          <w:ilvl w:val="0"/>
          <w:numId w:val="1"/>
        </w:numPr>
        <w:tabs>
          <w:tab w:val="left" w:pos="426"/>
        </w:tabs>
        <w:autoSpaceDE w:val="0"/>
        <w:autoSpaceDN w:val="0"/>
        <w:adjustRightInd w:val="0"/>
        <w:jc w:val="both"/>
        <w:rPr>
          <w:rFonts w:ascii="Monserrat" w:hAnsi="Monserrat" w:cs="Arial"/>
          <w:b/>
          <w:sz w:val="22"/>
          <w:szCs w:val="22"/>
          <w:lang w:eastAsia="es-MX"/>
        </w:rPr>
      </w:pPr>
      <w:r w:rsidRPr="006726E2">
        <w:rPr>
          <w:rFonts w:ascii="Monserrat" w:hAnsi="Monserrat" w:cs="Arial"/>
          <w:b/>
          <w:sz w:val="22"/>
          <w:szCs w:val="22"/>
          <w:lang w:eastAsia="es-MX"/>
        </w:rPr>
        <w:t>Organización y Actualización de Archivos.</w:t>
      </w:r>
    </w:p>
    <w:p w14:paraId="4BC8EB13" w14:textId="77777777" w:rsidR="00F67248" w:rsidRDefault="00F67248" w:rsidP="00F67248">
      <w:pPr>
        <w:tabs>
          <w:tab w:val="left" w:pos="426"/>
        </w:tabs>
        <w:autoSpaceDE w:val="0"/>
        <w:autoSpaceDN w:val="0"/>
        <w:adjustRightInd w:val="0"/>
        <w:jc w:val="both"/>
        <w:rPr>
          <w:rFonts w:ascii="Monserrat" w:hAnsi="Monserrat" w:cs="Arial"/>
          <w:b/>
          <w:sz w:val="22"/>
          <w:szCs w:val="22"/>
          <w:highlight w:val="yellow"/>
          <w:lang w:eastAsia="es-MX"/>
        </w:rPr>
      </w:pPr>
    </w:p>
    <w:p w14:paraId="76B2EDCA" w14:textId="77777777" w:rsidR="00F67248" w:rsidRPr="00F67248" w:rsidRDefault="00F67248" w:rsidP="00F67248">
      <w:pPr>
        <w:autoSpaceDE w:val="0"/>
        <w:autoSpaceDN w:val="0"/>
        <w:adjustRightInd w:val="0"/>
        <w:jc w:val="both"/>
        <w:rPr>
          <w:rFonts w:ascii="Monserrat" w:hAnsi="Monserrat" w:cs="Segoe UI"/>
          <w:sz w:val="22"/>
          <w:szCs w:val="22"/>
          <w:lang w:eastAsia="es-MX"/>
        </w:rPr>
      </w:pPr>
      <w:r w:rsidRPr="00F67248">
        <w:rPr>
          <w:rFonts w:ascii="Monserrat" w:hAnsi="Monserrat" w:cs="Segoe UI"/>
          <w:sz w:val="22"/>
          <w:szCs w:val="22"/>
          <w:lang w:eastAsia="es-MX"/>
        </w:rPr>
        <w:t>La Coordinación de Archivos de El Colegio de la Frontera Sur (ECOSUR) continúa realizando acciones para dar cumplimiento a la normatividad en materia de archivos y transparencia, garantizando la organización, integridad y conservación de los expedientes; lo que favorece a la Transparencia y Rendición de Cuentas.</w:t>
      </w:r>
    </w:p>
    <w:p w14:paraId="49594615" w14:textId="77777777" w:rsidR="00F67248" w:rsidRPr="00F67248" w:rsidRDefault="00F67248" w:rsidP="00F67248">
      <w:pPr>
        <w:autoSpaceDE w:val="0"/>
        <w:autoSpaceDN w:val="0"/>
        <w:adjustRightInd w:val="0"/>
        <w:jc w:val="both"/>
        <w:rPr>
          <w:rFonts w:ascii="Monserrat" w:hAnsi="Monserrat" w:cs="Segoe UI"/>
          <w:sz w:val="22"/>
          <w:szCs w:val="22"/>
          <w:lang w:eastAsia="es-MX"/>
        </w:rPr>
      </w:pPr>
    </w:p>
    <w:p w14:paraId="00E27C75"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Dando cumplimiento de la Ley General de Archivos, decretada el 15 de junio de 2018 y que entró en vigor el 15 de junio de 2019, ECOSUR ha realizado las acciones siguientes en el ejercicio 2020:</w:t>
      </w:r>
    </w:p>
    <w:p w14:paraId="0BCD4C67" w14:textId="77777777" w:rsidR="00F67248" w:rsidRPr="00F67248" w:rsidRDefault="00F67248" w:rsidP="00F67248">
      <w:pPr>
        <w:jc w:val="both"/>
        <w:rPr>
          <w:rFonts w:ascii="Monserrat" w:hAnsi="Monserrat"/>
          <w:sz w:val="22"/>
          <w:szCs w:val="22"/>
        </w:rPr>
      </w:pPr>
    </w:p>
    <w:p w14:paraId="5DF8D23A"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Se procedió a la inscripción de la entidad en la plataforma del Registro Nacional de Archivos que coordina el Archivo General de la Nación (</w:t>
      </w:r>
      <w:proofErr w:type="spellStart"/>
      <w:r w:rsidRPr="00F67248">
        <w:rPr>
          <w:rFonts w:ascii="Monserrat" w:hAnsi="Monserrat"/>
          <w:sz w:val="22"/>
          <w:szCs w:val="22"/>
        </w:rPr>
        <w:t>AGN</w:t>
      </w:r>
      <w:proofErr w:type="spellEnd"/>
      <w:r w:rsidRPr="00F67248">
        <w:rPr>
          <w:rFonts w:ascii="Monserrat" w:hAnsi="Monserrat"/>
          <w:sz w:val="22"/>
          <w:szCs w:val="22"/>
        </w:rPr>
        <w:t xml:space="preserve">); en junio de 2020, el Área Coordinadora de Archivos realizó el envío de los datos y anexos solicitados para realizar el registro en la plataforma, conforme a las indicaciones del </w:t>
      </w:r>
      <w:proofErr w:type="spellStart"/>
      <w:r w:rsidRPr="00F67248">
        <w:rPr>
          <w:rFonts w:ascii="Monserrat" w:hAnsi="Monserrat"/>
          <w:sz w:val="22"/>
          <w:szCs w:val="22"/>
        </w:rPr>
        <w:t>AGN</w:t>
      </w:r>
      <w:proofErr w:type="spellEnd"/>
      <w:r w:rsidRPr="00F67248">
        <w:rPr>
          <w:rFonts w:ascii="Monserrat" w:hAnsi="Monserrat"/>
          <w:sz w:val="22"/>
          <w:szCs w:val="22"/>
        </w:rPr>
        <w:t xml:space="preserve"> (Artículo 11, fracción IV).</w:t>
      </w:r>
    </w:p>
    <w:p w14:paraId="2DA5D300" w14:textId="77777777" w:rsidR="00F67248" w:rsidRPr="00F67248" w:rsidRDefault="00F67248" w:rsidP="00F67248">
      <w:pPr>
        <w:jc w:val="both"/>
        <w:rPr>
          <w:rFonts w:ascii="Monserrat" w:hAnsi="Monserrat"/>
          <w:sz w:val="22"/>
          <w:szCs w:val="22"/>
        </w:rPr>
      </w:pPr>
    </w:p>
    <w:p w14:paraId="4D9C7394"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Seguimiento a las solicitudes de destino final (baja documental) ante el Archivo General de la Nación (</w:t>
      </w:r>
      <w:proofErr w:type="spellStart"/>
      <w:r w:rsidRPr="00F67248">
        <w:rPr>
          <w:rFonts w:ascii="Monserrat" w:hAnsi="Monserrat"/>
          <w:sz w:val="22"/>
          <w:szCs w:val="22"/>
        </w:rPr>
        <w:t>AGN</w:t>
      </w:r>
      <w:proofErr w:type="spellEnd"/>
      <w:r w:rsidRPr="00F67248">
        <w:rPr>
          <w:rFonts w:ascii="Monserrat" w:hAnsi="Monserrat"/>
          <w:sz w:val="22"/>
          <w:szCs w:val="22"/>
        </w:rPr>
        <w:t>); En Febrero de 2020, la Coordinación envío oficio a dicha instancia para dar seguimiento a dos solicitudes de destino final que continúan en revisión, solicitando respuesta sobre dichas solicitudes y poder continuar con el proceso, de ser autorizadas se realizara lo pertinente a la donación de desechos de papel a la Comisión Nacional de Libros de Texto (Artículo 15).</w:t>
      </w:r>
    </w:p>
    <w:p w14:paraId="060AC0AC" w14:textId="77777777" w:rsidR="00F67248" w:rsidRPr="00F67248" w:rsidRDefault="00F67248" w:rsidP="00F67248">
      <w:pPr>
        <w:jc w:val="both"/>
        <w:rPr>
          <w:rFonts w:ascii="Monserrat" w:hAnsi="Monserrat"/>
          <w:sz w:val="22"/>
          <w:szCs w:val="22"/>
        </w:rPr>
      </w:pPr>
    </w:p>
    <w:p w14:paraId="658E3A08"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El Sistema Institucional de Archivos (</w:t>
      </w:r>
      <w:proofErr w:type="spellStart"/>
      <w:r w:rsidRPr="00F67248">
        <w:rPr>
          <w:rFonts w:ascii="Monserrat" w:hAnsi="Monserrat"/>
          <w:sz w:val="22"/>
          <w:szCs w:val="22"/>
        </w:rPr>
        <w:t>SIA</w:t>
      </w:r>
      <w:proofErr w:type="spellEnd"/>
      <w:r w:rsidRPr="00F67248">
        <w:rPr>
          <w:rFonts w:ascii="Monserrat" w:hAnsi="Monserrat"/>
          <w:sz w:val="22"/>
          <w:szCs w:val="22"/>
        </w:rPr>
        <w:t xml:space="preserve">) de El Colegio se encuentra integrado por, Área Coordinadora de Archivos, Archivos de Trámite, y Archivo de Concentración Central y Regionales (Artículo 21). </w:t>
      </w:r>
    </w:p>
    <w:p w14:paraId="1C5543EA" w14:textId="77777777" w:rsidR="00F67248" w:rsidRPr="00F67248" w:rsidRDefault="00F67248" w:rsidP="00F67248">
      <w:pPr>
        <w:jc w:val="both"/>
        <w:rPr>
          <w:rFonts w:ascii="Monserrat" w:hAnsi="Monserrat"/>
          <w:sz w:val="22"/>
          <w:szCs w:val="22"/>
        </w:rPr>
      </w:pPr>
    </w:p>
    <w:p w14:paraId="0E1B16EB"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Programa Anual; en enero de 2020, se autorizó el Programa Anual de Desarrollo Archivístico (PADA) 2020, el cual cumple con los elementos normativos indicados, y se publicó en tiempo en el portal electrónico en la página principal de ECOSUR en el menú de Transparencia espacio de Archivo Institucional. El PADA se ha realizado desde ejercicios anteriores, cumpliendo con los requerimientos normativos e Institucionales en materia. Así mismo, el PADA contiene el programa de capacitación en materia (Artículos 23, 24 y 25).</w:t>
      </w:r>
    </w:p>
    <w:p w14:paraId="404ADD9C" w14:textId="77777777" w:rsidR="00F67248" w:rsidRPr="00F67248" w:rsidRDefault="00F67248" w:rsidP="00F67248">
      <w:pPr>
        <w:jc w:val="both"/>
        <w:rPr>
          <w:rFonts w:ascii="Monserrat" w:hAnsi="Monserrat"/>
          <w:sz w:val="22"/>
          <w:szCs w:val="22"/>
        </w:rPr>
      </w:pPr>
    </w:p>
    <w:p w14:paraId="132471E8"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 xml:space="preserve">Programa de capacitación considerado en el Programa Anual de Desarrollo Archivístico 2020; se invitó a Responsables y Operadores de Archivos de Trámite y Concentración a capacitarse en temas relevantes en materia de archivos, el 20 de febrero y 16 de mayo se les invitó a capacitarse en línea mediante el sistema </w:t>
      </w:r>
      <w:proofErr w:type="spellStart"/>
      <w:r w:rsidRPr="00F67248">
        <w:rPr>
          <w:rFonts w:ascii="Monserrat" w:hAnsi="Monserrat"/>
          <w:sz w:val="22"/>
          <w:szCs w:val="22"/>
        </w:rPr>
        <w:t>CEVINAI</w:t>
      </w:r>
      <w:proofErr w:type="spellEnd"/>
      <w:r w:rsidRPr="00F67248">
        <w:rPr>
          <w:rFonts w:ascii="Monserrat" w:hAnsi="Monserrat"/>
          <w:sz w:val="22"/>
          <w:szCs w:val="22"/>
        </w:rPr>
        <w:t xml:space="preserve">, el 26 de junio y 3 julio (primera y segunda sesión) se les convoco a capacitarse en la modalidad presencial a distancia en curso impartido por asesor del </w:t>
      </w:r>
      <w:proofErr w:type="spellStart"/>
      <w:r w:rsidRPr="00F67248">
        <w:rPr>
          <w:rFonts w:ascii="Monserrat" w:hAnsi="Monserrat"/>
          <w:sz w:val="22"/>
          <w:szCs w:val="22"/>
        </w:rPr>
        <w:t>AGN</w:t>
      </w:r>
      <w:proofErr w:type="spellEnd"/>
      <w:r w:rsidRPr="00F67248">
        <w:rPr>
          <w:rFonts w:ascii="Monserrat" w:hAnsi="Monserrat"/>
          <w:sz w:val="22"/>
          <w:szCs w:val="22"/>
        </w:rPr>
        <w:t>. (Artículo 25).</w:t>
      </w:r>
    </w:p>
    <w:p w14:paraId="783288A6" w14:textId="77777777" w:rsidR="00F67248" w:rsidRPr="00F67248" w:rsidRDefault="00F67248" w:rsidP="00F67248">
      <w:pPr>
        <w:jc w:val="both"/>
        <w:rPr>
          <w:rFonts w:ascii="Monserrat" w:hAnsi="Monserrat"/>
          <w:sz w:val="22"/>
          <w:szCs w:val="22"/>
        </w:rPr>
      </w:pPr>
    </w:p>
    <w:p w14:paraId="45B1516C"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Informe anual de cumplimiento; en enero de 2020, se realizó el informe anual de cumplimientos del año inmediato anterior, el cual se publicó en tiempo en el portal electrónico en la página principal de ECOSUR en el menú de Transparencia espacio de Archivo Institucional (Artículo 26).</w:t>
      </w:r>
    </w:p>
    <w:p w14:paraId="3E8D85A9" w14:textId="77777777" w:rsidR="00F67248" w:rsidRPr="00F67248" w:rsidRDefault="00F67248" w:rsidP="00F67248">
      <w:pPr>
        <w:jc w:val="both"/>
        <w:rPr>
          <w:rFonts w:ascii="Monserrat" w:hAnsi="Monserrat"/>
          <w:sz w:val="22"/>
          <w:szCs w:val="22"/>
        </w:rPr>
      </w:pPr>
    </w:p>
    <w:p w14:paraId="564D6DAC"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 xml:space="preserve">De las funciones de los archivos de trámite (unidades administrativas.- direcciones, subdirecciones, departamentos, áreas, coordinaciones, etc.), en El Colegio se cuenta con responsables de archivos de trámite (nombramientos). Los archivos de trámite se encuentran organizados, con expedientes clasificados e identificados conforme al catálogo de disposición documental validado (Artículo 30). </w:t>
      </w:r>
    </w:p>
    <w:p w14:paraId="7375520C" w14:textId="77777777" w:rsidR="00F67248" w:rsidRPr="00F67248" w:rsidRDefault="00F67248" w:rsidP="00F67248">
      <w:pPr>
        <w:jc w:val="both"/>
        <w:rPr>
          <w:rFonts w:ascii="Monserrat" w:hAnsi="Monserrat"/>
          <w:sz w:val="22"/>
          <w:szCs w:val="22"/>
        </w:rPr>
      </w:pPr>
    </w:p>
    <w:p w14:paraId="76D98C25"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 xml:space="preserve">De las funciones de los archivos de concentración, El Colegio cuenta con archivos de concentración por Unidad Regional. El archivo de concentración central (siendo este el de mayor afluencia y consulta) se encuentra organizado y controlado; cumple con las actividades principales de su creación como es, la atención a informes y solicitudes de información que se requieren, la recepción calendarizada de transferencias primarias, y el préstamo y/o consulta de expedientes (Artículo 31). </w:t>
      </w:r>
    </w:p>
    <w:p w14:paraId="12E255F7" w14:textId="77777777" w:rsidR="00F67248" w:rsidRPr="00F67248" w:rsidRDefault="00F67248" w:rsidP="00F67248">
      <w:pPr>
        <w:jc w:val="both"/>
        <w:rPr>
          <w:rFonts w:ascii="Monserrat" w:hAnsi="Monserrat"/>
          <w:sz w:val="22"/>
          <w:szCs w:val="22"/>
        </w:rPr>
      </w:pPr>
    </w:p>
    <w:p w14:paraId="10089536"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Del sistema automatizado, actualmente está en proceso la opción de adquirir en donación el sistema automatizado de archivos del Centro de Ingeniería y Desarrollo Industrial “</w:t>
      </w:r>
      <w:proofErr w:type="spellStart"/>
      <w:r w:rsidRPr="00F67248">
        <w:rPr>
          <w:rFonts w:ascii="Monserrat" w:hAnsi="Monserrat"/>
          <w:sz w:val="22"/>
          <w:szCs w:val="22"/>
        </w:rPr>
        <w:t>CIDESI</w:t>
      </w:r>
      <w:proofErr w:type="spellEnd"/>
      <w:r w:rsidRPr="00F67248">
        <w:rPr>
          <w:rFonts w:ascii="Monserrat" w:hAnsi="Monserrat"/>
          <w:sz w:val="22"/>
          <w:szCs w:val="22"/>
        </w:rPr>
        <w:t xml:space="preserve">”. Este proceso se está analizando en conjunto con los Centros del Sector Ciencia y Tecnología, CONACYT y </w:t>
      </w:r>
      <w:proofErr w:type="spellStart"/>
      <w:r w:rsidRPr="00F67248">
        <w:rPr>
          <w:rFonts w:ascii="Monserrat" w:hAnsi="Monserrat"/>
          <w:sz w:val="22"/>
          <w:szCs w:val="22"/>
        </w:rPr>
        <w:t>AGN</w:t>
      </w:r>
      <w:proofErr w:type="spellEnd"/>
      <w:r w:rsidRPr="00F67248">
        <w:rPr>
          <w:rFonts w:ascii="Monserrat" w:hAnsi="Monserrat"/>
          <w:sz w:val="22"/>
          <w:szCs w:val="22"/>
        </w:rPr>
        <w:t xml:space="preserve">. Este sistema se tendrá que alinear a las características de cada Centro, su costo se reduce a la adquisición de capacitación técnica y de uso. En junio de 2020, se realizó reunión a distancia con el grupo de trabajo de los Centros CONACYT para la presentación ejecutiva del Sistema automatizado de gestión documental y administración de archivos, por parte del Mtro. Jorge Luis Ibarra Torres, asesor en materia de gestión documental y archivos de </w:t>
      </w:r>
      <w:proofErr w:type="spellStart"/>
      <w:r w:rsidRPr="00F67248">
        <w:rPr>
          <w:rFonts w:ascii="Monserrat" w:hAnsi="Monserrat"/>
          <w:sz w:val="22"/>
          <w:szCs w:val="22"/>
        </w:rPr>
        <w:t>CIDESI</w:t>
      </w:r>
      <w:proofErr w:type="spellEnd"/>
      <w:r w:rsidRPr="00F67248">
        <w:rPr>
          <w:rFonts w:ascii="Monserrat" w:hAnsi="Monserrat"/>
          <w:sz w:val="22"/>
          <w:szCs w:val="22"/>
        </w:rPr>
        <w:t>. (Artículo 45).</w:t>
      </w:r>
    </w:p>
    <w:p w14:paraId="3451001A" w14:textId="77777777" w:rsidR="00F67248" w:rsidRPr="00F67248" w:rsidRDefault="00F67248" w:rsidP="00F67248">
      <w:pPr>
        <w:jc w:val="both"/>
        <w:rPr>
          <w:rFonts w:ascii="Monserrat" w:hAnsi="Monserrat"/>
          <w:sz w:val="22"/>
          <w:szCs w:val="22"/>
        </w:rPr>
      </w:pPr>
    </w:p>
    <w:p w14:paraId="227DA3DD"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Grupo Interdisciplinario; en marzo de 2020, se llevó a cabo la reunión para la integración y formalización del Grupo Interdisciplinario de El Colegio de la Frontera Sur, con fundamento en la Ley General de Archivos. El Grupo quedó conformado por las personas titulares de las siguientes áreas: Coordinación de Archivos; Unidad de Transparencia; Coordinación de Estrategias y Programas Institucionales; Unidad de Tecnologías de la Información; Órgano Interno de Control; y Archivo de Concentración Central. (Artículo 50).</w:t>
      </w:r>
    </w:p>
    <w:p w14:paraId="49041486" w14:textId="77777777" w:rsidR="00F67248" w:rsidRPr="00F67248" w:rsidRDefault="00F67248" w:rsidP="00F67248">
      <w:pPr>
        <w:jc w:val="both"/>
        <w:rPr>
          <w:rFonts w:ascii="Monserrat" w:hAnsi="Monserrat"/>
          <w:sz w:val="22"/>
          <w:szCs w:val="22"/>
        </w:rPr>
      </w:pPr>
    </w:p>
    <w:p w14:paraId="3C943E35" w14:textId="6BB3D777" w:rsidR="00F67248" w:rsidRPr="00F67248" w:rsidRDefault="00F67248" w:rsidP="00F67248">
      <w:pPr>
        <w:jc w:val="both"/>
        <w:rPr>
          <w:rFonts w:ascii="Monserrat" w:hAnsi="Monserrat"/>
          <w:sz w:val="22"/>
          <w:szCs w:val="22"/>
        </w:rPr>
      </w:pPr>
      <w:r w:rsidRPr="00F67248">
        <w:rPr>
          <w:rFonts w:ascii="Monserrat" w:hAnsi="Monserrat"/>
          <w:sz w:val="22"/>
          <w:szCs w:val="22"/>
        </w:rPr>
        <w:t xml:space="preserve">Reglas de Operación del Grupo Interdisciplinario; </w:t>
      </w:r>
      <w:r>
        <w:rPr>
          <w:rFonts w:ascii="Monserrat" w:hAnsi="Monserrat"/>
          <w:sz w:val="22"/>
          <w:szCs w:val="22"/>
        </w:rPr>
        <w:t>s</w:t>
      </w:r>
      <w:r w:rsidRPr="00F67248">
        <w:rPr>
          <w:rFonts w:ascii="Monserrat" w:hAnsi="Monserrat"/>
          <w:sz w:val="22"/>
          <w:szCs w:val="22"/>
        </w:rPr>
        <w:t xml:space="preserve">e presentó y autorizó las Reglas de operación para el funcionamiento del mismo. </w:t>
      </w:r>
    </w:p>
    <w:p w14:paraId="1E2355D1" w14:textId="77777777" w:rsidR="00F67248" w:rsidRPr="00F67248" w:rsidRDefault="00F67248" w:rsidP="00F67248">
      <w:pPr>
        <w:jc w:val="both"/>
        <w:rPr>
          <w:rFonts w:ascii="Monserrat" w:hAnsi="Monserrat"/>
          <w:sz w:val="22"/>
          <w:szCs w:val="22"/>
        </w:rPr>
      </w:pPr>
    </w:p>
    <w:p w14:paraId="4C9FEF3E" w14:textId="77777777" w:rsidR="00F67248" w:rsidRPr="00F67248" w:rsidRDefault="00F67248" w:rsidP="00F67248">
      <w:pPr>
        <w:jc w:val="both"/>
        <w:rPr>
          <w:rFonts w:ascii="Monserrat" w:hAnsi="Monserrat"/>
          <w:sz w:val="22"/>
          <w:szCs w:val="22"/>
        </w:rPr>
      </w:pPr>
      <w:r w:rsidRPr="00F67248">
        <w:rPr>
          <w:rFonts w:ascii="Monserrat" w:hAnsi="Monserrat"/>
          <w:sz w:val="22"/>
          <w:szCs w:val="22"/>
        </w:rPr>
        <w:t xml:space="preserve">Capacitación en el tema de archivos; en abril de 2020, se invitó a las personas integrantes del Grupo Interdisciplinario a capacitarse en línea mediante el sistema </w:t>
      </w:r>
      <w:proofErr w:type="spellStart"/>
      <w:r w:rsidRPr="00F67248">
        <w:rPr>
          <w:rFonts w:ascii="Monserrat" w:hAnsi="Monserrat"/>
          <w:sz w:val="22"/>
          <w:szCs w:val="22"/>
        </w:rPr>
        <w:t>CEVINAI</w:t>
      </w:r>
      <w:proofErr w:type="spellEnd"/>
      <w:r w:rsidRPr="00F67248">
        <w:rPr>
          <w:rFonts w:ascii="Monserrat" w:hAnsi="Monserrat"/>
          <w:sz w:val="22"/>
          <w:szCs w:val="22"/>
        </w:rPr>
        <w:t>, en temas relevantes en materia de archivos. (Artículo 54).</w:t>
      </w:r>
    </w:p>
    <w:p w14:paraId="2EA9FFD5" w14:textId="77777777" w:rsidR="00F67248" w:rsidRPr="00F67248" w:rsidRDefault="00F67248" w:rsidP="00F67248">
      <w:pPr>
        <w:jc w:val="both"/>
        <w:rPr>
          <w:rFonts w:ascii="Monserrat" w:hAnsi="Monserrat"/>
          <w:sz w:val="22"/>
          <w:szCs w:val="22"/>
        </w:rPr>
      </w:pPr>
    </w:p>
    <w:p w14:paraId="4AC84DD8" w14:textId="77777777" w:rsidR="00F67248" w:rsidRPr="00F67248" w:rsidRDefault="00F67248" w:rsidP="00F67248">
      <w:pPr>
        <w:autoSpaceDE w:val="0"/>
        <w:autoSpaceDN w:val="0"/>
        <w:adjustRightInd w:val="0"/>
        <w:jc w:val="both"/>
        <w:rPr>
          <w:rFonts w:ascii="Monserrat" w:hAnsi="Monserrat" w:cs="Segoe UI"/>
          <w:sz w:val="22"/>
          <w:szCs w:val="22"/>
          <w:lang w:eastAsia="es-MX"/>
        </w:rPr>
      </w:pPr>
      <w:r w:rsidRPr="00F67248">
        <w:rPr>
          <w:rFonts w:ascii="Monserrat" w:hAnsi="Monserrat" w:cs="Segoe UI"/>
          <w:sz w:val="22"/>
          <w:szCs w:val="22"/>
          <w:lang w:eastAsia="es-MX"/>
        </w:rPr>
        <w:t>Respecto a  las obligaciones en materia de archivos, se actualizaron los rubros del catálogo de disposición documental y guía simple de archivos en el Sistema de Obligaciones de Transparencia (</w:t>
      </w:r>
      <w:proofErr w:type="spellStart"/>
      <w:r w:rsidRPr="00F67248">
        <w:rPr>
          <w:rFonts w:ascii="Monserrat" w:hAnsi="Monserrat" w:cs="Segoe UI"/>
          <w:sz w:val="22"/>
          <w:szCs w:val="22"/>
          <w:lang w:eastAsia="es-MX"/>
        </w:rPr>
        <w:t>SIPOT</w:t>
      </w:r>
      <w:proofErr w:type="spellEnd"/>
      <w:r w:rsidRPr="00F67248">
        <w:rPr>
          <w:rFonts w:ascii="Monserrat" w:hAnsi="Monserrat" w:cs="Segoe UI"/>
          <w:sz w:val="22"/>
          <w:szCs w:val="22"/>
          <w:lang w:eastAsia="es-MX"/>
        </w:rPr>
        <w:t>). En cumplimiento al numeral décimo séptimo de los Lineamientos Generales para la Organización y Conservación de los Archivos, se envió oficio al Archivo General de la Nación (</w:t>
      </w:r>
      <w:proofErr w:type="spellStart"/>
      <w:r w:rsidRPr="00F67248">
        <w:rPr>
          <w:rFonts w:ascii="Monserrat" w:hAnsi="Monserrat" w:cs="Segoe UI"/>
          <w:sz w:val="22"/>
          <w:szCs w:val="22"/>
          <w:lang w:eastAsia="es-MX"/>
        </w:rPr>
        <w:t>AGN</w:t>
      </w:r>
      <w:proofErr w:type="spellEnd"/>
      <w:r w:rsidRPr="00F67248">
        <w:rPr>
          <w:rFonts w:ascii="Monserrat" w:hAnsi="Monserrat" w:cs="Segoe UI"/>
          <w:sz w:val="22"/>
          <w:szCs w:val="22"/>
          <w:lang w:eastAsia="es-MX"/>
        </w:rPr>
        <w:t xml:space="preserve">), indicando que el catálogo de disposición documental se encuentra vigente, funcionando y que no se realizó actualización alguna. </w:t>
      </w:r>
    </w:p>
    <w:p w14:paraId="015F2B8B" w14:textId="77777777" w:rsidR="00F67248" w:rsidRPr="00F67248" w:rsidRDefault="00F67248" w:rsidP="00F67248">
      <w:pPr>
        <w:jc w:val="both"/>
        <w:rPr>
          <w:rFonts w:ascii="Monserrat" w:hAnsi="Monserrat"/>
          <w:sz w:val="22"/>
          <w:szCs w:val="22"/>
        </w:rPr>
      </w:pPr>
    </w:p>
    <w:p w14:paraId="3B161F54" w14:textId="77777777" w:rsidR="00F67248" w:rsidRPr="00F67248" w:rsidRDefault="00F67248" w:rsidP="00F67248">
      <w:pPr>
        <w:autoSpaceDE w:val="0"/>
        <w:autoSpaceDN w:val="0"/>
        <w:adjustRightInd w:val="0"/>
        <w:jc w:val="both"/>
        <w:rPr>
          <w:rFonts w:ascii="Monserrat" w:hAnsi="Monserrat" w:cs="Segoe UI"/>
          <w:sz w:val="22"/>
          <w:szCs w:val="22"/>
          <w:lang w:eastAsia="es-MX"/>
        </w:rPr>
      </w:pPr>
      <w:r w:rsidRPr="00F67248">
        <w:rPr>
          <w:rFonts w:ascii="Monserrat" w:hAnsi="Monserrat" w:cs="Segoe UI"/>
          <w:sz w:val="22"/>
          <w:szCs w:val="22"/>
          <w:lang w:eastAsia="es-MX"/>
        </w:rPr>
        <w:t>El calendario de recepción de transferencias primarias, ha permitido mejorar el control de las transferencias, evitando la acumulación de las mismas, ya que es un proceso que requiere dedicación. Se ha logrado la liberación de los archivos de trámite de manera favorable, lo que les permite tener mayor control y orden en sus archivos.</w:t>
      </w:r>
    </w:p>
    <w:p w14:paraId="5ABCBD52" w14:textId="77777777" w:rsidR="00F67248" w:rsidRPr="00F67248" w:rsidRDefault="00F67248" w:rsidP="00F67248">
      <w:pPr>
        <w:jc w:val="both"/>
        <w:rPr>
          <w:rFonts w:ascii="Monserrat" w:hAnsi="Monserrat"/>
          <w:sz w:val="22"/>
          <w:szCs w:val="22"/>
        </w:rPr>
      </w:pPr>
    </w:p>
    <w:p w14:paraId="15B7D5FF" w14:textId="77777777" w:rsidR="00F67248" w:rsidRPr="00F67248" w:rsidRDefault="00F67248" w:rsidP="00F67248">
      <w:pPr>
        <w:autoSpaceDE w:val="0"/>
        <w:autoSpaceDN w:val="0"/>
        <w:adjustRightInd w:val="0"/>
        <w:jc w:val="both"/>
        <w:rPr>
          <w:rFonts w:ascii="Monserrat" w:hAnsi="Monserrat" w:cs="Segoe UI"/>
          <w:sz w:val="22"/>
          <w:szCs w:val="22"/>
          <w:lang w:eastAsia="es-MX"/>
        </w:rPr>
      </w:pPr>
      <w:r w:rsidRPr="00F67248">
        <w:rPr>
          <w:rFonts w:ascii="Monserrat" w:hAnsi="Monserrat" w:cs="Segoe UI"/>
          <w:sz w:val="22"/>
          <w:szCs w:val="22"/>
          <w:lang w:eastAsia="es-MX"/>
        </w:rPr>
        <w:t>Los archivos de concentración, continúan prestando los servicios correspondientes, apoyando a los requerimientos y solicitudes. Se atendieron las consultas y/o préstamos de expedientes acorde a las necesidades presentadas. Se han actualizado los inventarios generales por unidad administrativa, conforme a las transferencias primarias.</w:t>
      </w:r>
    </w:p>
    <w:p w14:paraId="48995DFF" w14:textId="77777777" w:rsidR="00F67248" w:rsidRPr="00F67248" w:rsidRDefault="00F67248" w:rsidP="00F67248">
      <w:pPr>
        <w:jc w:val="both"/>
        <w:rPr>
          <w:rFonts w:ascii="Monserrat" w:hAnsi="Monserrat"/>
          <w:sz w:val="22"/>
          <w:szCs w:val="22"/>
        </w:rPr>
      </w:pPr>
    </w:p>
    <w:p w14:paraId="3EB7C89E" w14:textId="032CCAF0" w:rsidR="00F67248" w:rsidRPr="00F67248" w:rsidRDefault="00F67248" w:rsidP="00F67248">
      <w:pPr>
        <w:jc w:val="both"/>
        <w:rPr>
          <w:rFonts w:ascii="Monserrat" w:hAnsi="Monserrat"/>
          <w:sz w:val="22"/>
          <w:szCs w:val="22"/>
        </w:rPr>
      </w:pPr>
      <w:r w:rsidRPr="00F67248">
        <w:rPr>
          <w:rFonts w:ascii="Monserrat" w:hAnsi="Monserrat"/>
          <w:sz w:val="22"/>
          <w:szCs w:val="22"/>
        </w:rPr>
        <w:t>En ECOSUR se han realizado avances considerables, encaminados al cumplimiento normativo, y al desarrollo adecuado de las actividades en materia de archivos, lo que nos permite contar con herramienta</w:t>
      </w:r>
      <w:r w:rsidR="006726E2">
        <w:rPr>
          <w:rFonts w:ascii="Monserrat" w:hAnsi="Monserrat"/>
          <w:sz w:val="22"/>
          <w:szCs w:val="22"/>
        </w:rPr>
        <w:t>s para</w:t>
      </w:r>
      <w:r w:rsidRPr="00F67248">
        <w:rPr>
          <w:rFonts w:ascii="Monserrat" w:hAnsi="Monserrat"/>
          <w:sz w:val="22"/>
          <w:szCs w:val="22"/>
        </w:rPr>
        <w:t xml:space="preserve"> el acceso a la información, la transparencia y la rendición de cuentas.</w:t>
      </w:r>
    </w:p>
    <w:p w14:paraId="2B982C18" w14:textId="77777777" w:rsidR="00F67248" w:rsidRPr="00F67248" w:rsidRDefault="00F67248" w:rsidP="00F67248">
      <w:pPr>
        <w:ind w:left="360"/>
        <w:jc w:val="both"/>
        <w:rPr>
          <w:rFonts w:ascii="Monserrat" w:hAnsi="Monserrat"/>
          <w:sz w:val="22"/>
          <w:szCs w:val="22"/>
        </w:rPr>
      </w:pPr>
    </w:p>
    <w:sectPr w:rsidR="00F67248" w:rsidRPr="00F67248" w:rsidSect="00E364CC">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050B0" w14:textId="77777777" w:rsidR="00D2105E" w:rsidRDefault="00D2105E" w:rsidP="00E57969">
      <w:r>
        <w:separator/>
      </w:r>
    </w:p>
  </w:endnote>
  <w:endnote w:type="continuationSeparator" w:id="0">
    <w:p w14:paraId="123ECDB2" w14:textId="77777777" w:rsidR="00D2105E" w:rsidRDefault="00D2105E" w:rsidP="00E5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onserrat">
    <w:altName w:val="Cambria"/>
    <w:panose1 w:val="00000000000000000000"/>
    <w:charset w:val="00"/>
    <w:family w:val="roman"/>
    <w:notTrueType/>
    <w:pitch w:val="default"/>
  </w:font>
  <w:font w:name="Arial-Bold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6EDDD" w14:textId="77777777" w:rsidR="00E364CC" w:rsidRPr="009E5A53" w:rsidRDefault="00E364CC" w:rsidP="00E57969">
    <w:pPr>
      <w:pStyle w:val="Piedepgina"/>
      <w:jc w:val="center"/>
      <w:rPr>
        <w:rFonts w:ascii="Montserrat" w:eastAsia="Batang" w:hAnsi="Montserrat" w:hint="eastAsia"/>
        <w:b/>
        <w:i/>
        <w:color w:val="A6A6A6" w:themeColor="background1" w:themeShade="A6"/>
        <w:sz w:val="18"/>
        <w:szCs w:val="18"/>
      </w:rPr>
    </w:pPr>
  </w:p>
  <w:p w14:paraId="63BFE451" w14:textId="1FF1E660" w:rsidR="00E57969" w:rsidRPr="009E5A53" w:rsidRDefault="00E364CC" w:rsidP="00E364CC">
    <w:pPr>
      <w:pStyle w:val="Piedepgina"/>
      <w:tabs>
        <w:tab w:val="left" w:pos="7668"/>
      </w:tabs>
      <w:rPr>
        <w:rFonts w:ascii="Montserrat" w:eastAsia="Batang" w:hAnsi="Montserrat" w:hint="eastAsia"/>
        <w:b/>
        <w:i/>
        <w:color w:val="A6A6A6" w:themeColor="background1" w:themeShade="A6"/>
        <w:sz w:val="18"/>
        <w:szCs w:val="18"/>
      </w:rPr>
    </w:pPr>
    <w:r w:rsidRPr="009E5A53">
      <w:rPr>
        <w:rFonts w:ascii="Montserrat" w:eastAsia="Batang" w:hAnsi="Montserrat"/>
        <w:b/>
        <w:i/>
        <w:color w:val="A6A6A6" w:themeColor="background1" w:themeShade="A6"/>
        <w:sz w:val="18"/>
        <w:szCs w:val="18"/>
      </w:rPr>
      <w:tab/>
    </w:r>
    <w:r w:rsidR="00EE1715">
      <w:rPr>
        <w:rFonts w:ascii="Montserrat" w:eastAsia="Batang" w:hAnsi="Montserrat"/>
        <w:b/>
        <w:i/>
        <w:color w:val="A6A6A6" w:themeColor="background1" w:themeShade="A6"/>
        <w:sz w:val="18"/>
        <w:szCs w:val="18"/>
      </w:rPr>
      <w:t>Primera</w:t>
    </w:r>
    <w:r w:rsidR="00A936C0" w:rsidRPr="009E5A53">
      <w:rPr>
        <w:rFonts w:ascii="Montserrat" w:eastAsia="Batang" w:hAnsi="Montserrat"/>
        <w:b/>
        <w:i/>
        <w:color w:val="A6A6A6" w:themeColor="background1" w:themeShade="A6"/>
        <w:sz w:val="18"/>
        <w:szCs w:val="18"/>
      </w:rPr>
      <w:t xml:space="preserve"> </w:t>
    </w:r>
    <w:r w:rsidR="00E57969" w:rsidRPr="009E5A53">
      <w:rPr>
        <w:rFonts w:ascii="Montserrat" w:eastAsia="Batang" w:hAnsi="Montserrat"/>
        <w:b/>
        <w:i/>
        <w:color w:val="A6A6A6" w:themeColor="background1" w:themeShade="A6"/>
        <w:sz w:val="18"/>
        <w:szCs w:val="18"/>
      </w:rPr>
      <w:t>Sesión Ordinaria de la Junta de Gobierno 20</w:t>
    </w:r>
    <w:r w:rsidR="00795739" w:rsidRPr="009E5A53">
      <w:rPr>
        <w:rFonts w:ascii="Montserrat" w:eastAsia="Batang" w:hAnsi="Montserrat"/>
        <w:b/>
        <w:i/>
        <w:color w:val="A6A6A6" w:themeColor="background1" w:themeShade="A6"/>
        <w:sz w:val="18"/>
        <w:szCs w:val="18"/>
      </w:rPr>
      <w:t>2</w:t>
    </w:r>
    <w:r w:rsidR="00EE1715">
      <w:rPr>
        <w:rFonts w:ascii="Montserrat" w:eastAsia="Batang" w:hAnsi="Montserrat"/>
        <w:b/>
        <w:i/>
        <w:color w:val="A6A6A6" w:themeColor="background1" w:themeShade="A6"/>
        <w:sz w:val="18"/>
        <w:szCs w:val="18"/>
      </w:rPr>
      <w:t>1</w:t>
    </w:r>
    <w:r w:rsidRPr="009E5A53">
      <w:rPr>
        <w:rFonts w:ascii="Montserrat" w:eastAsia="Batang" w:hAnsi="Montserrat"/>
        <w:b/>
        <w:i/>
        <w:color w:val="A6A6A6" w:themeColor="background1" w:themeShade="A6"/>
        <w:sz w:val="18"/>
        <w:szCs w:val="18"/>
      </w:rPr>
      <w:tab/>
    </w:r>
  </w:p>
  <w:p w14:paraId="53A6D7A2" w14:textId="77777777" w:rsidR="00E364CC" w:rsidRPr="009E5A53" w:rsidRDefault="00E364CC" w:rsidP="00E57969">
    <w:pPr>
      <w:pStyle w:val="Piedepgina"/>
      <w:jc w:val="center"/>
      <w:rPr>
        <w:rFonts w:ascii="Montserrat" w:eastAsia="Batang" w:hAnsi="Montserrat" w:hint="eastAsia"/>
        <w:b/>
        <w:i/>
        <w:color w:val="A6A6A6" w:themeColor="background1" w:themeShade="A6"/>
        <w:sz w:val="18"/>
        <w:szCs w:val="18"/>
      </w:rPr>
    </w:pPr>
  </w:p>
  <w:p w14:paraId="42AB4462" w14:textId="06921C44" w:rsidR="00E57969" w:rsidRPr="009E5A53" w:rsidRDefault="00E364CC" w:rsidP="00E364CC">
    <w:pPr>
      <w:pStyle w:val="Piedepgina"/>
      <w:tabs>
        <w:tab w:val="left" w:pos="8624"/>
        <w:tab w:val="right" w:pos="9405"/>
      </w:tabs>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00E57969" w:rsidRPr="009E5A53">
      <w:rPr>
        <w:rFonts w:ascii="Montserrat" w:eastAsia="Batang" w:hAnsi="Montserrat"/>
        <w:b/>
        <w:color w:val="A6A6A6" w:themeColor="background1" w:themeShade="A6"/>
        <w:sz w:val="18"/>
        <w:szCs w:val="18"/>
      </w:rPr>
      <w:tab/>
    </w:r>
    <w:r w:rsidR="00E57969" w:rsidRPr="009E5A53">
      <w:rPr>
        <w:rFonts w:ascii="Montserrat" w:hAnsi="Montserrat"/>
        <w:color w:val="A6A6A6" w:themeColor="background1" w:themeShade="A6"/>
        <w:sz w:val="18"/>
        <w:szCs w:val="18"/>
      </w:rPr>
      <w:fldChar w:fldCharType="begin"/>
    </w:r>
    <w:r w:rsidR="00E57969" w:rsidRPr="009E5A53">
      <w:rPr>
        <w:rFonts w:ascii="Montserrat" w:hAnsi="Montserrat"/>
        <w:color w:val="A6A6A6" w:themeColor="background1" w:themeShade="A6"/>
        <w:sz w:val="18"/>
        <w:szCs w:val="18"/>
      </w:rPr>
      <w:instrText>PAGE   \* MERGEFORMAT</w:instrText>
    </w:r>
    <w:r w:rsidR="00E57969" w:rsidRPr="009E5A53">
      <w:rPr>
        <w:rFonts w:ascii="Montserrat" w:hAnsi="Montserrat"/>
        <w:color w:val="A6A6A6" w:themeColor="background1" w:themeShade="A6"/>
        <w:sz w:val="18"/>
        <w:szCs w:val="18"/>
      </w:rPr>
      <w:fldChar w:fldCharType="separate"/>
    </w:r>
    <w:r w:rsidR="006726E2">
      <w:rPr>
        <w:rFonts w:ascii="Montserrat" w:hAnsi="Montserrat"/>
        <w:noProof/>
        <w:color w:val="A6A6A6" w:themeColor="background1" w:themeShade="A6"/>
        <w:sz w:val="18"/>
        <w:szCs w:val="18"/>
      </w:rPr>
      <w:t>4</w:t>
    </w:r>
    <w:r w:rsidR="00E57969" w:rsidRPr="009E5A53">
      <w:rPr>
        <w:rFonts w:ascii="Montserrat" w:hAnsi="Montserrat"/>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24A3B" w14:textId="77777777" w:rsidR="00D2105E" w:rsidRDefault="00D2105E" w:rsidP="00E57969">
      <w:r>
        <w:separator/>
      </w:r>
    </w:p>
  </w:footnote>
  <w:footnote w:type="continuationSeparator" w:id="0">
    <w:p w14:paraId="0B6904BC" w14:textId="77777777" w:rsidR="00D2105E" w:rsidRDefault="00D2105E" w:rsidP="00E57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870B" w14:textId="71D0CC03" w:rsidR="00EE1715" w:rsidRDefault="00EE1715"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5B7C5199" wp14:editId="71CE9B08">
              <wp:simplePos x="0" y="0"/>
              <wp:positionH relativeFrom="column">
                <wp:align>center</wp:align>
              </wp:positionH>
              <wp:positionV relativeFrom="paragraph">
                <wp:posOffset>-132715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E72607" id="Grupo 9" o:spid="_x0000_s1026" style="position:absolute;margin-left:0;margin-top:-10.4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k66UNd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38269FE9" w14:textId="1C58F80B" w:rsidR="00EE1715" w:rsidRDefault="00EE1715" w:rsidP="00E364CC">
    <w:pPr>
      <w:pStyle w:val="Encabezado"/>
      <w:tabs>
        <w:tab w:val="left" w:pos="1134"/>
      </w:tabs>
    </w:pPr>
  </w:p>
  <w:p w14:paraId="4C55FC95" w14:textId="7495067B" w:rsidR="00EE1715" w:rsidRDefault="00EE1715" w:rsidP="00E364CC">
    <w:pPr>
      <w:pStyle w:val="Encabezado"/>
      <w:tabs>
        <w:tab w:val="left" w:pos="1134"/>
      </w:tabs>
    </w:pPr>
  </w:p>
  <w:p w14:paraId="1E476FFE" w14:textId="77777777" w:rsidR="00EE1715" w:rsidRDefault="00EE1715" w:rsidP="00E364CC">
    <w:pPr>
      <w:pStyle w:val="Encabezado"/>
      <w:tabs>
        <w:tab w:val="left" w:pos="1134"/>
      </w:tabs>
    </w:pPr>
  </w:p>
  <w:p w14:paraId="0D0547FB" w14:textId="223BF91F" w:rsidR="00E57969" w:rsidRDefault="00E57969"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34CCE"/>
    <w:multiLevelType w:val="hybridMultilevel"/>
    <w:tmpl w:val="8A1A8B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C8E5B56"/>
    <w:multiLevelType w:val="hybridMultilevel"/>
    <w:tmpl w:val="ED9AB26C"/>
    <w:lvl w:ilvl="0" w:tplc="44E67A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6A6"/>
    <w:rsid w:val="000B52E5"/>
    <w:rsid w:val="00146DD7"/>
    <w:rsid w:val="00154FF8"/>
    <w:rsid w:val="0020676A"/>
    <w:rsid w:val="0021496C"/>
    <w:rsid w:val="003308E5"/>
    <w:rsid w:val="003A1C6A"/>
    <w:rsid w:val="003B6E1A"/>
    <w:rsid w:val="0045608F"/>
    <w:rsid w:val="00542438"/>
    <w:rsid w:val="00543714"/>
    <w:rsid w:val="005455FD"/>
    <w:rsid w:val="005D56A6"/>
    <w:rsid w:val="00645FBE"/>
    <w:rsid w:val="00657D31"/>
    <w:rsid w:val="006726E2"/>
    <w:rsid w:val="00767B8E"/>
    <w:rsid w:val="00795739"/>
    <w:rsid w:val="00810D23"/>
    <w:rsid w:val="0098340D"/>
    <w:rsid w:val="009E5A53"/>
    <w:rsid w:val="00A5758B"/>
    <w:rsid w:val="00A936C0"/>
    <w:rsid w:val="00AC7A14"/>
    <w:rsid w:val="00BB6F7C"/>
    <w:rsid w:val="00BC1469"/>
    <w:rsid w:val="00BF3C06"/>
    <w:rsid w:val="00C61FB2"/>
    <w:rsid w:val="00CA039F"/>
    <w:rsid w:val="00CF7D33"/>
    <w:rsid w:val="00D034D9"/>
    <w:rsid w:val="00D2105E"/>
    <w:rsid w:val="00D3488F"/>
    <w:rsid w:val="00DB7382"/>
    <w:rsid w:val="00DC3811"/>
    <w:rsid w:val="00DD4A73"/>
    <w:rsid w:val="00E24D51"/>
    <w:rsid w:val="00E364CC"/>
    <w:rsid w:val="00E57969"/>
    <w:rsid w:val="00ED17A4"/>
    <w:rsid w:val="00EE1715"/>
    <w:rsid w:val="00F67248"/>
    <w:rsid w:val="00F74509"/>
    <w:rsid w:val="00F82044"/>
    <w:rsid w:val="00FA7510"/>
    <w:rsid w:val="26871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17B5D"/>
  <w15:chartTrackingRefBased/>
  <w15:docId w15:val="{59381FE3-6472-8347-86C8-DB8B2893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style>
  <w:style w:type="character" w:customStyle="1" w:styleId="EncabezadoCar">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style>
  <w:style w:type="character" w:customStyle="1" w:styleId="PiedepginaCar">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sz w:val="20"/>
      <w:szCs w:val="20"/>
    </w:rPr>
  </w:style>
  <w:style w:type="character" w:customStyle="1" w:styleId="TextocomentarioCar">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customStyle="1" w:styleId="AsuntodelcomentarioCar">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39"/>
    <w:rPr>
      <w:rFonts w:ascii="Segoe UI" w:hAnsi="Segoe UI" w:cs="Segoe UI"/>
      <w:sz w:val="18"/>
      <w:szCs w:val="18"/>
    </w:rPr>
  </w:style>
  <w:style w:type="paragraph" w:customStyle="1" w:styleId="Default">
    <w:name w:val="Default"/>
    <w:rsid w:val="00DD4A73"/>
    <w:pPr>
      <w:autoSpaceDE w:val="0"/>
      <w:autoSpaceDN w:val="0"/>
      <w:adjustRightInd w:val="0"/>
    </w:pPr>
    <w:rPr>
      <w:rFonts w:ascii="Arial" w:hAnsi="Arial" w:cs="Arial"/>
      <w:color w:val="000000"/>
    </w:rPr>
  </w:style>
  <w:style w:type="table" w:styleId="Tablaconcuadrcula">
    <w:name w:val="Table Grid"/>
    <w:basedOn w:val="Tablanormal"/>
    <w:uiPriority w:val="39"/>
    <w:rsid w:val="00DD4A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745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1450</Words>
  <Characters>7979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Christian Armando Blas Guillén</cp:lastModifiedBy>
  <cp:revision>7</cp:revision>
  <cp:lastPrinted>2021-04-06T16:08:00Z</cp:lastPrinted>
  <dcterms:created xsi:type="dcterms:W3CDTF">2021-04-13T15:01:00Z</dcterms:created>
  <dcterms:modified xsi:type="dcterms:W3CDTF">2021-04-19T20:49:00Z</dcterms:modified>
</cp:coreProperties>
</file>